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48"/>
        <w:gridCol w:w="4949"/>
      </w:tblGrid>
      <w:tr w:rsidR="00220466" w:rsidRPr="00627D12" w14:paraId="4573E01E" w14:textId="77777777" w:rsidTr="0AE73489">
        <w:trPr>
          <w:trHeight w:val="211"/>
        </w:trPr>
        <w:tc>
          <w:tcPr>
            <w:tcW w:w="9897" w:type="dxa"/>
            <w:gridSpan w:val="2"/>
            <w:vAlign w:val="center"/>
          </w:tcPr>
          <w:p w14:paraId="4573E01D" w14:textId="2825D1DF" w:rsidR="00220466" w:rsidRPr="00627D12" w:rsidRDefault="0048438C" w:rsidP="00484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GDA Regulatory Observation</w:t>
            </w:r>
          </w:p>
        </w:tc>
      </w:tr>
      <w:tr w:rsidR="00220466" w:rsidRPr="0048438C" w14:paraId="4573E020" w14:textId="77777777" w:rsidTr="0AE73489">
        <w:trPr>
          <w:trHeight w:val="202"/>
        </w:trPr>
        <w:tc>
          <w:tcPr>
            <w:tcW w:w="9897" w:type="dxa"/>
            <w:gridSpan w:val="2"/>
            <w:shd w:val="clear" w:color="auto" w:fill="D9D9D9" w:themeFill="background1" w:themeFillShade="D9"/>
          </w:tcPr>
          <w:p w14:paraId="4573E01F" w14:textId="77777777" w:rsidR="00220466" w:rsidRPr="0048438C" w:rsidRDefault="00220466" w:rsidP="0048438C">
            <w:pPr>
              <w:spacing w:before="60" w:after="60"/>
              <w:jc w:val="center"/>
              <w:rPr>
                <w:b/>
                <w:szCs w:val="24"/>
              </w:rPr>
            </w:pPr>
            <w:r w:rsidRPr="0048438C">
              <w:rPr>
                <w:b/>
                <w:szCs w:val="24"/>
              </w:rPr>
              <w:t>REGULATOR TO COMPLETE</w:t>
            </w:r>
          </w:p>
        </w:tc>
      </w:tr>
      <w:tr w:rsidR="00220466" w:rsidRPr="0048438C" w14:paraId="4573E023" w14:textId="77777777" w:rsidTr="0AE73489">
        <w:trPr>
          <w:trHeight w:val="202"/>
        </w:trPr>
        <w:tc>
          <w:tcPr>
            <w:tcW w:w="4948" w:type="dxa"/>
          </w:tcPr>
          <w:p w14:paraId="4573E021" w14:textId="77777777" w:rsidR="00220466" w:rsidRPr="0048438C" w:rsidRDefault="00C34CBC" w:rsidP="0048438C">
            <w:pPr>
              <w:spacing w:before="60" w:after="60"/>
              <w:rPr>
                <w:b/>
                <w:szCs w:val="24"/>
              </w:rPr>
            </w:pPr>
            <w:r w:rsidRPr="0048438C">
              <w:rPr>
                <w:b/>
                <w:szCs w:val="24"/>
              </w:rPr>
              <w:t>RO</w:t>
            </w:r>
            <w:r w:rsidR="00220466" w:rsidRPr="0048438C">
              <w:rPr>
                <w:b/>
                <w:szCs w:val="24"/>
              </w:rPr>
              <w:t xml:space="preserve"> unique no.:</w:t>
            </w:r>
          </w:p>
        </w:tc>
        <w:tc>
          <w:tcPr>
            <w:tcW w:w="4949" w:type="dxa"/>
          </w:tcPr>
          <w:p w14:paraId="4573E022" w14:textId="21F1DF0B" w:rsidR="00220466" w:rsidRPr="004B25C8" w:rsidRDefault="00684E8C" w:rsidP="0048438C">
            <w:pPr>
              <w:spacing w:before="60" w:after="60"/>
              <w:rPr>
                <w:szCs w:val="24"/>
              </w:rPr>
            </w:pPr>
            <w:r w:rsidRPr="004B25C8">
              <w:rPr>
                <w:szCs w:val="24"/>
              </w:rPr>
              <w:t>RO-</w:t>
            </w:r>
            <w:r w:rsidR="0094103C" w:rsidRPr="004B25C8">
              <w:rPr>
                <w:szCs w:val="24"/>
              </w:rPr>
              <w:t>BWRX</w:t>
            </w:r>
            <w:r w:rsidR="00EE0A6A" w:rsidRPr="004B25C8">
              <w:rPr>
                <w:szCs w:val="24"/>
              </w:rPr>
              <w:t>300</w:t>
            </w:r>
            <w:r w:rsidR="005933F1" w:rsidRPr="004B25C8">
              <w:rPr>
                <w:szCs w:val="24"/>
              </w:rPr>
              <w:t>-</w:t>
            </w:r>
            <w:r w:rsidR="003D7B14">
              <w:rPr>
                <w:szCs w:val="24"/>
              </w:rPr>
              <w:t>004</w:t>
            </w:r>
          </w:p>
        </w:tc>
      </w:tr>
      <w:tr w:rsidR="00220466" w:rsidRPr="0048438C" w14:paraId="4573E026" w14:textId="77777777" w:rsidTr="0AE73489">
        <w:trPr>
          <w:trHeight w:val="202"/>
        </w:trPr>
        <w:tc>
          <w:tcPr>
            <w:tcW w:w="4948" w:type="dxa"/>
          </w:tcPr>
          <w:p w14:paraId="4573E024" w14:textId="61F5DE6D" w:rsidR="00220466" w:rsidRPr="0048438C" w:rsidRDefault="00850471" w:rsidP="0048438C">
            <w:pPr>
              <w:spacing w:before="60" w:after="60"/>
              <w:rPr>
                <w:b/>
                <w:szCs w:val="24"/>
              </w:rPr>
            </w:pPr>
            <w:r w:rsidRPr="0048438C">
              <w:rPr>
                <w:b/>
                <w:szCs w:val="24"/>
              </w:rPr>
              <w:t>Revision:</w:t>
            </w:r>
          </w:p>
        </w:tc>
        <w:tc>
          <w:tcPr>
            <w:tcW w:w="4949" w:type="dxa"/>
          </w:tcPr>
          <w:p w14:paraId="4573E025" w14:textId="229C24A2" w:rsidR="00220466" w:rsidRPr="004B25C8" w:rsidRDefault="00902B4D" w:rsidP="0048438C">
            <w:pPr>
              <w:spacing w:before="60" w:after="60"/>
              <w:rPr>
                <w:szCs w:val="24"/>
              </w:rPr>
            </w:pPr>
            <w:r w:rsidRPr="004B25C8">
              <w:rPr>
                <w:szCs w:val="24"/>
              </w:rPr>
              <w:t>0</w:t>
            </w:r>
          </w:p>
        </w:tc>
      </w:tr>
      <w:tr w:rsidR="00850471" w:rsidRPr="0048438C" w14:paraId="3FF001D1" w14:textId="77777777" w:rsidTr="0AE73489">
        <w:trPr>
          <w:trHeight w:val="202"/>
        </w:trPr>
        <w:tc>
          <w:tcPr>
            <w:tcW w:w="4948" w:type="dxa"/>
          </w:tcPr>
          <w:p w14:paraId="20FBBDA3" w14:textId="34CA6CCC" w:rsidR="00850471" w:rsidRPr="0048438C" w:rsidRDefault="00850471" w:rsidP="0048438C">
            <w:pPr>
              <w:spacing w:before="60" w:after="60"/>
              <w:rPr>
                <w:b/>
                <w:szCs w:val="24"/>
              </w:rPr>
            </w:pPr>
            <w:r w:rsidRPr="0048438C">
              <w:rPr>
                <w:b/>
                <w:szCs w:val="24"/>
              </w:rPr>
              <w:t>Date sent:</w:t>
            </w:r>
          </w:p>
        </w:tc>
        <w:tc>
          <w:tcPr>
            <w:tcW w:w="4949" w:type="dxa"/>
          </w:tcPr>
          <w:p w14:paraId="74A6D96C" w14:textId="2F2F6ED5" w:rsidR="00850471" w:rsidRPr="004B25C8" w:rsidRDefault="00F75256" w:rsidP="0048438C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850471" w:rsidRPr="004B25C8">
              <w:rPr>
                <w:szCs w:val="24"/>
              </w:rPr>
              <w:t>/</w:t>
            </w:r>
            <w:r w:rsidR="00463D56">
              <w:rPr>
                <w:szCs w:val="24"/>
              </w:rPr>
              <w:t>07/25</w:t>
            </w:r>
          </w:p>
        </w:tc>
      </w:tr>
      <w:tr w:rsidR="00220466" w:rsidRPr="0048438C" w14:paraId="4573E029" w14:textId="77777777" w:rsidTr="0AE73489">
        <w:trPr>
          <w:trHeight w:val="211"/>
        </w:trPr>
        <w:tc>
          <w:tcPr>
            <w:tcW w:w="4948" w:type="dxa"/>
          </w:tcPr>
          <w:p w14:paraId="4573E027" w14:textId="77777777" w:rsidR="00220466" w:rsidRPr="0048438C" w:rsidRDefault="00220466" w:rsidP="0048438C">
            <w:pPr>
              <w:spacing w:before="60" w:after="60"/>
              <w:rPr>
                <w:b/>
                <w:szCs w:val="24"/>
              </w:rPr>
            </w:pPr>
            <w:r w:rsidRPr="0048438C">
              <w:rPr>
                <w:b/>
                <w:szCs w:val="24"/>
              </w:rPr>
              <w:t>Acknowledgement required by:</w:t>
            </w:r>
          </w:p>
        </w:tc>
        <w:tc>
          <w:tcPr>
            <w:tcW w:w="4949" w:type="dxa"/>
          </w:tcPr>
          <w:p w14:paraId="4573E028" w14:textId="17B5A2AC" w:rsidR="00220466" w:rsidRPr="004B25C8" w:rsidRDefault="5741E14C" w:rsidP="0AE73489">
            <w:pPr>
              <w:spacing w:before="60" w:after="60"/>
            </w:pPr>
            <w:r>
              <w:t>08</w:t>
            </w:r>
            <w:r w:rsidR="00850471">
              <w:t>/</w:t>
            </w:r>
            <w:r w:rsidR="009827C5">
              <w:t>08</w:t>
            </w:r>
            <w:r w:rsidR="00850471">
              <w:t>/</w:t>
            </w:r>
            <w:r w:rsidR="009827C5">
              <w:t>25</w:t>
            </w:r>
            <w:r w:rsidR="00850471">
              <w:t xml:space="preserve"> </w:t>
            </w:r>
          </w:p>
        </w:tc>
      </w:tr>
      <w:tr w:rsidR="00220466" w:rsidRPr="0048438C" w14:paraId="4573E02C" w14:textId="77777777" w:rsidTr="0AE73489">
        <w:trPr>
          <w:trHeight w:val="202"/>
        </w:trPr>
        <w:tc>
          <w:tcPr>
            <w:tcW w:w="4948" w:type="dxa"/>
          </w:tcPr>
          <w:p w14:paraId="4573E02A" w14:textId="2C90C52D" w:rsidR="00220466" w:rsidRPr="0048438C" w:rsidRDefault="00C34CBC" w:rsidP="0048438C">
            <w:pPr>
              <w:spacing w:before="60" w:after="60"/>
              <w:rPr>
                <w:b/>
                <w:szCs w:val="24"/>
              </w:rPr>
            </w:pPr>
            <w:r w:rsidRPr="0048438C">
              <w:rPr>
                <w:b/>
                <w:szCs w:val="24"/>
              </w:rPr>
              <w:t xml:space="preserve">Resolution Plan </w:t>
            </w:r>
            <w:r w:rsidR="0000781D" w:rsidRPr="0048438C">
              <w:rPr>
                <w:b/>
                <w:szCs w:val="24"/>
              </w:rPr>
              <w:t xml:space="preserve">Agreement </w:t>
            </w:r>
            <w:r w:rsidRPr="0048438C">
              <w:rPr>
                <w:b/>
                <w:szCs w:val="24"/>
              </w:rPr>
              <w:t>Required by</w:t>
            </w:r>
            <w:r w:rsidR="00220466" w:rsidRPr="0048438C">
              <w:rPr>
                <w:b/>
                <w:szCs w:val="24"/>
              </w:rPr>
              <w:t>:</w:t>
            </w:r>
          </w:p>
        </w:tc>
        <w:tc>
          <w:tcPr>
            <w:tcW w:w="4949" w:type="dxa"/>
          </w:tcPr>
          <w:p w14:paraId="4573E02B" w14:textId="545878AA" w:rsidR="0000781D" w:rsidRPr="004B25C8" w:rsidRDefault="00F9660D" w:rsidP="0AE73489">
            <w:pPr>
              <w:spacing w:before="60" w:after="60"/>
            </w:pPr>
            <w:r>
              <w:t>0</w:t>
            </w:r>
            <w:r w:rsidR="4AD67BEF">
              <w:t>5</w:t>
            </w:r>
            <w:r w:rsidR="00850471">
              <w:t>/</w:t>
            </w:r>
            <w:r>
              <w:t>09</w:t>
            </w:r>
            <w:r w:rsidR="00850471">
              <w:t>/</w:t>
            </w:r>
            <w:r>
              <w:t>25</w:t>
            </w:r>
            <w:r w:rsidR="00867341">
              <w:t xml:space="preserve"> </w:t>
            </w:r>
          </w:p>
        </w:tc>
      </w:tr>
      <w:tr w:rsidR="00220466" w:rsidRPr="0048438C" w14:paraId="4573E032" w14:textId="77777777" w:rsidTr="0AE73489">
        <w:trPr>
          <w:trHeight w:val="168"/>
        </w:trPr>
        <w:tc>
          <w:tcPr>
            <w:tcW w:w="4948" w:type="dxa"/>
          </w:tcPr>
          <w:p w14:paraId="4573E030" w14:textId="641F0447" w:rsidR="00220466" w:rsidRPr="0048438C" w:rsidRDefault="00867341" w:rsidP="0048438C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Record Reference</w:t>
            </w:r>
            <w:r w:rsidR="00494EE4" w:rsidRPr="0048438C">
              <w:rPr>
                <w:b/>
                <w:szCs w:val="24"/>
              </w:rPr>
              <w:t>:</w:t>
            </w:r>
          </w:p>
        </w:tc>
        <w:tc>
          <w:tcPr>
            <w:tcW w:w="4949" w:type="dxa"/>
          </w:tcPr>
          <w:p w14:paraId="4573E031" w14:textId="1A539B25" w:rsidR="00220466" w:rsidRPr="004B25C8" w:rsidRDefault="002E0AA1" w:rsidP="0048438C">
            <w:pPr>
              <w:spacing w:before="60" w:after="60"/>
              <w:rPr>
                <w:szCs w:val="24"/>
              </w:rPr>
            </w:pPr>
            <w:r w:rsidRPr="002E0AA1">
              <w:rPr>
                <w:szCs w:val="24"/>
              </w:rPr>
              <w:t>ONRW-2126615823-7940</w:t>
            </w:r>
          </w:p>
        </w:tc>
      </w:tr>
      <w:tr w:rsidR="0040443F" w:rsidRPr="0048438C" w14:paraId="4573E035" w14:textId="77777777" w:rsidTr="0AE73489">
        <w:trPr>
          <w:trHeight w:val="202"/>
        </w:trPr>
        <w:tc>
          <w:tcPr>
            <w:tcW w:w="4948" w:type="dxa"/>
          </w:tcPr>
          <w:p w14:paraId="4573E033" w14:textId="26F0FB88" w:rsidR="0040443F" w:rsidRPr="0048438C" w:rsidRDefault="0040443F" w:rsidP="0040443F">
            <w:pPr>
              <w:spacing w:before="60" w:after="60"/>
              <w:rPr>
                <w:b/>
                <w:szCs w:val="24"/>
              </w:rPr>
            </w:pPr>
            <w:r w:rsidRPr="0048438C">
              <w:rPr>
                <w:b/>
                <w:szCs w:val="24"/>
              </w:rPr>
              <w:t>Related RQ / RO No. and CM9 Ref:</w:t>
            </w:r>
            <w:r w:rsidRPr="0048438C">
              <w:rPr>
                <w:szCs w:val="24"/>
              </w:rPr>
              <w:t xml:space="preserve"> (if any)</w:t>
            </w:r>
            <w:r w:rsidRPr="0048438C">
              <w:rPr>
                <w:b/>
                <w:szCs w:val="24"/>
              </w:rPr>
              <w:t>:</w:t>
            </w:r>
          </w:p>
        </w:tc>
        <w:tc>
          <w:tcPr>
            <w:tcW w:w="4949" w:type="dxa"/>
          </w:tcPr>
          <w:p w14:paraId="1F531C23" w14:textId="77777777" w:rsidR="0040443F" w:rsidRDefault="00221759" w:rsidP="0040443F">
            <w:pPr>
              <w:spacing w:before="60" w:after="60"/>
            </w:pPr>
            <w:r w:rsidRPr="00221759">
              <w:t>RQ-01763</w:t>
            </w:r>
          </w:p>
          <w:p w14:paraId="755969BD" w14:textId="77777777" w:rsidR="00221759" w:rsidRDefault="006F5FD9" w:rsidP="0040443F">
            <w:pPr>
              <w:spacing w:before="60" w:after="60"/>
            </w:pPr>
            <w:r>
              <w:t>RQ-01770</w:t>
            </w:r>
          </w:p>
          <w:p w14:paraId="4573E034" w14:textId="59F216CA" w:rsidR="009C3082" w:rsidRPr="0040443F" w:rsidRDefault="009C3082" w:rsidP="0040443F">
            <w:pPr>
              <w:spacing w:before="60" w:after="60"/>
              <w:rPr>
                <w:szCs w:val="24"/>
                <w:highlight w:val="yellow"/>
              </w:rPr>
            </w:pPr>
            <w:r>
              <w:t>RQ-01870</w:t>
            </w:r>
          </w:p>
        </w:tc>
      </w:tr>
      <w:tr w:rsidR="00850471" w:rsidRPr="0048438C" w14:paraId="4573E03E" w14:textId="77777777" w:rsidTr="0AE73489">
        <w:trPr>
          <w:trHeight w:val="202"/>
        </w:trPr>
        <w:tc>
          <w:tcPr>
            <w:tcW w:w="4948" w:type="dxa"/>
          </w:tcPr>
          <w:p w14:paraId="4573E03C" w14:textId="77777777" w:rsidR="00850471" w:rsidRPr="0048438C" w:rsidRDefault="00850471" w:rsidP="0048438C">
            <w:pPr>
              <w:spacing w:before="60" w:after="60"/>
              <w:rPr>
                <w:b/>
                <w:szCs w:val="24"/>
              </w:rPr>
            </w:pPr>
            <w:r w:rsidRPr="0048438C">
              <w:rPr>
                <w:b/>
                <w:szCs w:val="24"/>
              </w:rPr>
              <w:t>Observation title:</w:t>
            </w:r>
          </w:p>
        </w:tc>
        <w:tc>
          <w:tcPr>
            <w:tcW w:w="4949" w:type="dxa"/>
          </w:tcPr>
          <w:p w14:paraId="4573E03D" w14:textId="6BF74D2C" w:rsidR="0040443F" w:rsidRPr="0048438C" w:rsidRDefault="00A00E0A" w:rsidP="0048438C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Safety case </w:t>
            </w:r>
            <w:r w:rsidR="00283650">
              <w:rPr>
                <w:szCs w:val="24"/>
              </w:rPr>
              <w:t>for</w:t>
            </w:r>
            <w:r w:rsidR="00474570">
              <w:rPr>
                <w:szCs w:val="24"/>
              </w:rPr>
              <w:t xml:space="preserve"> </w:t>
            </w:r>
            <w:r w:rsidR="0045656B">
              <w:rPr>
                <w:szCs w:val="24"/>
              </w:rPr>
              <w:t>un</w:t>
            </w:r>
            <w:r w:rsidR="00223CAD">
              <w:rPr>
                <w:szCs w:val="24"/>
              </w:rPr>
              <w:t>-</w:t>
            </w:r>
            <w:r w:rsidR="00283650">
              <w:rPr>
                <w:szCs w:val="24"/>
              </w:rPr>
              <w:t xml:space="preserve">isolable </w:t>
            </w:r>
            <w:r w:rsidR="004B1825">
              <w:rPr>
                <w:szCs w:val="24"/>
              </w:rPr>
              <w:t>and</w:t>
            </w:r>
            <w:r w:rsidR="00283650">
              <w:rPr>
                <w:szCs w:val="24"/>
              </w:rPr>
              <w:t xml:space="preserve"> </w:t>
            </w:r>
            <w:r w:rsidR="003D7630">
              <w:rPr>
                <w:szCs w:val="24"/>
              </w:rPr>
              <w:t>non</w:t>
            </w:r>
            <w:r w:rsidR="001134D7">
              <w:rPr>
                <w:szCs w:val="24"/>
              </w:rPr>
              <w:t xml:space="preserve">-isolated </w:t>
            </w:r>
            <w:r w:rsidR="00474570">
              <w:rPr>
                <w:szCs w:val="24"/>
              </w:rPr>
              <w:t>pipe</w:t>
            </w:r>
            <w:r w:rsidR="001134D7">
              <w:rPr>
                <w:szCs w:val="24"/>
              </w:rPr>
              <w:t>-</w:t>
            </w:r>
            <w:r w:rsidR="00474570">
              <w:rPr>
                <w:szCs w:val="24"/>
              </w:rPr>
              <w:t xml:space="preserve">breaks </w:t>
            </w:r>
            <w:r w:rsidR="001134D7">
              <w:rPr>
                <w:szCs w:val="24"/>
              </w:rPr>
              <w:t>larger than 19mm diameter</w:t>
            </w:r>
          </w:p>
        </w:tc>
      </w:tr>
      <w:tr w:rsidR="00CC67B6" w:rsidRPr="0048438C" w14:paraId="4573E043" w14:textId="77777777" w:rsidTr="0AE73489">
        <w:trPr>
          <w:trHeight w:val="202"/>
        </w:trPr>
        <w:tc>
          <w:tcPr>
            <w:tcW w:w="4948" w:type="dxa"/>
          </w:tcPr>
          <w:p w14:paraId="71E06B30" w14:textId="77777777" w:rsidR="00CC67B6" w:rsidRPr="0048438C" w:rsidRDefault="00CC67B6" w:rsidP="0048438C">
            <w:pPr>
              <w:spacing w:before="60" w:after="60"/>
              <w:rPr>
                <w:szCs w:val="24"/>
              </w:rPr>
            </w:pPr>
            <w:r w:rsidRPr="0048438C">
              <w:rPr>
                <w:b/>
                <w:szCs w:val="24"/>
              </w:rPr>
              <w:t>Lead technical topic:</w:t>
            </w:r>
          </w:p>
          <w:p w14:paraId="6DC0942F" w14:textId="77777777" w:rsidR="0087645C" w:rsidRPr="0087645C" w:rsidRDefault="0087645C" w:rsidP="0087645C">
            <w:pPr>
              <w:spacing w:before="60" w:after="60"/>
              <w:rPr>
                <w:szCs w:val="24"/>
              </w:rPr>
            </w:pPr>
            <w:r w:rsidRPr="0087645C">
              <w:rPr>
                <w:szCs w:val="24"/>
              </w:rPr>
              <w:t>Fault Studies</w:t>
            </w:r>
          </w:p>
          <w:p w14:paraId="4573E040" w14:textId="57947638" w:rsidR="00CC67B6" w:rsidRPr="0048438C" w:rsidRDefault="00CC67B6" w:rsidP="0087645C">
            <w:pPr>
              <w:pStyle w:val="ListParagraph"/>
              <w:spacing w:before="60" w:after="60"/>
              <w:ind w:left="0"/>
              <w:rPr>
                <w:szCs w:val="24"/>
              </w:rPr>
            </w:pPr>
          </w:p>
        </w:tc>
        <w:tc>
          <w:tcPr>
            <w:tcW w:w="4949" w:type="dxa"/>
          </w:tcPr>
          <w:p w14:paraId="0BA3764E" w14:textId="77777777" w:rsidR="00CC67B6" w:rsidRPr="0048438C" w:rsidRDefault="00CC67B6" w:rsidP="0048438C">
            <w:pPr>
              <w:spacing w:before="60" w:after="60"/>
              <w:rPr>
                <w:b/>
                <w:szCs w:val="24"/>
              </w:rPr>
            </w:pPr>
            <w:r w:rsidRPr="0048438C">
              <w:rPr>
                <w:b/>
                <w:szCs w:val="24"/>
              </w:rPr>
              <w:t>Related technical topic(s):</w:t>
            </w:r>
          </w:p>
          <w:p w14:paraId="0E0835DB" w14:textId="77777777" w:rsidR="003A6935" w:rsidRPr="003A6935" w:rsidRDefault="003A6935" w:rsidP="003A6935">
            <w:pPr>
              <w:spacing w:before="60" w:after="60"/>
              <w:rPr>
                <w:szCs w:val="24"/>
              </w:rPr>
            </w:pPr>
            <w:r w:rsidRPr="003A6935">
              <w:rPr>
                <w:szCs w:val="24"/>
              </w:rPr>
              <w:t>Internal Hazards</w:t>
            </w:r>
          </w:p>
          <w:p w14:paraId="09D9AB8D" w14:textId="77777777" w:rsidR="003A6935" w:rsidRPr="003A6935" w:rsidRDefault="003A6935" w:rsidP="003A6935">
            <w:pPr>
              <w:spacing w:before="60" w:after="60"/>
              <w:rPr>
                <w:szCs w:val="24"/>
              </w:rPr>
            </w:pPr>
            <w:r w:rsidRPr="003A6935">
              <w:rPr>
                <w:szCs w:val="24"/>
              </w:rPr>
              <w:t>Probabilistic Safety Analysis</w:t>
            </w:r>
          </w:p>
          <w:p w14:paraId="4573E042" w14:textId="39F55461" w:rsidR="00CC67B6" w:rsidRPr="0048438C" w:rsidRDefault="003A6935" w:rsidP="003A6935">
            <w:pPr>
              <w:pStyle w:val="ListParagraph"/>
              <w:spacing w:before="60" w:after="60"/>
              <w:ind w:left="0"/>
              <w:rPr>
                <w:szCs w:val="24"/>
              </w:rPr>
            </w:pPr>
            <w:r w:rsidRPr="003A6935">
              <w:rPr>
                <w:szCs w:val="24"/>
              </w:rPr>
              <w:t>Structural Integrity</w:t>
            </w:r>
            <w:r w:rsidRPr="003A6935">
              <w:rPr>
                <w:szCs w:val="24"/>
                <w:lang w:eastAsia="en-GB"/>
              </w:rPr>
              <w:t xml:space="preserve"> </w:t>
            </w:r>
            <w:r w:rsidR="00CC67B6" w:rsidRPr="0048438C">
              <w:rPr>
                <w:szCs w:val="24"/>
                <w:lang w:eastAsia="en-GB"/>
              </w:rPr>
              <w:fldChar w:fldCharType="begin"/>
            </w:r>
            <w:r w:rsidR="00CC67B6" w:rsidRPr="0048438C">
              <w:rPr>
                <w:szCs w:val="24"/>
                <w:lang w:eastAsia="en-GB"/>
              </w:rPr>
              <w:instrText xml:space="preserve"> MERGEFIELD F10 </w:instrText>
            </w:r>
            <w:r w:rsidR="00CC67B6" w:rsidRPr="0048438C">
              <w:rPr>
                <w:szCs w:val="24"/>
                <w:lang w:eastAsia="en-GB"/>
              </w:rPr>
              <w:fldChar w:fldCharType="end"/>
            </w:r>
          </w:p>
        </w:tc>
      </w:tr>
      <w:tr w:rsidR="00850471" w:rsidRPr="0048438C" w14:paraId="4573E045" w14:textId="77777777" w:rsidTr="0AE73489">
        <w:trPr>
          <w:trHeight w:val="242"/>
        </w:trPr>
        <w:tc>
          <w:tcPr>
            <w:tcW w:w="9897" w:type="dxa"/>
            <w:gridSpan w:val="2"/>
            <w:shd w:val="clear" w:color="auto" w:fill="CCCCCC"/>
          </w:tcPr>
          <w:p w14:paraId="4573E044" w14:textId="7ECC632F" w:rsidR="00850471" w:rsidRPr="00581D5B" w:rsidRDefault="00581D5B" w:rsidP="0048438C">
            <w:pPr>
              <w:spacing w:before="60" w:after="60"/>
              <w:rPr>
                <w:b/>
                <w:iCs/>
                <w:szCs w:val="24"/>
              </w:rPr>
            </w:pPr>
            <w:r w:rsidRPr="00581D5B">
              <w:rPr>
                <w:b/>
                <w:iCs/>
                <w:szCs w:val="24"/>
              </w:rPr>
              <w:t>REGULATORY OBSERVATION:</w:t>
            </w:r>
          </w:p>
        </w:tc>
      </w:tr>
      <w:tr w:rsidR="00850471" w:rsidRPr="0048438C" w14:paraId="4573E049" w14:textId="77777777" w:rsidTr="0AE73489">
        <w:tc>
          <w:tcPr>
            <w:tcW w:w="9897" w:type="dxa"/>
            <w:gridSpan w:val="2"/>
          </w:tcPr>
          <w:p w14:paraId="10839737" w14:textId="32A5F8CE" w:rsidR="005E7EF6" w:rsidRPr="0048438C" w:rsidRDefault="00CC67B6" w:rsidP="0048438C">
            <w:pPr>
              <w:spacing w:before="60" w:after="60"/>
              <w:rPr>
                <w:b/>
                <w:szCs w:val="24"/>
                <w:u w:val="single"/>
              </w:rPr>
            </w:pPr>
            <w:r w:rsidRPr="0048438C">
              <w:rPr>
                <w:b/>
                <w:szCs w:val="24"/>
                <w:u w:val="single"/>
              </w:rPr>
              <w:t>Background</w:t>
            </w:r>
          </w:p>
          <w:p w14:paraId="223238C9" w14:textId="4AF8D4CE" w:rsidR="00971E4E" w:rsidRDefault="00971E4E" w:rsidP="004E6A49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Loss of coolant accidents (LOCAs)</w:t>
            </w:r>
            <w:r w:rsidR="00570B46">
              <w:rPr>
                <w:szCs w:val="24"/>
              </w:rPr>
              <w:t xml:space="preserve"> in light water reactors</w:t>
            </w:r>
            <w:r>
              <w:rPr>
                <w:szCs w:val="24"/>
              </w:rPr>
              <w:t xml:space="preserve"> have the potential to challenge the fundamental safety functions of </w:t>
            </w:r>
            <w:r w:rsidR="00570B46">
              <w:rPr>
                <w:szCs w:val="24"/>
              </w:rPr>
              <w:t xml:space="preserve">a reactor. Most notably, </w:t>
            </w:r>
            <w:r w:rsidR="00C735D1">
              <w:rPr>
                <w:szCs w:val="24"/>
              </w:rPr>
              <w:t xml:space="preserve">decay </w:t>
            </w:r>
            <w:r w:rsidR="00570B46">
              <w:rPr>
                <w:szCs w:val="24"/>
              </w:rPr>
              <w:t>heat removal</w:t>
            </w:r>
            <w:r w:rsidR="00C735D1">
              <w:rPr>
                <w:szCs w:val="24"/>
              </w:rPr>
              <w:t xml:space="preserve"> following reactor shutdown</w:t>
            </w:r>
            <w:r w:rsidR="00570B46">
              <w:rPr>
                <w:szCs w:val="24"/>
              </w:rPr>
              <w:t xml:space="preserve"> can be challenged as </w:t>
            </w:r>
            <w:r w:rsidR="00C735D1">
              <w:rPr>
                <w:szCs w:val="24"/>
              </w:rPr>
              <w:t xml:space="preserve">coolant is lost </w:t>
            </w:r>
            <w:r w:rsidR="00F60EF0">
              <w:rPr>
                <w:szCs w:val="24"/>
              </w:rPr>
              <w:t xml:space="preserve">from the Reactor Pressure Vessel </w:t>
            </w:r>
            <w:r w:rsidR="007A0E4D">
              <w:rPr>
                <w:szCs w:val="24"/>
              </w:rPr>
              <w:t>(RPV)</w:t>
            </w:r>
            <w:r w:rsidR="00973CC9">
              <w:rPr>
                <w:szCs w:val="24"/>
              </w:rPr>
              <w:t xml:space="preserve">. </w:t>
            </w:r>
            <w:r w:rsidR="00436A45">
              <w:rPr>
                <w:szCs w:val="24"/>
              </w:rPr>
              <w:t>Whilst traditional gigawatt</w:t>
            </w:r>
            <w:r w:rsidR="000D7095">
              <w:rPr>
                <w:szCs w:val="24"/>
              </w:rPr>
              <w:t>-</w:t>
            </w:r>
            <w:r w:rsidR="00436A45">
              <w:rPr>
                <w:szCs w:val="24"/>
              </w:rPr>
              <w:t>scale reactors have include</w:t>
            </w:r>
            <w:r w:rsidR="00826D1E">
              <w:rPr>
                <w:szCs w:val="24"/>
              </w:rPr>
              <w:t>d</w:t>
            </w:r>
            <w:r w:rsidR="00436A45">
              <w:rPr>
                <w:szCs w:val="24"/>
              </w:rPr>
              <w:t xml:space="preserve"> injection systems to</w:t>
            </w:r>
            <w:r w:rsidR="000D7095">
              <w:rPr>
                <w:szCs w:val="24"/>
              </w:rPr>
              <w:t xml:space="preserve"> counteract the loss of coolant and enable continued heat removal, the BWRX-300 </w:t>
            </w:r>
            <w:r w:rsidR="00412FA7">
              <w:rPr>
                <w:szCs w:val="24"/>
              </w:rPr>
              <w:t xml:space="preserve">reactor </w:t>
            </w:r>
            <w:r w:rsidR="000D7095">
              <w:rPr>
                <w:szCs w:val="24"/>
              </w:rPr>
              <w:t>employs a</w:t>
            </w:r>
            <w:r w:rsidR="00412FA7">
              <w:rPr>
                <w:szCs w:val="24"/>
              </w:rPr>
              <w:t xml:space="preserve">n isolation system </w:t>
            </w:r>
            <w:r w:rsidR="0047739E">
              <w:rPr>
                <w:szCs w:val="24"/>
              </w:rPr>
              <w:t xml:space="preserve">allowing </w:t>
            </w:r>
            <w:r w:rsidR="003E0180">
              <w:rPr>
                <w:szCs w:val="24"/>
              </w:rPr>
              <w:t xml:space="preserve">the same heat removal </w:t>
            </w:r>
            <w:r w:rsidR="0047739E">
              <w:rPr>
                <w:szCs w:val="24"/>
              </w:rPr>
              <w:t xml:space="preserve">systems to be credited for both non-LOCA and LOCA accidents. </w:t>
            </w:r>
            <w:r w:rsidR="00436A45">
              <w:rPr>
                <w:szCs w:val="24"/>
              </w:rPr>
              <w:t xml:space="preserve"> </w:t>
            </w:r>
          </w:p>
          <w:p w14:paraId="42BE101F" w14:textId="77777777" w:rsidR="00971E4E" w:rsidRDefault="00971E4E" w:rsidP="004E6A49">
            <w:pPr>
              <w:spacing w:before="60" w:after="60"/>
              <w:rPr>
                <w:szCs w:val="24"/>
              </w:rPr>
            </w:pPr>
          </w:p>
          <w:p w14:paraId="63C4DAD1" w14:textId="79B19442" w:rsidR="00A831CB" w:rsidRDefault="00F1409F" w:rsidP="004E6A49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For this reason, t</w:t>
            </w:r>
            <w:r w:rsidR="004867C2">
              <w:rPr>
                <w:szCs w:val="24"/>
              </w:rPr>
              <w:t xml:space="preserve">he </w:t>
            </w:r>
            <w:r w:rsidR="008B4DF9">
              <w:rPr>
                <w:szCs w:val="24"/>
              </w:rPr>
              <w:t xml:space="preserve">safety of the </w:t>
            </w:r>
            <w:r w:rsidR="004867C2">
              <w:rPr>
                <w:szCs w:val="24"/>
              </w:rPr>
              <w:t xml:space="preserve">BWRX-300 </w:t>
            </w:r>
            <w:r w:rsidR="008B4DF9">
              <w:rPr>
                <w:szCs w:val="24"/>
              </w:rPr>
              <w:t>is high</w:t>
            </w:r>
            <w:r w:rsidR="007376D0">
              <w:rPr>
                <w:szCs w:val="24"/>
              </w:rPr>
              <w:t>ly</w:t>
            </w:r>
            <w:r w:rsidR="008B4DF9">
              <w:rPr>
                <w:szCs w:val="24"/>
              </w:rPr>
              <w:t xml:space="preserve"> reliant </w:t>
            </w:r>
            <w:r w:rsidR="003C3DCA">
              <w:rPr>
                <w:szCs w:val="24"/>
              </w:rPr>
              <w:t xml:space="preserve">on </w:t>
            </w:r>
            <w:r w:rsidR="00E66EBF">
              <w:rPr>
                <w:szCs w:val="24"/>
              </w:rPr>
              <w:t xml:space="preserve">twin redundant </w:t>
            </w:r>
            <w:r w:rsidR="00256F8E">
              <w:rPr>
                <w:szCs w:val="24"/>
              </w:rPr>
              <w:t xml:space="preserve">Reactor Isolation Valves </w:t>
            </w:r>
            <w:r w:rsidR="00793C8C">
              <w:rPr>
                <w:szCs w:val="24"/>
              </w:rPr>
              <w:t>(</w:t>
            </w:r>
            <w:r w:rsidR="00236F47">
              <w:rPr>
                <w:szCs w:val="24"/>
              </w:rPr>
              <w:t>RIVs) and the</w:t>
            </w:r>
            <w:r w:rsidR="00EA0E90">
              <w:rPr>
                <w:szCs w:val="24"/>
              </w:rPr>
              <w:t>ir</w:t>
            </w:r>
            <w:r w:rsidR="00236F47">
              <w:rPr>
                <w:szCs w:val="24"/>
              </w:rPr>
              <w:t xml:space="preserve"> connection</w:t>
            </w:r>
            <w:r w:rsidR="00E66EBF">
              <w:rPr>
                <w:szCs w:val="24"/>
              </w:rPr>
              <w:t>s</w:t>
            </w:r>
            <w:r w:rsidR="00236F47">
              <w:rPr>
                <w:szCs w:val="24"/>
              </w:rPr>
              <w:t xml:space="preserve"> </w:t>
            </w:r>
            <w:r w:rsidR="00EA0E90">
              <w:rPr>
                <w:szCs w:val="24"/>
              </w:rPr>
              <w:t>to the RPV</w:t>
            </w:r>
            <w:r w:rsidR="00717AD9">
              <w:rPr>
                <w:szCs w:val="24"/>
              </w:rPr>
              <w:t xml:space="preserve">. </w:t>
            </w:r>
            <w:r w:rsidR="008D546E">
              <w:rPr>
                <w:szCs w:val="24"/>
              </w:rPr>
              <w:t xml:space="preserve">These </w:t>
            </w:r>
            <w:r w:rsidR="00B67604">
              <w:rPr>
                <w:szCs w:val="24"/>
              </w:rPr>
              <w:t xml:space="preserve">RIVs </w:t>
            </w:r>
            <w:r w:rsidR="00A42FCF">
              <w:rPr>
                <w:szCs w:val="24"/>
              </w:rPr>
              <w:t>ar</w:t>
            </w:r>
            <w:r w:rsidR="00E66EBF">
              <w:rPr>
                <w:szCs w:val="24"/>
              </w:rPr>
              <w:t xml:space="preserve">e </w:t>
            </w:r>
            <w:r w:rsidR="006762A5">
              <w:rPr>
                <w:szCs w:val="24"/>
              </w:rPr>
              <w:t>included in</w:t>
            </w:r>
            <w:r w:rsidR="000875F2">
              <w:rPr>
                <w:szCs w:val="24"/>
              </w:rPr>
              <w:t xml:space="preserve"> every large pip</w:t>
            </w:r>
            <w:r w:rsidR="002733BB">
              <w:rPr>
                <w:szCs w:val="24"/>
              </w:rPr>
              <w:t>e</w:t>
            </w:r>
            <w:r w:rsidR="0036000B">
              <w:rPr>
                <w:szCs w:val="24"/>
              </w:rPr>
              <w:t xml:space="preserve"> </w:t>
            </w:r>
            <w:r w:rsidR="00D36441">
              <w:rPr>
                <w:szCs w:val="24"/>
              </w:rPr>
              <w:t xml:space="preserve">exceeding </w:t>
            </w:r>
            <w:r w:rsidR="0036000B">
              <w:rPr>
                <w:szCs w:val="24"/>
              </w:rPr>
              <w:t>19mm</w:t>
            </w:r>
            <w:r w:rsidR="009D7002">
              <w:rPr>
                <w:szCs w:val="24"/>
              </w:rPr>
              <w:t xml:space="preserve"> </w:t>
            </w:r>
            <w:r w:rsidR="0036000B">
              <w:rPr>
                <w:szCs w:val="24"/>
              </w:rPr>
              <w:t xml:space="preserve">diameter </w:t>
            </w:r>
            <w:r w:rsidR="00D36441">
              <w:rPr>
                <w:szCs w:val="24"/>
              </w:rPr>
              <w:t>which</w:t>
            </w:r>
            <w:r w:rsidR="006762A5">
              <w:rPr>
                <w:szCs w:val="24"/>
              </w:rPr>
              <w:t xml:space="preserve"> </w:t>
            </w:r>
            <w:r w:rsidR="009D7002">
              <w:rPr>
                <w:szCs w:val="24"/>
              </w:rPr>
              <w:t>pass</w:t>
            </w:r>
            <w:r w:rsidR="006762A5">
              <w:rPr>
                <w:szCs w:val="24"/>
              </w:rPr>
              <w:t>es</w:t>
            </w:r>
            <w:r w:rsidR="009D7002">
              <w:rPr>
                <w:szCs w:val="24"/>
              </w:rPr>
              <w:t xml:space="preserve"> </w:t>
            </w:r>
            <w:r w:rsidR="00163FA5">
              <w:rPr>
                <w:szCs w:val="24"/>
              </w:rPr>
              <w:t>through containment</w:t>
            </w:r>
            <w:r w:rsidR="000875F2">
              <w:rPr>
                <w:szCs w:val="24"/>
              </w:rPr>
              <w:t>.</w:t>
            </w:r>
            <w:r w:rsidR="002733BB">
              <w:rPr>
                <w:szCs w:val="24"/>
              </w:rPr>
              <w:t xml:space="preserve"> </w:t>
            </w:r>
            <w:r w:rsidR="005120D2">
              <w:rPr>
                <w:szCs w:val="24"/>
              </w:rPr>
              <w:t xml:space="preserve">They are located </w:t>
            </w:r>
            <w:r w:rsidR="005171A2">
              <w:rPr>
                <w:szCs w:val="24"/>
              </w:rPr>
              <w:t>very close to the RPV to minimise un</w:t>
            </w:r>
            <w:r w:rsidR="00223CAD">
              <w:rPr>
                <w:szCs w:val="24"/>
              </w:rPr>
              <w:t>-</w:t>
            </w:r>
            <w:r w:rsidR="005171A2">
              <w:rPr>
                <w:szCs w:val="24"/>
              </w:rPr>
              <w:t xml:space="preserve">isolable pipework. </w:t>
            </w:r>
            <w:r w:rsidR="0013590B">
              <w:rPr>
                <w:szCs w:val="24"/>
              </w:rPr>
              <w:t>Following</w:t>
            </w:r>
            <w:r w:rsidR="002733BB">
              <w:rPr>
                <w:szCs w:val="24"/>
              </w:rPr>
              <w:t xml:space="preserve"> a large </w:t>
            </w:r>
            <w:r w:rsidR="00F0341B">
              <w:rPr>
                <w:szCs w:val="24"/>
              </w:rPr>
              <w:t xml:space="preserve">pipe </w:t>
            </w:r>
            <w:r w:rsidR="005B59C4">
              <w:rPr>
                <w:szCs w:val="24"/>
              </w:rPr>
              <w:t>break</w:t>
            </w:r>
            <w:r w:rsidR="002C493F">
              <w:rPr>
                <w:szCs w:val="24"/>
              </w:rPr>
              <w:t xml:space="preserve">, </w:t>
            </w:r>
            <w:r w:rsidR="0013590B">
              <w:rPr>
                <w:szCs w:val="24"/>
              </w:rPr>
              <w:t>they need</w:t>
            </w:r>
            <w:r w:rsidR="00CD1B46">
              <w:rPr>
                <w:szCs w:val="24"/>
              </w:rPr>
              <w:t xml:space="preserve"> </w:t>
            </w:r>
            <w:r w:rsidR="003B22FC">
              <w:rPr>
                <w:szCs w:val="24"/>
              </w:rPr>
              <w:t>to close rapidly to</w:t>
            </w:r>
            <w:r w:rsidR="00C05B97">
              <w:rPr>
                <w:szCs w:val="24"/>
              </w:rPr>
              <w:t xml:space="preserve"> isolate the break from the RPV</w:t>
            </w:r>
            <w:r w:rsidR="000C667C">
              <w:rPr>
                <w:szCs w:val="24"/>
              </w:rPr>
              <w:t>;</w:t>
            </w:r>
            <w:r w:rsidR="00C05B97">
              <w:rPr>
                <w:szCs w:val="24"/>
              </w:rPr>
              <w:t xml:space="preserve"> </w:t>
            </w:r>
            <w:r w:rsidR="000C667C">
              <w:rPr>
                <w:szCs w:val="24"/>
              </w:rPr>
              <w:t xml:space="preserve">this </w:t>
            </w:r>
            <w:r w:rsidR="006B5DE9">
              <w:rPr>
                <w:szCs w:val="24"/>
              </w:rPr>
              <w:t>preserve</w:t>
            </w:r>
            <w:r w:rsidR="000C667C">
              <w:rPr>
                <w:szCs w:val="24"/>
              </w:rPr>
              <w:t>s</w:t>
            </w:r>
            <w:r w:rsidR="006B5DE9">
              <w:rPr>
                <w:szCs w:val="24"/>
              </w:rPr>
              <w:t xml:space="preserve"> </w:t>
            </w:r>
            <w:r w:rsidR="001E29EF">
              <w:rPr>
                <w:szCs w:val="24"/>
              </w:rPr>
              <w:t xml:space="preserve">the </w:t>
            </w:r>
            <w:r w:rsidR="006B5DE9">
              <w:rPr>
                <w:szCs w:val="24"/>
              </w:rPr>
              <w:t xml:space="preserve">coolant inventory and </w:t>
            </w:r>
            <w:r w:rsidR="008927C3">
              <w:rPr>
                <w:szCs w:val="24"/>
              </w:rPr>
              <w:t>enable</w:t>
            </w:r>
            <w:r w:rsidR="00256C89">
              <w:rPr>
                <w:szCs w:val="24"/>
              </w:rPr>
              <w:t>s</w:t>
            </w:r>
            <w:r w:rsidR="008927C3">
              <w:rPr>
                <w:szCs w:val="24"/>
              </w:rPr>
              <w:t xml:space="preserve"> </w:t>
            </w:r>
            <w:r w:rsidR="005171A2">
              <w:rPr>
                <w:szCs w:val="24"/>
              </w:rPr>
              <w:t xml:space="preserve">passive </w:t>
            </w:r>
            <w:r w:rsidR="005B59C4">
              <w:rPr>
                <w:szCs w:val="24"/>
              </w:rPr>
              <w:t xml:space="preserve">core </w:t>
            </w:r>
            <w:r w:rsidR="006B5DE9">
              <w:rPr>
                <w:szCs w:val="24"/>
              </w:rPr>
              <w:t>cooling</w:t>
            </w:r>
            <w:r w:rsidR="00E819DC">
              <w:rPr>
                <w:szCs w:val="24"/>
              </w:rPr>
              <w:t xml:space="preserve"> via the Isolation Condens</w:t>
            </w:r>
            <w:r w:rsidR="00D00C6C">
              <w:rPr>
                <w:szCs w:val="24"/>
              </w:rPr>
              <w:t>er System (ICS)</w:t>
            </w:r>
            <w:r w:rsidR="005B59C4">
              <w:rPr>
                <w:szCs w:val="24"/>
              </w:rPr>
              <w:t>.</w:t>
            </w:r>
            <w:r w:rsidR="006B5DE9">
              <w:rPr>
                <w:szCs w:val="24"/>
              </w:rPr>
              <w:t xml:space="preserve"> </w:t>
            </w:r>
            <w:r w:rsidR="00ED69FD">
              <w:rPr>
                <w:szCs w:val="24"/>
              </w:rPr>
              <w:t>Chapter 15</w:t>
            </w:r>
            <w:r w:rsidR="00C42B92">
              <w:rPr>
                <w:szCs w:val="24"/>
              </w:rPr>
              <w:t xml:space="preserve">.5 </w:t>
            </w:r>
            <w:r w:rsidR="00C42B92">
              <w:rPr>
                <w:szCs w:val="24"/>
              </w:rPr>
              <w:lastRenderedPageBreak/>
              <w:t xml:space="preserve">of the </w:t>
            </w:r>
            <w:r w:rsidR="00765EAB">
              <w:rPr>
                <w:szCs w:val="24"/>
              </w:rPr>
              <w:t>P</w:t>
            </w:r>
            <w:r w:rsidR="00C42B92">
              <w:rPr>
                <w:szCs w:val="24"/>
              </w:rPr>
              <w:t>reliminary Safety Report</w:t>
            </w:r>
            <w:r w:rsidR="00D617F2">
              <w:rPr>
                <w:szCs w:val="24"/>
              </w:rPr>
              <w:t xml:space="preserve"> [</w:t>
            </w:r>
            <w:r w:rsidR="004752CD">
              <w:rPr>
                <w:szCs w:val="24"/>
              </w:rPr>
              <w:t xml:space="preserve">ref. </w:t>
            </w:r>
            <w:r w:rsidR="000F5B25">
              <w:rPr>
                <w:szCs w:val="24"/>
              </w:rPr>
              <w:t>1</w:t>
            </w:r>
            <w:r w:rsidR="00D617F2">
              <w:rPr>
                <w:szCs w:val="24"/>
              </w:rPr>
              <w:t>]</w:t>
            </w:r>
            <w:r w:rsidR="00765EAB">
              <w:rPr>
                <w:szCs w:val="24"/>
              </w:rPr>
              <w:t xml:space="preserve"> </w:t>
            </w:r>
            <w:r w:rsidR="00BF3A88">
              <w:rPr>
                <w:szCs w:val="24"/>
              </w:rPr>
              <w:t xml:space="preserve">provides </w:t>
            </w:r>
            <w:r w:rsidR="00AA4320">
              <w:rPr>
                <w:szCs w:val="24"/>
              </w:rPr>
              <w:t xml:space="preserve">a </w:t>
            </w:r>
            <w:r w:rsidR="00004557">
              <w:rPr>
                <w:szCs w:val="24"/>
              </w:rPr>
              <w:t xml:space="preserve">deterministic </w:t>
            </w:r>
            <w:r w:rsidR="00AA4320">
              <w:rPr>
                <w:szCs w:val="24"/>
              </w:rPr>
              <w:t xml:space="preserve">fault analysis </w:t>
            </w:r>
            <w:r w:rsidR="00004557">
              <w:rPr>
                <w:szCs w:val="24"/>
              </w:rPr>
              <w:t xml:space="preserve">which </w:t>
            </w:r>
            <w:r w:rsidR="00AA4320">
              <w:rPr>
                <w:szCs w:val="24"/>
              </w:rPr>
              <w:t>cover</w:t>
            </w:r>
            <w:r w:rsidR="009E3AAD">
              <w:rPr>
                <w:szCs w:val="24"/>
              </w:rPr>
              <w:t>s</w:t>
            </w:r>
            <w:r w:rsidR="00AA4320">
              <w:rPr>
                <w:szCs w:val="24"/>
              </w:rPr>
              <w:t xml:space="preserve"> </w:t>
            </w:r>
            <w:r w:rsidR="00F95E50">
              <w:rPr>
                <w:szCs w:val="24"/>
              </w:rPr>
              <w:t xml:space="preserve">large </w:t>
            </w:r>
            <w:r w:rsidR="00960675">
              <w:rPr>
                <w:szCs w:val="24"/>
              </w:rPr>
              <w:t xml:space="preserve">isolable </w:t>
            </w:r>
            <w:r w:rsidR="006D20A4">
              <w:rPr>
                <w:szCs w:val="24"/>
              </w:rPr>
              <w:t xml:space="preserve">pipe </w:t>
            </w:r>
            <w:r w:rsidR="00000206">
              <w:rPr>
                <w:szCs w:val="24"/>
              </w:rPr>
              <w:t>breaks</w:t>
            </w:r>
            <w:r w:rsidR="00004557">
              <w:rPr>
                <w:szCs w:val="24"/>
              </w:rPr>
              <w:t xml:space="preserve">, </w:t>
            </w:r>
            <w:r w:rsidR="009E3AAD">
              <w:rPr>
                <w:szCs w:val="24"/>
              </w:rPr>
              <w:t xml:space="preserve">the </w:t>
            </w:r>
            <w:r w:rsidR="00004557">
              <w:rPr>
                <w:szCs w:val="24"/>
              </w:rPr>
              <w:t xml:space="preserve">closure of </w:t>
            </w:r>
            <w:r w:rsidR="00C42C0F">
              <w:rPr>
                <w:szCs w:val="24"/>
              </w:rPr>
              <w:t xml:space="preserve">the </w:t>
            </w:r>
            <w:r w:rsidR="00004557">
              <w:rPr>
                <w:szCs w:val="24"/>
              </w:rPr>
              <w:t>RIVs</w:t>
            </w:r>
            <w:r w:rsidR="00000206">
              <w:rPr>
                <w:szCs w:val="24"/>
              </w:rPr>
              <w:t xml:space="preserve"> </w:t>
            </w:r>
            <w:r w:rsidR="006324E9">
              <w:rPr>
                <w:szCs w:val="24"/>
              </w:rPr>
              <w:t>and successful core cooling</w:t>
            </w:r>
            <w:r w:rsidR="009062CA">
              <w:rPr>
                <w:szCs w:val="24"/>
              </w:rPr>
              <w:t xml:space="preserve"> </w:t>
            </w:r>
            <w:r w:rsidR="00D00C6C">
              <w:rPr>
                <w:szCs w:val="24"/>
              </w:rPr>
              <w:t xml:space="preserve">via </w:t>
            </w:r>
            <w:r w:rsidR="00587409">
              <w:rPr>
                <w:szCs w:val="24"/>
              </w:rPr>
              <w:t xml:space="preserve">the </w:t>
            </w:r>
            <w:r w:rsidR="00D00C6C">
              <w:rPr>
                <w:szCs w:val="24"/>
              </w:rPr>
              <w:t>ICS</w:t>
            </w:r>
            <w:r w:rsidR="006324E9">
              <w:rPr>
                <w:szCs w:val="24"/>
              </w:rPr>
              <w:t>.</w:t>
            </w:r>
          </w:p>
          <w:p w14:paraId="6CBAE33F" w14:textId="77777777" w:rsidR="00B10C50" w:rsidRDefault="00B10C50" w:rsidP="00D921CF">
            <w:pPr>
              <w:spacing w:before="60" w:after="60"/>
              <w:rPr>
                <w:szCs w:val="24"/>
              </w:rPr>
            </w:pPr>
          </w:p>
          <w:p w14:paraId="2349F735" w14:textId="1D225D91" w:rsidR="00B10C50" w:rsidRDefault="008C1C52" w:rsidP="00D921CF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A</w:t>
            </w:r>
            <w:r w:rsidR="00CF166C">
              <w:rPr>
                <w:szCs w:val="24"/>
              </w:rPr>
              <w:t>n</w:t>
            </w:r>
            <w:r w:rsidR="002D0421">
              <w:rPr>
                <w:szCs w:val="24"/>
              </w:rPr>
              <w:t>y</w:t>
            </w:r>
            <w:r w:rsidR="008868E0">
              <w:rPr>
                <w:szCs w:val="24"/>
              </w:rPr>
              <w:t xml:space="preserve"> </w:t>
            </w:r>
            <w:r w:rsidR="00CF166C">
              <w:rPr>
                <w:szCs w:val="24"/>
              </w:rPr>
              <w:t xml:space="preserve">un-isolable or </w:t>
            </w:r>
            <w:r w:rsidR="008868E0">
              <w:rPr>
                <w:szCs w:val="24"/>
              </w:rPr>
              <w:t xml:space="preserve">non-isolated break has the potential to challenge </w:t>
            </w:r>
            <w:r w:rsidR="00587409">
              <w:rPr>
                <w:szCs w:val="24"/>
              </w:rPr>
              <w:t>core cooling via</w:t>
            </w:r>
            <w:r w:rsidR="008868E0">
              <w:rPr>
                <w:szCs w:val="24"/>
              </w:rPr>
              <w:t xml:space="preserve"> the ICS. </w:t>
            </w:r>
            <w:r w:rsidR="00EB736A">
              <w:rPr>
                <w:szCs w:val="24"/>
              </w:rPr>
              <w:t>During GDA, t</w:t>
            </w:r>
            <w:r w:rsidR="004C170A">
              <w:rPr>
                <w:szCs w:val="24"/>
              </w:rPr>
              <w:t xml:space="preserve">he RP has </w:t>
            </w:r>
            <w:r w:rsidR="00C526F2">
              <w:rPr>
                <w:szCs w:val="24"/>
              </w:rPr>
              <w:t xml:space="preserve">acknowledged </w:t>
            </w:r>
            <w:r w:rsidR="009B4887">
              <w:rPr>
                <w:szCs w:val="24"/>
              </w:rPr>
              <w:t xml:space="preserve">and committed </w:t>
            </w:r>
            <w:r w:rsidR="00C32C25">
              <w:rPr>
                <w:szCs w:val="24"/>
              </w:rPr>
              <w:t xml:space="preserve">to performing </w:t>
            </w:r>
            <w:r w:rsidR="006C20EB">
              <w:rPr>
                <w:szCs w:val="24"/>
              </w:rPr>
              <w:t xml:space="preserve">further </w:t>
            </w:r>
            <w:r w:rsidR="00C32C25">
              <w:rPr>
                <w:szCs w:val="24"/>
              </w:rPr>
              <w:t xml:space="preserve">deterministic analysis of </w:t>
            </w:r>
            <w:r w:rsidR="00C526F2">
              <w:rPr>
                <w:szCs w:val="24"/>
              </w:rPr>
              <w:t>potential sequences</w:t>
            </w:r>
            <w:r w:rsidR="00EB1957">
              <w:rPr>
                <w:szCs w:val="24"/>
              </w:rPr>
              <w:t xml:space="preserve"> [refs. 3 and 4]</w:t>
            </w:r>
            <w:r w:rsidR="00C526F2">
              <w:rPr>
                <w:szCs w:val="24"/>
              </w:rPr>
              <w:t>:</w:t>
            </w:r>
          </w:p>
          <w:p w14:paraId="5C3476C7" w14:textId="3B211CD1" w:rsidR="00C526F2" w:rsidRDefault="00FF2232" w:rsidP="00CA4EA2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Large </w:t>
            </w:r>
            <w:r w:rsidR="006A75CE">
              <w:rPr>
                <w:szCs w:val="24"/>
              </w:rPr>
              <w:t>break</w:t>
            </w:r>
            <w:r>
              <w:rPr>
                <w:szCs w:val="24"/>
              </w:rPr>
              <w:t xml:space="preserve">s </w:t>
            </w:r>
            <w:r w:rsidR="007F7A45">
              <w:rPr>
                <w:szCs w:val="24"/>
              </w:rPr>
              <w:t xml:space="preserve">arising </w:t>
            </w:r>
            <w:r>
              <w:rPr>
                <w:szCs w:val="24"/>
              </w:rPr>
              <w:t>in un</w:t>
            </w:r>
            <w:r w:rsidR="00F867B1">
              <w:rPr>
                <w:szCs w:val="24"/>
              </w:rPr>
              <w:t>-</w:t>
            </w:r>
            <w:r>
              <w:rPr>
                <w:szCs w:val="24"/>
              </w:rPr>
              <w:t xml:space="preserve">isolable </w:t>
            </w:r>
            <w:r w:rsidR="006A75CE">
              <w:rPr>
                <w:szCs w:val="24"/>
              </w:rPr>
              <w:t>locations</w:t>
            </w:r>
            <w:r>
              <w:rPr>
                <w:szCs w:val="24"/>
              </w:rPr>
              <w:t xml:space="preserve"> (e.g. </w:t>
            </w:r>
            <w:r w:rsidR="009F1905">
              <w:rPr>
                <w:szCs w:val="24"/>
              </w:rPr>
              <w:t xml:space="preserve">between </w:t>
            </w:r>
            <w:r>
              <w:rPr>
                <w:szCs w:val="24"/>
              </w:rPr>
              <w:t>RPV nozzles</w:t>
            </w:r>
            <w:r w:rsidR="009F1905">
              <w:rPr>
                <w:szCs w:val="24"/>
              </w:rPr>
              <w:t xml:space="preserve"> and RIVs</w:t>
            </w:r>
            <w:r>
              <w:rPr>
                <w:szCs w:val="24"/>
              </w:rPr>
              <w:t>)</w:t>
            </w:r>
          </w:p>
          <w:p w14:paraId="3ED9FFC6" w14:textId="4C640F1B" w:rsidR="00B10C50" w:rsidRPr="008437D7" w:rsidRDefault="00E016C4" w:rsidP="00CA4EA2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Large</w:t>
            </w:r>
            <w:r w:rsidR="006A75CE">
              <w:rPr>
                <w:szCs w:val="24"/>
              </w:rPr>
              <w:t xml:space="preserve"> breaks </w:t>
            </w:r>
            <w:r w:rsidR="009F1905">
              <w:rPr>
                <w:szCs w:val="24"/>
              </w:rPr>
              <w:t>arising</w:t>
            </w:r>
            <w:r w:rsidR="00D87AA2">
              <w:rPr>
                <w:szCs w:val="24"/>
              </w:rPr>
              <w:t xml:space="preserve"> </w:t>
            </w:r>
            <w:r>
              <w:rPr>
                <w:szCs w:val="24"/>
              </w:rPr>
              <w:t>in isolable locations</w:t>
            </w:r>
            <w:r w:rsidR="00FF3E83">
              <w:rPr>
                <w:szCs w:val="24"/>
              </w:rPr>
              <w:t xml:space="preserve"> </w:t>
            </w:r>
            <w:r w:rsidR="00D87AA2">
              <w:rPr>
                <w:szCs w:val="24"/>
              </w:rPr>
              <w:t>with</w:t>
            </w:r>
            <w:r w:rsidR="006A75CE">
              <w:rPr>
                <w:szCs w:val="24"/>
              </w:rPr>
              <w:t xml:space="preserve"> </w:t>
            </w:r>
            <w:r w:rsidR="00A04C01">
              <w:rPr>
                <w:szCs w:val="24"/>
              </w:rPr>
              <w:t>subsequent</w:t>
            </w:r>
            <w:r w:rsidR="00666814">
              <w:rPr>
                <w:szCs w:val="24"/>
              </w:rPr>
              <w:t xml:space="preserve"> </w:t>
            </w:r>
            <w:r w:rsidR="005013D1">
              <w:rPr>
                <w:szCs w:val="24"/>
              </w:rPr>
              <w:t xml:space="preserve">common cause </w:t>
            </w:r>
            <w:r w:rsidR="006A75CE">
              <w:rPr>
                <w:szCs w:val="24"/>
              </w:rPr>
              <w:t>failure</w:t>
            </w:r>
            <w:r w:rsidR="00433FF5">
              <w:rPr>
                <w:szCs w:val="24"/>
              </w:rPr>
              <w:t>s</w:t>
            </w:r>
            <w:r w:rsidR="009C1458">
              <w:rPr>
                <w:szCs w:val="24"/>
              </w:rPr>
              <w:t xml:space="preserve"> (CCF)</w:t>
            </w:r>
            <w:r w:rsidR="006A75CE">
              <w:rPr>
                <w:szCs w:val="24"/>
              </w:rPr>
              <w:t xml:space="preserve"> </w:t>
            </w:r>
            <w:r w:rsidR="009E4562">
              <w:rPr>
                <w:szCs w:val="24"/>
              </w:rPr>
              <w:t>resulting in</w:t>
            </w:r>
            <w:r w:rsidR="009C1458">
              <w:rPr>
                <w:szCs w:val="24"/>
              </w:rPr>
              <w:t xml:space="preserve"> </w:t>
            </w:r>
            <w:r w:rsidR="00D87AA2">
              <w:rPr>
                <w:szCs w:val="24"/>
              </w:rPr>
              <w:t>RIV</w:t>
            </w:r>
            <w:r w:rsidR="009E4562">
              <w:rPr>
                <w:szCs w:val="24"/>
              </w:rPr>
              <w:t>s</w:t>
            </w:r>
            <w:r w:rsidR="00D87AA2">
              <w:rPr>
                <w:szCs w:val="24"/>
              </w:rPr>
              <w:t xml:space="preserve"> </w:t>
            </w:r>
            <w:r w:rsidR="009E4562">
              <w:rPr>
                <w:szCs w:val="24"/>
              </w:rPr>
              <w:t xml:space="preserve">failing to </w:t>
            </w:r>
            <w:r w:rsidR="00D87AA2">
              <w:rPr>
                <w:szCs w:val="24"/>
              </w:rPr>
              <w:t>clos</w:t>
            </w:r>
            <w:r w:rsidR="009E4562">
              <w:rPr>
                <w:szCs w:val="24"/>
              </w:rPr>
              <w:t>e</w:t>
            </w:r>
            <w:r w:rsidR="00FF2232">
              <w:rPr>
                <w:szCs w:val="24"/>
              </w:rPr>
              <w:t>.</w:t>
            </w:r>
          </w:p>
          <w:p w14:paraId="585A2E34" w14:textId="135FDFA9" w:rsidR="00A809BF" w:rsidRDefault="002A5FA1" w:rsidP="008437D7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The RP ha</w:t>
            </w:r>
            <w:r w:rsidR="002C6647">
              <w:rPr>
                <w:szCs w:val="24"/>
              </w:rPr>
              <w:t>s</w:t>
            </w:r>
            <w:r>
              <w:rPr>
                <w:szCs w:val="24"/>
              </w:rPr>
              <w:t xml:space="preserve"> </w:t>
            </w:r>
            <w:r w:rsidR="00433FF5">
              <w:rPr>
                <w:szCs w:val="24"/>
              </w:rPr>
              <w:t xml:space="preserve">further </w:t>
            </w:r>
            <w:r>
              <w:rPr>
                <w:szCs w:val="24"/>
              </w:rPr>
              <w:t xml:space="preserve">indicated </w:t>
            </w:r>
            <w:r w:rsidR="00424FD9">
              <w:rPr>
                <w:szCs w:val="24"/>
              </w:rPr>
              <w:t>th</w:t>
            </w:r>
            <w:r w:rsidR="00CF530C">
              <w:rPr>
                <w:szCs w:val="24"/>
              </w:rPr>
              <w:t>is</w:t>
            </w:r>
            <w:r w:rsidR="00424FD9">
              <w:rPr>
                <w:szCs w:val="24"/>
              </w:rPr>
              <w:t xml:space="preserve"> </w:t>
            </w:r>
            <w:r w:rsidR="009F2220">
              <w:rPr>
                <w:szCs w:val="24"/>
              </w:rPr>
              <w:t>deterministic analysis will be used to inform</w:t>
            </w:r>
            <w:r w:rsidR="00583948">
              <w:rPr>
                <w:szCs w:val="24"/>
              </w:rPr>
              <w:t xml:space="preserve"> a more granular approach to</w:t>
            </w:r>
            <w:r w:rsidR="009F2220">
              <w:rPr>
                <w:szCs w:val="24"/>
              </w:rPr>
              <w:t xml:space="preserve"> structural </w:t>
            </w:r>
            <w:r w:rsidR="00D9637A">
              <w:rPr>
                <w:szCs w:val="24"/>
              </w:rPr>
              <w:t>integrity</w:t>
            </w:r>
            <w:r w:rsidR="009F2220">
              <w:rPr>
                <w:szCs w:val="24"/>
              </w:rPr>
              <w:t xml:space="preserve"> classifications of </w:t>
            </w:r>
            <w:r w:rsidR="00B04661">
              <w:rPr>
                <w:szCs w:val="24"/>
              </w:rPr>
              <w:t>pressure retaining components</w:t>
            </w:r>
            <w:r w:rsidR="00BB1FF9">
              <w:rPr>
                <w:szCs w:val="24"/>
              </w:rPr>
              <w:t xml:space="preserve"> </w:t>
            </w:r>
            <w:r w:rsidR="00A809BF">
              <w:rPr>
                <w:szCs w:val="24"/>
              </w:rPr>
              <w:t xml:space="preserve">and </w:t>
            </w:r>
            <w:r w:rsidR="00CF530C">
              <w:rPr>
                <w:szCs w:val="24"/>
              </w:rPr>
              <w:t xml:space="preserve">to </w:t>
            </w:r>
            <w:r w:rsidR="009568E5">
              <w:rPr>
                <w:szCs w:val="24"/>
              </w:rPr>
              <w:t>i</w:t>
            </w:r>
            <w:r w:rsidR="00A809BF">
              <w:rPr>
                <w:szCs w:val="24"/>
              </w:rPr>
              <w:t>dentify further deterministic claims on SSCs</w:t>
            </w:r>
            <w:r w:rsidR="00F0578D">
              <w:rPr>
                <w:szCs w:val="24"/>
              </w:rPr>
              <w:t xml:space="preserve"> [ref. 5]</w:t>
            </w:r>
            <w:r w:rsidR="00A809BF">
              <w:rPr>
                <w:szCs w:val="24"/>
              </w:rPr>
              <w:t>.</w:t>
            </w:r>
          </w:p>
          <w:p w14:paraId="43E88E03" w14:textId="0089160C" w:rsidR="00515050" w:rsidRDefault="00C32C25" w:rsidP="008437D7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However, </w:t>
            </w:r>
            <w:r w:rsidR="00D9637A">
              <w:rPr>
                <w:szCs w:val="24"/>
              </w:rPr>
              <w:t xml:space="preserve">based on submissions </w:t>
            </w:r>
            <w:r w:rsidR="00BB1FF9">
              <w:rPr>
                <w:szCs w:val="24"/>
              </w:rPr>
              <w:t xml:space="preserve">to date, </w:t>
            </w:r>
            <w:r w:rsidR="005417DC">
              <w:rPr>
                <w:szCs w:val="24"/>
              </w:rPr>
              <w:t>the implication of th</w:t>
            </w:r>
            <w:r w:rsidR="00E45500">
              <w:rPr>
                <w:szCs w:val="24"/>
              </w:rPr>
              <w:t xml:space="preserve">is </w:t>
            </w:r>
            <w:r w:rsidR="006C20EB">
              <w:rPr>
                <w:szCs w:val="24"/>
              </w:rPr>
              <w:t xml:space="preserve">further </w:t>
            </w:r>
            <w:r w:rsidR="005417DC">
              <w:rPr>
                <w:szCs w:val="24"/>
              </w:rPr>
              <w:t xml:space="preserve">deterministic analysis and </w:t>
            </w:r>
            <w:r>
              <w:rPr>
                <w:szCs w:val="24"/>
              </w:rPr>
              <w:t>the overall safety ca</w:t>
            </w:r>
            <w:r w:rsidR="00EB73D5">
              <w:rPr>
                <w:szCs w:val="24"/>
              </w:rPr>
              <w:t xml:space="preserve">se </w:t>
            </w:r>
            <w:r w:rsidR="003F5818">
              <w:rPr>
                <w:szCs w:val="24"/>
              </w:rPr>
              <w:t>for</w:t>
            </w:r>
            <w:r w:rsidR="00A54F80">
              <w:rPr>
                <w:szCs w:val="24"/>
              </w:rPr>
              <w:t xml:space="preserve"> these </w:t>
            </w:r>
            <w:r w:rsidR="003F5818">
              <w:rPr>
                <w:szCs w:val="24"/>
              </w:rPr>
              <w:t>sequences</w:t>
            </w:r>
            <w:r w:rsidR="00A54F80">
              <w:rPr>
                <w:szCs w:val="24"/>
              </w:rPr>
              <w:t xml:space="preserve"> </w:t>
            </w:r>
            <w:r w:rsidR="00E45500">
              <w:rPr>
                <w:szCs w:val="24"/>
              </w:rPr>
              <w:t>remain</w:t>
            </w:r>
            <w:r w:rsidR="005417DC">
              <w:rPr>
                <w:szCs w:val="24"/>
              </w:rPr>
              <w:t xml:space="preserve"> unclear</w:t>
            </w:r>
            <w:r w:rsidR="00EB73D5">
              <w:rPr>
                <w:szCs w:val="24"/>
              </w:rPr>
              <w:t xml:space="preserve">. </w:t>
            </w:r>
            <w:r w:rsidR="0022165D">
              <w:rPr>
                <w:szCs w:val="24"/>
              </w:rPr>
              <w:t xml:space="preserve">ONR considers that the RP has </w:t>
            </w:r>
            <w:r w:rsidR="00357B46">
              <w:rPr>
                <w:szCs w:val="24"/>
              </w:rPr>
              <w:t xml:space="preserve">not </w:t>
            </w:r>
            <w:r w:rsidR="0022165D">
              <w:rPr>
                <w:szCs w:val="24"/>
              </w:rPr>
              <w:t xml:space="preserve">submitted sufficient evidence </w:t>
            </w:r>
            <w:r w:rsidR="009B612E">
              <w:rPr>
                <w:szCs w:val="24"/>
              </w:rPr>
              <w:t>within the PSR [</w:t>
            </w:r>
            <w:r w:rsidR="004752CD">
              <w:rPr>
                <w:szCs w:val="24"/>
              </w:rPr>
              <w:t xml:space="preserve">ref. </w:t>
            </w:r>
            <w:r w:rsidR="009B612E">
              <w:rPr>
                <w:szCs w:val="24"/>
              </w:rPr>
              <w:t xml:space="preserve">1] </w:t>
            </w:r>
            <w:r w:rsidR="0022165D">
              <w:rPr>
                <w:szCs w:val="24"/>
              </w:rPr>
              <w:t xml:space="preserve">to demonstrate </w:t>
            </w:r>
            <w:r w:rsidR="001105BE">
              <w:rPr>
                <w:szCs w:val="24"/>
              </w:rPr>
              <w:t>these sequences</w:t>
            </w:r>
            <w:r w:rsidR="001E2347">
              <w:rPr>
                <w:szCs w:val="24"/>
              </w:rPr>
              <w:t xml:space="preserve"> </w:t>
            </w:r>
            <w:r w:rsidR="0022165D">
              <w:rPr>
                <w:szCs w:val="24"/>
              </w:rPr>
              <w:t xml:space="preserve">should </w:t>
            </w:r>
            <w:r w:rsidR="00C115DB">
              <w:rPr>
                <w:szCs w:val="24"/>
              </w:rPr>
              <w:t xml:space="preserve">be </w:t>
            </w:r>
            <w:r w:rsidR="00A71011">
              <w:rPr>
                <w:szCs w:val="24"/>
              </w:rPr>
              <w:t>excluded from</w:t>
            </w:r>
            <w:r w:rsidR="0022165D">
              <w:rPr>
                <w:szCs w:val="24"/>
              </w:rPr>
              <w:t xml:space="preserve"> design basis</w:t>
            </w:r>
            <w:r w:rsidR="00650EA9">
              <w:rPr>
                <w:szCs w:val="24"/>
              </w:rPr>
              <w:t xml:space="preserve"> </w:t>
            </w:r>
            <w:r w:rsidR="00B66EA0">
              <w:rPr>
                <w:szCs w:val="24"/>
              </w:rPr>
              <w:t xml:space="preserve">or </w:t>
            </w:r>
            <w:r w:rsidR="00E576C5">
              <w:rPr>
                <w:szCs w:val="24"/>
              </w:rPr>
              <w:t xml:space="preserve">otherwise </w:t>
            </w:r>
            <w:r w:rsidR="00B66EA0">
              <w:rPr>
                <w:szCs w:val="24"/>
              </w:rPr>
              <w:t xml:space="preserve">protected by </w:t>
            </w:r>
            <w:r w:rsidR="00E46595">
              <w:rPr>
                <w:szCs w:val="24"/>
              </w:rPr>
              <w:t>SSCs</w:t>
            </w:r>
            <w:r w:rsidR="0022165D">
              <w:rPr>
                <w:szCs w:val="24"/>
              </w:rPr>
              <w:t xml:space="preserve">. </w:t>
            </w:r>
          </w:p>
          <w:p w14:paraId="6E88FDEB" w14:textId="05DCAFBA" w:rsidR="0022165D" w:rsidRDefault="00C131AC" w:rsidP="00BB1FF9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ONR, therefore, conside</w:t>
            </w:r>
            <w:r w:rsidR="00EE7ACC">
              <w:rPr>
                <w:szCs w:val="24"/>
              </w:rPr>
              <w:t>r</w:t>
            </w:r>
            <w:r>
              <w:rPr>
                <w:szCs w:val="24"/>
              </w:rPr>
              <w:t xml:space="preserve"> there is a gap in the </w:t>
            </w:r>
            <w:r w:rsidR="00887CA6">
              <w:rPr>
                <w:szCs w:val="24"/>
              </w:rPr>
              <w:t xml:space="preserve">submitted </w:t>
            </w:r>
            <w:r>
              <w:rPr>
                <w:szCs w:val="24"/>
              </w:rPr>
              <w:t xml:space="preserve">safety case </w:t>
            </w:r>
            <w:r w:rsidR="003F5818">
              <w:rPr>
                <w:szCs w:val="24"/>
              </w:rPr>
              <w:t>for</w:t>
            </w:r>
            <w:r>
              <w:rPr>
                <w:szCs w:val="24"/>
              </w:rPr>
              <w:t xml:space="preserve"> </w:t>
            </w:r>
            <w:r w:rsidR="00724C92">
              <w:rPr>
                <w:szCs w:val="24"/>
              </w:rPr>
              <w:t xml:space="preserve">large </w:t>
            </w:r>
            <w:r>
              <w:rPr>
                <w:szCs w:val="24"/>
              </w:rPr>
              <w:t>un</w:t>
            </w:r>
            <w:r w:rsidR="003D7630">
              <w:rPr>
                <w:szCs w:val="24"/>
              </w:rPr>
              <w:t>-</w:t>
            </w:r>
            <w:r>
              <w:rPr>
                <w:szCs w:val="24"/>
              </w:rPr>
              <w:t>isolable</w:t>
            </w:r>
            <w:r w:rsidR="003D7630">
              <w:rPr>
                <w:szCs w:val="24"/>
              </w:rPr>
              <w:t xml:space="preserve"> and </w:t>
            </w:r>
            <w:r>
              <w:rPr>
                <w:szCs w:val="24"/>
              </w:rPr>
              <w:t>non-isolated</w:t>
            </w:r>
            <w:r w:rsidR="00724C92">
              <w:rPr>
                <w:szCs w:val="24"/>
              </w:rPr>
              <w:t xml:space="preserve"> pipebreaks</w:t>
            </w:r>
            <w:r w:rsidR="001E2347">
              <w:rPr>
                <w:szCs w:val="24"/>
              </w:rPr>
              <w:t>.</w:t>
            </w:r>
            <w:r w:rsidR="00515050">
              <w:rPr>
                <w:szCs w:val="24"/>
              </w:rPr>
              <w:t xml:space="preserve"> This regulatory observation has been raised to</w:t>
            </w:r>
            <w:r w:rsidR="003134C1">
              <w:rPr>
                <w:szCs w:val="24"/>
              </w:rPr>
              <w:t xml:space="preserve"> cover</w:t>
            </w:r>
            <w:r w:rsidR="00515050">
              <w:rPr>
                <w:szCs w:val="24"/>
              </w:rPr>
              <w:t xml:space="preserve"> this gap.</w:t>
            </w:r>
          </w:p>
          <w:p w14:paraId="70288D3B" w14:textId="18821EC7" w:rsidR="009B4887" w:rsidRDefault="009B4887" w:rsidP="00D921CF">
            <w:pPr>
              <w:spacing w:before="60" w:after="60"/>
              <w:rPr>
                <w:szCs w:val="24"/>
              </w:rPr>
            </w:pPr>
          </w:p>
          <w:p w14:paraId="25806AA4" w14:textId="3676B3B0" w:rsidR="000758E9" w:rsidRDefault="000758E9" w:rsidP="0048438C">
            <w:pPr>
              <w:spacing w:before="60" w:after="60"/>
              <w:rPr>
                <w:b/>
                <w:szCs w:val="24"/>
                <w:u w:val="single"/>
              </w:rPr>
            </w:pPr>
            <w:r w:rsidRPr="0048438C">
              <w:rPr>
                <w:b/>
                <w:szCs w:val="24"/>
                <w:u w:val="single"/>
              </w:rPr>
              <w:t>Relevant Legislation, Standards and Guidance</w:t>
            </w:r>
          </w:p>
          <w:p w14:paraId="62457EB1" w14:textId="77777777" w:rsidR="00CA4EA2" w:rsidRDefault="00CA4EA2" w:rsidP="00234170">
            <w:pPr>
              <w:spacing w:before="60" w:after="60"/>
              <w:rPr>
                <w:szCs w:val="24"/>
              </w:rPr>
            </w:pPr>
          </w:p>
          <w:p w14:paraId="3344AC00" w14:textId="005B3FF1" w:rsidR="00CA4EA2" w:rsidRDefault="00CA4EA2" w:rsidP="00CA4EA2">
            <w:pPr>
              <w:pStyle w:val="ListParagraph"/>
              <w:numPr>
                <w:ilvl w:val="0"/>
                <w:numId w:val="38"/>
              </w:numPr>
              <w:spacing w:before="60" w:after="60"/>
              <w:rPr>
                <w:szCs w:val="24"/>
              </w:rPr>
            </w:pPr>
            <w:r w:rsidRPr="00CA4EA2">
              <w:rPr>
                <w:szCs w:val="24"/>
              </w:rPr>
              <w:t>Large breaks arising in un</w:t>
            </w:r>
            <w:r w:rsidR="00F867B1">
              <w:rPr>
                <w:szCs w:val="24"/>
              </w:rPr>
              <w:t>-</w:t>
            </w:r>
            <w:r w:rsidRPr="00CA4EA2">
              <w:rPr>
                <w:szCs w:val="24"/>
              </w:rPr>
              <w:t>isolable locations (e.g. between RPV nozzles and RIVs)</w:t>
            </w:r>
          </w:p>
          <w:p w14:paraId="435E9179" w14:textId="77777777" w:rsidR="00CA4EA2" w:rsidRPr="00CA4EA2" w:rsidRDefault="00CA4EA2" w:rsidP="00CA4EA2">
            <w:pPr>
              <w:pStyle w:val="ListParagraph"/>
              <w:spacing w:before="60" w:after="60"/>
              <w:rPr>
                <w:szCs w:val="24"/>
              </w:rPr>
            </w:pPr>
          </w:p>
          <w:p w14:paraId="5DA57BF2" w14:textId="7D03EA30" w:rsidR="004D2884" w:rsidRPr="00234170" w:rsidRDefault="002E13E2" w:rsidP="008E35B2">
            <w:pPr>
              <w:spacing w:before="60" w:after="60"/>
              <w:rPr>
                <w:szCs w:val="24"/>
              </w:rPr>
            </w:pPr>
            <w:r w:rsidRPr="00CA4EA2">
              <w:rPr>
                <w:szCs w:val="24"/>
              </w:rPr>
              <w:t>R</w:t>
            </w:r>
            <w:r w:rsidR="008649AD" w:rsidRPr="00CA4EA2">
              <w:rPr>
                <w:szCs w:val="24"/>
              </w:rPr>
              <w:t xml:space="preserve">elevant </w:t>
            </w:r>
            <w:r w:rsidR="00764501" w:rsidRPr="00CA4EA2">
              <w:rPr>
                <w:szCs w:val="24"/>
              </w:rPr>
              <w:t xml:space="preserve">guidance </w:t>
            </w:r>
            <w:r w:rsidR="00DC3894" w:rsidRPr="00CA4EA2">
              <w:rPr>
                <w:szCs w:val="24"/>
              </w:rPr>
              <w:t xml:space="preserve">which relates to the need for deterministic considerations of </w:t>
            </w:r>
            <w:r w:rsidR="00083CA5">
              <w:rPr>
                <w:szCs w:val="24"/>
              </w:rPr>
              <w:t>the abo</w:t>
            </w:r>
            <w:r w:rsidR="00986AC8">
              <w:rPr>
                <w:szCs w:val="24"/>
              </w:rPr>
              <w:t>ve break</w:t>
            </w:r>
            <w:r w:rsidR="00DC3894" w:rsidRPr="00CA4EA2">
              <w:rPr>
                <w:szCs w:val="24"/>
              </w:rPr>
              <w:t xml:space="preserve"> is </w:t>
            </w:r>
            <w:r w:rsidR="007F0DF1" w:rsidRPr="00CA4EA2">
              <w:rPr>
                <w:szCs w:val="24"/>
              </w:rPr>
              <w:t xml:space="preserve">provided by </w:t>
            </w:r>
            <w:r w:rsidR="00105739" w:rsidRPr="00CA4EA2">
              <w:rPr>
                <w:szCs w:val="24"/>
              </w:rPr>
              <w:t xml:space="preserve">FA.5 </w:t>
            </w:r>
            <w:r w:rsidR="00BB3B0A">
              <w:rPr>
                <w:szCs w:val="24"/>
              </w:rPr>
              <w:t xml:space="preserve">and EMC.3 </w:t>
            </w:r>
            <w:r w:rsidR="001E058A" w:rsidRPr="00CA4EA2">
              <w:rPr>
                <w:szCs w:val="24"/>
              </w:rPr>
              <w:t xml:space="preserve">of ONR SAPs </w:t>
            </w:r>
            <w:r w:rsidR="000923EB" w:rsidRPr="00CA4EA2">
              <w:rPr>
                <w:szCs w:val="24"/>
              </w:rPr>
              <w:t>[</w:t>
            </w:r>
            <w:r w:rsidR="004752CD">
              <w:rPr>
                <w:szCs w:val="24"/>
              </w:rPr>
              <w:t xml:space="preserve">ref. </w:t>
            </w:r>
            <w:r w:rsidR="00B1246C" w:rsidRPr="00CA4EA2">
              <w:rPr>
                <w:szCs w:val="24"/>
              </w:rPr>
              <w:t xml:space="preserve">7] </w:t>
            </w:r>
            <w:r w:rsidR="00CC391B">
              <w:rPr>
                <w:szCs w:val="24"/>
              </w:rPr>
              <w:t xml:space="preserve">along with </w:t>
            </w:r>
            <w:r w:rsidR="00105739" w:rsidRPr="00CA4EA2">
              <w:rPr>
                <w:szCs w:val="24"/>
              </w:rPr>
              <w:t>SSG-2</w:t>
            </w:r>
            <w:r w:rsidR="00B1246C" w:rsidRPr="00CA4EA2">
              <w:rPr>
                <w:szCs w:val="24"/>
              </w:rPr>
              <w:t xml:space="preserve"> [</w:t>
            </w:r>
            <w:r w:rsidR="004752CD">
              <w:rPr>
                <w:szCs w:val="24"/>
              </w:rPr>
              <w:t xml:space="preserve">ref. </w:t>
            </w:r>
            <w:r w:rsidR="00B1246C" w:rsidRPr="00CA4EA2">
              <w:rPr>
                <w:szCs w:val="24"/>
              </w:rPr>
              <w:t>8]</w:t>
            </w:r>
            <w:r w:rsidR="0088245B" w:rsidRPr="00CA4EA2">
              <w:rPr>
                <w:szCs w:val="24"/>
              </w:rPr>
              <w:t>.</w:t>
            </w:r>
            <w:r w:rsidR="00063330" w:rsidRPr="00CA4EA2">
              <w:rPr>
                <w:szCs w:val="24"/>
              </w:rPr>
              <w:t xml:space="preserve"> </w:t>
            </w:r>
            <w:r w:rsidR="004D2884">
              <w:t xml:space="preserve">FA.5 </w:t>
            </w:r>
            <w:r w:rsidR="001D466A">
              <w:t>covers</w:t>
            </w:r>
            <w:r w:rsidR="009D4CD4">
              <w:t xml:space="preserve"> </w:t>
            </w:r>
            <w:r w:rsidR="00D0267C">
              <w:t xml:space="preserve">initiating faults that should be considered </w:t>
            </w:r>
            <w:r w:rsidR="008C468C">
              <w:t xml:space="preserve">within </w:t>
            </w:r>
            <w:r w:rsidR="00B61F99">
              <w:t xml:space="preserve">the </w:t>
            </w:r>
            <w:r w:rsidR="008C468C">
              <w:t>design basis</w:t>
            </w:r>
            <w:r w:rsidR="009F3BA0">
              <w:t xml:space="preserve">. </w:t>
            </w:r>
            <w:r w:rsidR="00F74377">
              <w:t xml:space="preserve">In particular, </w:t>
            </w:r>
            <w:r w:rsidR="00F74377">
              <w:rPr>
                <w:lang w:val="en-US"/>
              </w:rPr>
              <w:t>paragraph</w:t>
            </w:r>
            <w:r w:rsidR="00B93617">
              <w:rPr>
                <w:lang w:val="en-US"/>
              </w:rPr>
              <w:t xml:space="preserve"> 628 (reproduced below)</w:t>
            </w:r>
            <w:r w:rsidR="00B93617">
              <w:t xml:space="preserve"> indicates that faults may only be excluded </w:t>
            </w:r>
            <w:r w:rsidR="003D256D">
              <w:t xml:space="preserve">from the design basis </w:t>
            </w:r>
            <w:r w:rsidR="00B61F99">
              <w:t>i</w:t>
            </w:r>
            <w:r w:rsidR="00B93617">
              <w:t>f specific arguments for preventing that fault have been made.</w:t>
            </w:r>
          </w:p>
          <w:p w14:paraId="3090EA20" w14:textId="77777777" w:rsidR="004D2884" w:rsidRDefault="004D2884" w:rsidP="004D2884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</w:rPr>
              <w:t>628. Initiating faults identified in Principle FA.2 should be considered for inclusion in this list, but the following need not be included: </w:t>
            </w:r>
          </w:p>
          <w:p w14:paraId="4272A717" w14:textId="207EFB06" w:rsidR="004D2884" w:rsidRDefault="002A633F" w:rsidP="004D2884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</w:rPr>
              <w:t>…</w:t>
            </w:r>
          </w:p>
          <w:p w14:paraId="4380F28D" w14:textId="77777777" w:rsidR="004D2884" w:rsidRDefault="004D2884" w:rsidP="004D2884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</w:rPr>
              <w:t>(b) failures of structures, systems or components for which appropriate specific arguments for preventing the initiating fault have been made (see, for example, Principle EMC.3); </w:t>
            </w:r>
          </w:p>
          <w:p w14:paraId="55B9F8A8" w14:textId="50111007" w:rsidR="001B2C2D" w:rsidRPr="008D172E" w:rsidRDefault="007F4700" w:rsidP="008D172E">
            <w:pPr>
              <w:spacing w:before="60" w:after="60"/>
              <w:rPr>
                <w:b/>
                <w:szCs w:val="24"/>
                <w:u w:val="single"/>
                <w:lang w:val="en-US"/>
              </w:rPr>
            </w:pPr>
            <w:r>
              <w:t xml:space="preserve">Principle </w:t>
            </w:r>
            <w:r w:rsidR="007615D6">
              <w:t xml:space="preserve">EMC.3 </w:t>
            </w:r>
            <w:r w:rsidR="00F75172">
              <w:t xml:space="preserve">then </w:t>
            </w:r>
            <w:r w:rsidR="00FA6A37">
              <w:t xml:space="preserve">provides further guidance </w:t>
            </w:r>
            <w:r w:rsidR="00F75172">
              <w:t xml:space="preserve">concerning the </w:t>
            </w:r>
            <w:r w:rsidR="0010323C">
              <w:t>need for evidence</w:t>
            </w:r>
            <w:r w:rsidR="00F75172">
              <w:t xml:space="preserve"> </w:t>
            </w:r>
            <w:r w:rsidR="00586FBF">
              <w:t xml:space="preserve">to support </w:t>
            </w:r>
            <w:r w:rsidR="00121E32">
              <w:t>those specific</w:t>
            </w:r>
            <w:r w:rsidR="00F70216">
              <w:t xml:space="preserve"> </w:t>
            </w:r>
            <w:r w:rsidR="00121E32">
              <w:t>arguments</w:t>
            </w:r>
            <w:r w:rsidR="00760A8F">
              <w:t xml:space="preserve"> (concerning high reliability/integrity)</w:t>
            </w:r>
            <w:r w:rsidR="00E1355C">
              <w:t>.</w:t>
            </w:r>
            <w:r w:rsidR="00EF25F6">
              <w:t xml:space="preserve"> </w:t>
            </w:r>
            <w:r w:rsidR="00A32FCF">
              <w:t>T</w:t>
            </w:r>
            <w:r w:rsidR="007E6C36">
              <w:t>ogether</w:t>
            </w:r>
            <w:r w:rsidR="00293D69">
              <w:t>,</w:t>
            </w:r>
            <w:r w:rsidR="007E6C36">
              <w:t xml:space="preserve"> the </w:t>
            </w:r>
            <w:r w:rsidR="00293D69">
              <w:t xml:space="preserve">two </w:t>
            </w:r>
            <w:r w:rsidR="007E6C36">
              <w:t xml:space="preserve">SAPs </w:t>
            </w:r>
            <w:r w:rsidR="00187E36">
              <w:t xml:space="preserve">FA.5 and EMC.3 </w:t>
            </w:r>
            <w:r w:rsidR="007E6C36">
              <w:t xml:space="preserve">indicate that </w:t>
            </w:r>
            <w:r w:rsidR="00A32FCF">
              <w:t xml:space="preserve">breaks at the </w:t>
            </w:r>
            <w:r w:rsidR="00B474AE">
              <w:t xml:space="preserve">connection between the RPV nozzle and the RIVs should be </w:t>
            </w:r>
            <w:r w:rsidR="00276E8E">
              <w:t>included within the design</w:t>
            </w:r>
            <w:r w:rsidR="009B313D">
              <w:t xml:space="preserve"> basis</w:t>
            </w:r>
            <w:r w:rsidR="00276E8E">
              <w:t xml:space="preserve"> </w:t>
            </w:r>
            <w:r w:rsidR="009D7EE3">
              <w:t xml:space="preserve">unless a </w:t>
            </w:r>
            <w:r w:rsidR="009B313D">
              <w:t xml:space="preserve">specific </w:t>
            </w:r>
            <w:r w:rsidR="009D7EE3">
              <w:t xml:space="preserve">high reliability/integrity argument is made. </w:t>
            </w:r>
            <w:r w:rsidR="0038457C">
              <w:t>T</w:t>
            </w:r>
            <w:r w:rsidR="00FF7C5C">
              <w:t>h</w:t>
            </w:r>
            <w:r w:rsidR="00187E36">
              <w:t>is is</w:t>
            </w:r>
            <w:r w:rsidR="0038457C">
              <w:t xml:space="preserve"> consistent with </w:t>
            </w:r>
            <w:r w:rsidR="00EF25F6">
              <w:t xml:space="preserve">SSG-2 </w:t>
            </w:r>
            <w:r w:rsidR="0038457C">
              <w:t xml:space="preserve">which </w:t>
            </w:r>
            <w:r w:rsidR="00EF25F6">
              <w:t xml:space="preserve">also </w:t>
            </w:r>
            <w:r w:rsidR="007C57F0">
              <w:t>indicates the need to cover a break at th</w:t>
            </w:r>
            <w:r w:rsidR="00AD06D3">
              <w:t>e connection.</w:t>
            </w:r>
          </w:p>
          <w:p w14:paraId="7C829FB3" w14:textId="023EB254" w:rsidR="00634820" w:rsidRDefault="001B2C2D" w:rsidP="0023796D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</w:rPr>
              <w:t>3.14. The set of postulated initiating events should be defined in such a way that it covers all credible failures, including:</w:t>
            </w:r>
            <w:r>
              <w:rPr>
                <w:rFonts w:ascii="Segoe UI" w:hAnsi="Segoe UI" w:cs="Segoe UI"/>
                <w:sz w:val="22"/>
                <w:szCs w:val="22"/>
              </w:rPr>
              <w:br/>
            </w:r>
            <w:r>
              <w:rPr>
                <w:rFonts w:ascii="Segoe UI" w:hAnsi="Segoe UI" w:cs="Segoe UI"/>
                <w:i/>
                <w:iCs/>
                <w:sz w:val="22"/>
                <w:szCs w:val="22"/>
              </w:rPr>
              <w:t>(a) Failures of structures, systems and components of the plant (partial failure if relevant), including possible spurious actuation</w:t>
            </w:r>
          </w:p>
          <w:p w14:paraId="79025265" w14:textId="77777777" w:rsidR="003C6D8E" w:rsidRDefault="003C6D8E" w:rsidP="0023796D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Theme="minorBidi" w:hAnsiTheme="minorBidi" w:cstheme="minorBidi"/>
              </w:rPr>
            </w:pPr>
          </w:p>
          <w:p w14:paraId="2FFAED65" w14:textId="71916799" w:rsidR="00CA4EA2" w:rsidRPr="00CA4EA2" w:rsidRDefault="00CA4EA2" w:rsidP="00CA4EA2">
            <w:pPr>
              <w:pStyle w:val="NormalWeb"/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CA4EA2">
              <w:rPr>
                <w:rFonts w:ascii="Arial" w:hAnsi="Arial" w:cs="Arial"/>
              </w:rPr>
              <w:lastRenderedPageBreak/>
              <w:t xml:space="preserve">Large breaks arising in isolable locations with a </w:t>
            </w:r>
            <w:r w:rsidR="0014400E">
              <w:rPr>
                <w:rFonts w:ascii="Arial" w:hAnsi="Arial" w:cs="Arial"/>
              </w:rPr>
              <w:t>subsequent</w:t>
            </w:r>
            <w:r w:rsidRPr="00CA4EA2">
              <w:rPr>
                <w:rFonts w:ascii="Arial" w:hAnsi="Arial" w:cs="Arial"/>
              </w:rPr>
              <w:t xml:space="preserve"> </w:t>
            </w:r>
            <w:r w:rsidR="00FF3E83">
              <w:rPr>
                <w:rFonts w:ascii="Arial" w:hAnsi="Arial" w:cs="Arial"/>
              </w:rPr>
              <w:t xml:space="preserve">CCF </w:t>
            </w:r>
            <w:r w:rsidRPr="00CA4EA2">
              <w:rPr>
                <w:rFonts w:ascii="Arial" w:hAnsi="Arial" w:cs="Arial"/>
              </w:rPr>
              <w:t xml:space="preserve">resulting in </w:t>
            </w:r>
            <w:r w:rsidR="008D675C">
              <w:rPr>
                <w:rFonts w:ascii="Arial" w:hAnsi="Arial" w:cs="Arial"/>
              </w:rPr>
              <w:t>the failure</w:t>
            </w:r>
            <w:r w:rsidR="00F0265A">
              <w:rPr>
                <w:rFonts w:ascii="Arial" w:hAnsi="Arial" w:cs="Arial"/>
              </w:rPr>
              <w:t xml:space="preserve"> of the </w:t>
            </w:r>
            <w:r w:rsidRPr="00CA4EA2">
              <w:rPr>
                <w:rFonts w:ascii="Arial" w:hAnsi="Arial" w:cs="Arial"/>
              </w:rPr>
              <w:t>RIVs to close</w:t>
            </w:r>
          </w:p>
          <w:p w14:paraId="7368D260" w14:textId="77777777" w:rsidR="00CA4EA2" w:rsidRDefault="00CA4EA2" w:rsidP="0023796D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Theme="minorBidi" w:hAnsiTheme="minorBidi" w:cstheme="minorBidi"/>
              </w:rPr>
            </w:pPr>
          </w:p>
          <w:p w14:paraId="31C2568F" w14:textId="78FA916A" w:rsidR="00ED14A3" w:rsidRPr="00BB3B0A" w:rsidRDefault="00D11CAC" w:rsidP="00027CC9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Theme="minorBidi" w:hAnsiTheme="minorBidi" w:cstheme="minorBidi"/>
              </w:rPr>
            </w:pPr>
            <w:r w:rsidRPr="00BB3B0A">
              <w:rPr>
                <w:rFonts w:asciiTheme="minorBidi" w:hAnsiTheme="minorBidi" w:cstheme="minorBidi"/>
              </w:rPr>
              <w:t>R</w:t>
            </w:r>
            <w:r w:rsidR="00DE0798" w:rsidRPr="00BB3B0A">
              <w:rPr>
                <w:rFonts w:asciiTheme="minorBidi" w:hAnsiTheme="minorBidi" w:cstheme="minorBidi"/>
              </w:rPr>
              <w:t xml:space="preserve">elevant guidance </w:t>
            </w:r>
            <w:r w:rsidRPr="00BB3B0A">
              <w:rPr>
                <w:rFonts w:asciiTheme="minorBidi" w:hAnsiTheme="minorBidi" w:cstheme="minorBidi"/>
              </w:rPr>
              <w:t>which relates to the need for deterministic considerations</w:t>
            </w:r>
            <w:r w:rsidR="001725B1" w:rsidRPr="00BB3B0A">
              <w:rPr>
                <w:rFonts w:asciiTheme="minorBidi" w:hAnsiTheme="minorBidi" w:cstheme="minorBidi"/>
              </w:rPr>
              <w:t xml:space="preserve"> of </w:t>
            </w:r>
            <w:r w:rsidR="00986AC8">
              <w:rPr>
                <w:rFonts w:asciiTheme="minorBidi" w:hAnsiTheme="minorBidi" w:cstheme="minorBidi"/>
              </w:rPr>
              <w:t>the above sequence</w:t>
            </w:r>
            <w:r w:rsidR="001725B1" w:rsidRPr="00BB3B0A">
              <w:rPr>
                <w:rFonts w:asciiTheme="minorBidi" w:hAnsiTheme="minorBidi" w:cstheme="minorBidi"/>
              </w:rPr>
              <w:t xml:space="preserve"> is</w:t>
            </w:r>
            <w:r w:rsidRPr="00BB3B0A">
              <w:rPr>
                <w:rFonts w:asciiTheme="minorBidi" w:hAnsiTheme="minorBidi" w:cstheme="minorBidi"/>
              </w:rPr>
              <w:t xml:space="preserve"> </w:t>
            </w:r>
            <w:r w:rsidR="000E3723" w:rsidRPr="00BB3B0A">
              <w:rPr>
                <w:rFonts w:asciiTheme="minorBidi" w:hAnsiTheme="minorBidi" w:cstheme="minorBidi"/>
              </w:rPr>
              <w:t xml:space="preserve">provided by FA.6 and </w:t>
            </w:r>
            <w:r w:rsidR="00967CAA" w:rsidRPr="00BB3B0A">
              <w:rPr>
                <w:rFonts w:asciiTheme="minorBidi" w:hAnsiTheme="minorBidi" w:cstheme="minorBidi"/>
              </w:rPr>
              <w:t>EDR.3</w:t>
            </w:r>
            <w:r w:rsidR="00B9769A">
              <w:rPr>
                <w:rFonts w:asciiTheme="minorBidi" w:hAnsiTheme="minorBidi" w:cstheme="minorBidi"/>
              </w:rPr>
              <w:t xml:space="preserve"> of ONR SAPs [</w:t>
            </w:r>
            <w:r w:rsidR="004752CD">
              <w:rPr>
                <w:rFonts w:asciiTheme="minorBidi" w:hAnsiTheme="minorBidi" w:cstheme="minorBidi"/>
              </w:rPr>
              <w:t xml:space="preserve">ref. </w:t>
            </w:r>
            <w:r w:rsidR="00B9769A">
              <w:rPr>
                <w:rFonts w:asciiTheme="minorBidi" w:hAnsiTheme="minorBidi" w:cstheme="minorBidi"/>
              </w:rPr>
              <w:t>7]</w:t>
            </w:r>
            <w:r w:rsidR="00D03B7B" w:rsidRPr="00BB3B0A">
              <w:rPr>
                <w:rFonts w:asciiTheme="minorBidi" w:hAnsiTheme="minorBidi" w:cstheme="minorBidi"/>
              </w:rPr>
              <w:t xml:space="preserve">. </w:t>
            </w:r>
            <w:r w:rsidR="00495BDE">
              <w:rPr>
                <w:rFonts w:asciiTheme="minorBidi" w:hAnsiTheme="minorBidi" w:cstheme="minorBidi"/>
              </w:rPr>
              <w:t xml:space="preserve">In particular, </w:t>
            </w:r>
            <w:r w:rsidR="00ED14A3" w:rsidRPr="00BB3B0A">
              <w:rPr>
                <w:rFonts w:asciiTheme="minorBidi" w:hAnsiTheme="minorBidi" w:cstheme="minorBidi"/>
              </w:rPr>
              <w:t xml:space="preserve">FA.6 </w:t>
            </w:r>
            <w:r w:rsidR="00AF43F4" w:rsidRPr="00BB3B0A">
              <w:rPr>
                <w:rFonts w:asciiTheme="minorBidi" w:hAnsiTheme="minorBidi" w:cstheme="minorBidi"/>
              </w:rPr>
              <w:t>indicates that d</w:t>
            </w:r>
            <w:r w:rsidR="004C4465" w:rsidRPr="00BB3B0A">
              <w:rPr>
                <w:rFonts w:asciiTheme="minorBidi" w:hAnsiTheme="minorBidi" w:cstheme="minorBidi"/>
              </w:rPr>
              <w:t xml:space="preserve">esign basis sequences should typically </w:t>
            </w:r>
            <w:r w:rsidR="00AF43F4" w:rsidRPr="00BB3B0A">
              <w:rPr>
                <w:rFonts w:asciiTheme="minorBidi" w:hAnsiTheme="minorBidi" w:cstheme="minorBidi"/>
              </w:rPr>
              <w:t xml:space="preserve">be </w:t>
            </w:r>
            <w:r w:rsidR="004C4465" w:rsidRPr="00BB3B0A">
              <w:rPr>
                <w:rFonts w:asciiTheme="minorBidi" w:hAnsiTheme="minorBidi" w:cstheme="minorBidi"/>
              </w:rPr>
              <w:t xml:space="preserve">considered down to a sequence frequency of </w:t>
            </w:r>
            <w:r w:rsidR="00136D8F" w:rsidRPr="00BB3B0A">
              <w:rPr>
                <w:rFonts w:asciiTheme="minorBidi" w:hAnsiTheme="minorBidi" w:cstheme="minorBidi"/>
              </w:rPr>
              <w:t xml:space="preserve">1 x </w:t>
            </w:r>
            <w:r w:rsidR="004C4465" w:rsidRPr="00BB3B0A">
              <w:rPr>
                <w:rFonts w:asciiTheme="minorBidi" w:hAnsiTheme="minorBidi" w:cstheme="minorBidi"/>
              </w:rPr>
              <w:t>1</w:t>
            </w:r>
            <w:r w:rsidR="00136D8F" w:rsidRPr="00BB3B0A">
              <w:rPr>
                <w:rFonts w:asciiTheme="minorBidi" w:hAnsiTheme="minorBidi" w:cstheme="minorBidi"/>
              </w:rPr>
              <w:t>0</w:t>
            </w:r>
            <w:r w:rsidR="00136D8F" w:rsidRPr="00BB3B0A">
              <w:rPr>
                <w:rFonts w:asciiTheme="minorBidi" w:hAnsiTheme="minorBidi" w:cstheme="minorBidi"/>
                <w:vertAlign w:val="superscript"/>
              </w:rPr>
              <w:t>-7</w:t>
            </w:r>
            <w:r w:rsidR="00361BEF" w:rsidRPr="00BB3B0A">
              <w:rPr>
                <w:rFonts w:asciiTheme="minorBidi" w:hAnsiTheme="minorBidi" w:cstheme="minorBidi"/>
              </w:rPr>
              <w:t xml:space="preserve"> pa</w:t>
            </w:r>
            <w:r w:rsidR="00604297" w:rsidRPr="00BB3B0A">
              <w:rPr>
                <w:rFonts w:asciiTheme="minorBidi" w:hAnsiTheme="minorBidi" w:cstheme="minorBidi"/>
              </w:rPr>
              <w:t xml:space="preserve"> (</w:t>
            </w:r>
            <w:r w:rsidR="00B237D6" w:rsidRPr="00BB3B0A">
              <w:rPr>
                <w:rFonts w:asciiTheme="minorBidi" w:hAnsiTheme="minorBidi" w:cstheme="minorBidi"/>
              </w:rPr>
              <w:t xml:space="preserve">see extract </w:t>
            </w:r>
            <w:r w:rsidR="00D42098" w:rsidRPr="00BB3B0A">
              <w:rPr>
                <w:rFonts w:asciiTheme="minorBidi" w:hAnsiTheme="minorBidi" w:cstheme="minorBidi"/>
              </w:rPr>
              <w:t>below</w:t>
            </w:r>
            <w:r w:rsidR="00B237D6" w:rsidRPr="00BB3B0A">
              <w:rPr>
                <w:rFonts w:asciiTheme="minorBidi" w:hAnsiTheme="minorBidi" w:cstheme="minorBidi"/>
              </w:rPr>
              <w:t xml:space="preserve"> from para</w:t>
            </w:r>
            <w:r w:rsidR="003333FE" w:rsidRPr="00BB3B0A">
              <w:rPr>
                <w:rFonts w:asciiTheme="minorBidi" w:hAnsiTheme="minorBidi" w:cstheme="minorBidi"/>
              </w:rPr>
              <w:t>graph 631</w:t>
            </w:r>
            <w:r w:rsidR="00604297" w:rsidRPr="00BB3B0A">
              <w:rPr>
                <w:rFonts w:asciiTheme="minorBidi" w:hAnsiTheme="minorBidi" w:cstheme="minorBidi"/>
              </w:rPr>
              <w:t>)</w:t>
            </w:r>
            <w:r w:rsidR="004C4465" w:rsidRPr="00BB3B0A">
              <w:rPr>
                <w:rFonts w:asciiTheme="minorBidi" w:hAnsiTheme="minorBidi" w:cstheme="minorBidi"/>
              </w:rPr>
              <w:t>.</w:t>
            </w:r>
          </w:p>
          <w:p w14:paraId="47E0552A" w14:textId="77777777" w:rsidR="00B237D6" w:rsidRPr="001C677D" w:rsidRDefault="00B237D6" w:rsidP="00B23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egoe UI" w:hAnsi="Segoe UI" w:cs="Segoe UI"/>
                <w:sz w:val="22"/>
                <w:lang w:val="en-US"/>
              </w:rPr>
            </w:pPr>
          </w:p>
          <w:p w14:paraId="5B977476" w14:textId="7B676025" w:rsidR="00D42098" w:rsidRPr="00F867B1" w:rsidRDefault="00B237D6" w:rsidP="00B23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egoe UI" w:hAnsi="Segoe UI" w:cs="Segoe UI"/>
                <w:i/>
                <w:iCs/>
                <w:sz w:val="22"/>
              </w:rPr>
            </w:pPr>
            <w:r w:rsidRPr="00F867B1">
              <w:rPr>
                <w:rFonts w:ascii="Segoe UI" w:hAnsi="Segoe UI" w:cs="Segoe UI"/>
                <w:i/>
                <w:iCs/>
                <w:sz w:val="22"/>
              </w:rPr>
              <w:t>Sequences with very low expected frequencies need not be included in the DBA. Judgement should be exercised in this regard, but for high hazard facilities, a fault sequence frequency of 1 x 10</w:t>
            </w:r>
            <w:r w:rsidRPr="002F6D20">
              <w:rPr>
                <w:rFonts w:ascii="Segoe UI" w:hAnsi="Segoe UI" w:cs="Segoe UI"/>
                <w:i/>
                <w:iCs/>
                <w:sz w:val="22"/>
                <w:vertAlign w:val="superscript"/>
              </w:rPr>
              <w:t>-7</w:t>
            </w:r>
            <w:r w:rsidRPr="00F867B1">
              <w:rPr>
                <w:rFonts w:ascii="Segoe UI" w:hAnsi="Segoe UI" w:cs="Segoe UI"/>
                <w:i/>
                <w:iCs/>
                <w:sz w:val="22"/>
              </w:rPr>
              <w:t xml:space="preserve"> pa would be a typical cut-off when applying design basis techniques</w:t>
            </w:r>
          </w:p>
          <w:p w14:paraId="12521EED" w14:textId="77777777" w:rsidR="00967CAA" w:rsidRDefault="00967CAA" w:rsidP="00122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egoe UI" w:hAnsi="Segoe UI" w:cs="Segoe UI"/>
                <w:i/>
                <w:iCs/>
                <w:sz w:val="22"/>
                <w:u w:val="single"/>
              </w:rPr>
            </w:pPr>
          </w:p>
          <w:p w14:paraId="3E6323F3" w14:textId="0B570768" w:rsidR="00856418" w:rsidRDefault="006A0C7E" w:rsidP="00FE1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>
              <w:rPr>
                <w:szCs w:val="24"/>
              </w:rPr>
              <w:t xml:space="preserve">ONR consider </w:t>
            </w:r>
            <w:r w:rsidR="007C4FBD">
              <w:rPr>
                <w:szCs w:val="24"/>
              </w:rPr>
              <w:t xml:space="preserve">that </w:t>
            </w:r>
            <w:r w:rsidR="00130D54">
              <w:rPr>
                <w:szCs w:val="24"/>
              </w:rPr>
              <w:t xml:space="preserve">pipebreaks arising </w:t>
            </w:r>
            <w:r w:rsidR="004068A4">
              <w:rPr>
                <w:szCs w:val="24"/>
              </w:rPr>
              <w:t>within</w:t>
            </w:r>
            <w:r w:rsidR="00F230F3">
              <w:rPr>
                <w:szCs w:val="24"/>
              </w:rPr>
              <w:t xml:space="preserve"> the Isolation Condenser System </w:t>
            </w:r>
            <w:r w:rsidR="00625BD8">
              <w:rPr>
                <w:szCs w:val="24"/>
              </w:rPr>
              <w:t>with concurrent CCF of the P</w:t>
            </w:r>
            <w:r w:rsidR="00C530CF">
              <w:rPr>
                <w:szCs w:val="24"/>
              </w:rPr>
              <w:t xml:space="preserve">rimary Protection System </w:t>
            </w:r>
            <w:r w:rsidR="00856418">
              <w:rPr>
                <w:szCs w:val="24"/>
              </w:rPr>
              <w:t xml:space="preserve">(PPS) </w:t>
            </w:r>
            <w:r w:rsidR="00C530CF">
              <w:rPr>
                <w:szCs w:val="24"/>
              </w:rPr>
              <w:t>to close RIVs</w:t>
            </w:r>
            <w:r w:rsidR="006B435B">
              <w:rPr>
                <w:szCs w:val="24"/>
              </w:rPr>
              <w:t>,</w:t>
            </w:r>
            <w:r w:rsidR="00C530CF">
              <w:rPr>
                <w:szCs w:val="24"/>
              </w:rPr>
              <w:t xml:space="preserve"> </w:t>
            </w:r>
            <w:r w:rsidR="003F6C5D">
              <w:rPr>
                <w:szCs w:val="24"/>
              </w:rPr>
              <w:t xml:space="preserve">would lie above this cut-off and </w:t>
            </w:r>
            <w:r w:rsidR="006335F2">
              <w:rPr>
                <w:szCs w:val="24"/>
              </w:rPr>
              <w:t xml:space="preserve">should be </w:t>
            </w:r>
            <w:r w:rsidR="00FD49E2">
              <w:rPr>
                <w:szCs w:val="24"/>
              </w:rPr>
              <w:t>covered by deterministic considerations</w:t>
            </w:r>
            <w:r w:rsidR="00856418">
              <w:rPr>
                <w:szCs w:val="24"/>
              </w:rPr>
              <w:t>*</w:t>
            </w:r>
          </w:p>
          <w:p w14:paraId="15A8607A" w14:textId="77777777" w:rsidR="00856418" w:rsidRDefault="00856418" w:rsidP="00FE1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  <w:p w14:paraId="4A87D771" w14:textId="686D5A0A" w:rsidR="000758E9" w:rsidRDefault="00856418" w:rsidP="00FE1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>
              <w:rPr>
                <w:szCs w:val="24"/>
              </w:rPr>
              <w:t>*</w:t>
            </w:r>
            <w:r w:rsidR="00E9717A">
              <w:rPr>
                <w:szCs w:val="24"/>
              </w:rPr>
              <w:t>This is o</w:t>
            </w:r>
            <w:r w:rsidR="002E0BC8">
              <w:rPr>
                <w:szCs w:val="24"/>
              </w:rPr>
              <w:t xml:space="preserve">n the basis that </w:t>
            </w:r>
            <w:r w:rsidR="00E24FDC">
              <w:rPr>
                <w:szCs w:val="24"/>
              </w:rPr>
              <w:t>EDR.3</w:t>
            </w:r>
            <w:r>
              <w:rPr>
                <w:szCs w:val="24"/>
              </w:rPr>
              <w:t xml:space="preserve"> (</w:t>
            </w:r>
            <w:r w:rsidR="00425830">
              <w:rPr>
                <w:szCs w:val="24"/>
              </w:rPr>
              <w:t>paragraph 18</w:t>
            </w:r>
            <w:r w:rsidR="00F029D8">
              <w:rPr>
                <w:szCs w:val="24"/>
              </w:rPr>
              <w:t>5</w:t>
            </w:r>
            <w:r w:rsidR="00425830">
              <w:rPr>
                <w:szCs w:val="24"/>
              </w:rPr>
              <w:t xml:space="preserve"> extracted below</w:t>
            </w:r>
            <w:r>
              <w:rPr>
                <w:szCs w:val="24"/>
              </w:rPr>
              <w:t>)</w:t>
            </w:r>
            <w:r w:rsidR="00E24FDC">
              <w:rPr>
                <w:szCs w:val="24"/>
              </w:rPr>
              <w:t xml:space="preserve"> </w:t>
            </w:r>
            <w:r w:rsidR="002D04CC">
              <w:rPr>
                <w:szCs w:val="24"/>
              </w:rPr>
              <w:t>implies a</w:t>
            </w:r>
            <w:r w:rsidR="00D426FD">
              <w:rPr>
                <w:szCs w:val="24"/>
              </w:rPr>
              <w:t xml:space="preserve">n allowable claim of </w:t>
            </w:r>
            <w:r w:rsidR="00425830">
              <w:rPr>
                <w:szCs w:val="24"/>
              </w:rPr>
              <w:t>up to 1 per 10</w:t>
            </w:r>
            <w:r w:rsidR="00D3006A">
              <w:rPr>
                <w:szCs w:val="24"/>
              </w:rPr>
              <w:t xml:space="preserve"> </w:t>
            </w:r>
            <w:r w:rsidR="00425830">
              <w:rPr>
                <w:szCs w:val="24"/>
              </w:rPr>
              <w:t>0</w:t>
            </w:r>
            <w:r w:rsidR="00D3006A">
              <w:rPr>
                <w:szCs w:val="24"/>
              </w:rPr>
              <w:t>0</w:t>
            </w:r>
            <w:r w:rsidR="00425830">
              <w:rPr>
                <w:szCs w:val="24"/>
              </w:rPr>
              <w:t xml:space="preserve">0 on </w:t>
            </w:r>
            <w:r w:rsidR="00D3006A">
              <w:rPr>
                <w:szCs w:val="24"/>
              </w:rPr>
              <w:t xml:space="preserve">the </w:t>
            </w:r>
            <w:r w:rsidR="00425830">
              <w:rPr>
                <w:szCs w:val="24"/>
              </w:rPr>
              <w:t xml:space="preserve">CCF </w:t>
            </w:r>
            <w:r w:rsidR="00AD3159">
              <w:rPr>
                <w:szCs w:val="24"/>
              </w:rPr>
              <w:t>of the PPS.</w:t>
            </w:r>
          </w:p>
          <w:p w14:paraId="4BCE2F8A" w14:textId="77777777" w:rsidR="006B435B" w:rsidRDefault="006B435B" w:rsidP="00FE1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  <w:p w14:paraId="423BEEE2" w14:textId="2070B37D" w:rsidR="006B435B" w:rsidRPr="00F867B1" w:rsidRDefault="005B2AD6" w:rsidP="005B2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egoe UI" w:hAnsi="Segoe UI" w:cs="Segoe UI"/>
                <w:i/>
                <w:iCs/>
                <w:sz w:val="22"/>
              </w:rPr>
            </w:pPr>
            <w:r w:rsidRPr="00F867B1">
              <w:rPr>
                <w:rFonts w:ascii="Segoe UI" w:hAnsi="Segoe UI" w:cs="Segoe UI"/>
                <w:i/>
                <w:iCs/>
                <w:sz w:val="22"/>
              </w:rPr>
              <w:t>In general, claims for CCF should not be better than one failure per 100 000 demands. The figure of one failure per 100 000 demands represents a judgement by ONR of the best limit that could reasonably be supported for a simple system by currently available data and methods of analysis. A worse figure may need to be used (say 1 per 10 000 or 1 per 1000) according to the complexity and novelty of the system, the nature of threat and the capability of the equipment.</w:t>
            </w:r>
          </w:p>
          <w:p w14:paraId="1CAD49B2" w14:textId="77777777" w:rsidR="00A12C9E" w:rsidRDefault="00A12C9E" w:rsidP="0048438C">
            <w:pPr>
              <w:spacing w:before="60" w:after="60"/>
              <w:rPr>
                <w:b/>
                <w:szCs w:val="24"/>
                <w:u w:val="single"/>
              </w:rPr>
            </w:pPr>
          </w:p>
          <w:p w14:paraId="268B2B85" w14:textId="6F8000D8" w:rsidR="00CC67B6" w:rsidRDefault="00F65462" w:rsidP="0048438C">
            <w:pPr>
              <w:spacing w:before="60" w:after="60"/>
              <w:rPr>
                <w:b/>
                <w:szCs w:val="24"/>
                <w:u w:val="single"/>
              </w:rPr>
            </w:pPr>
            <w:r w:rsidRPr="0048438C">
              <w:rPr>
                <w:b/>
                <w:szCs w:val="24"/>
                <w:u w:val="single"/>
              </w:rPr>
              <w:t>Regulatory Expectations</w:t>
            </w:r>
          </w:p>
          <w:p w14:paraId="1EEC12A7" w14:textId="77777777" w:rsidR="008A38D2" w:rsidRDefault="008A38D2" w:rsidP="0048438C">
            <w:pPr>
              <w:spacing w:before="60" w:after="60"/>
              <w:rPr>
                <w:bCs/>
                <w:szCs w:val="24"/>
                <w:u w:val="single"/>
              </w:rPr>
            </w:pPr>
          </w:p>
          <w:p w14:paraId="409DFEEC" w14:textId="1A8D0E48" w:rsidR="0041028F" w:rsidRPr="008A38D2" w:rsidRDefault="008776FD" w:rsidP="008A38D2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bCs/>
                <w:szCs w:val="24"/>
              </w:rPr>
            </w:pPr>
            <w:r w:rsidRPr="008A38D2">
              <w:rPr>
                <w:bCs/>
                <w:szCs w:val="24"/>
              </w:rPr>
              <w:t>ONR’s expectation is that</w:t>
            </w:r>
            <w:r w:rsidR="00BA2C63" w:rsidRPr="008A38D2">
              <w:rPr>
                <w:bCs/>
                <w:szCs w:val="24"/>
              </w:rPr>
              <w:t xml:space="preserve"> </w:t>
            </w:r>
            <w:r w:rsidR="00F30155" w:rsidRPr="008A38D2">
              <w:rPr>
                <w:bCs/>
                <w:szCs w:val="24"/>
              </w:rPr>
              <w:t>consequence analys</w:t>
            </w:r>
            <w:r w:rsidR="001D7B39" w:rsidRPr="008A38D2">
              <w:rPr>
                <w:bCs/>
                <w:szCs w:val="24"/>
              </w:rPr>
              <w:t>e</w:t>
            </w:r>
            <w:r w:rsidR="00F30155" w:rsidRPr="008A38D2">
              <w:rPr>
                <w:bCs/>
                <w:szCs w:val="24"/>
              </w:rPr>
              <w:t xml:space="preserve">s of </w:t>
            </w:r>
            <w:r w:rsidR="00BA2C63" w:rsidRPr="008A38D2">
              <w:rPr>
                <w:bCs/>
                <w:szCs w:val="24"/>
              </w:rPr>
              <w:t xml:space="preserve">gross </w:t>
            </w:r>
            <w:r w:rsidRPr="008A38D2">
              <w:rPr>
                <w:bCs/>
                <w:szCs w:val="24"/>
              </w:rPr>
              <w:t>failure</w:t>
            </w:r>
            <w:r w:rsidR="00BA2C63" w:rsidRPr="008A38D2">
              <w:rPr>
                <w:bCs/>
                <w:szCs w:val="24"/>
              </w:rPr>
              <w:t>s</w:t>
            </w:r>
            <w:r w:rsidRPr="008A38D2">
              <w:rPr>
                <w:bCs/>
                <w:szCs w:val="24"/>
              </w:rPr>
              <w:t xml:space="preserve"> of pressure retaining components </w:t>
            </w:r>
            <w:r w:rsidR="004D637C" w:rsidRPr="008A38D2">
              <w:rPr>
                <w:bCs/>
                <w:szCs w:val="24"/>
              </w:rPr>
              <w:t xml:space="preserve">are </w:t>
            </w:r>
            <w:r w:rsidR="00F30155" w:rsidRPr="008A38D2">
              <w:rPr>
                <w:bCs/>
                <w:szCs w:val="24"/>
              </w:rPr>
              <w:t xml:space="preserve">performed </w:t>
            </w:r>
            <w:r w:rsidR="004D637C" w:rsidRPr="008A38D2">
              <w:rPr>
                <w:bCs/>
                <w:szCs w:val="24"/>
              </w:rPr>
              <w:t>where the gross failure has not been discounted based on structural integrity arguments.</w:t>
            </w:r>
            <w:r w:rsidR="00290DD7" w:rsidRPr="008A38D2">
              <w:rPr>
                <w:bCs/>
                <w:szCs w:val="24"/>
              </w:rPr>
              <w:t xml:space="preserve"> In the context of BWRX-300, the RP has not submitted sufficient evidence that gross failure of </w:t>
            </w:r>
            <w:r w:rsidR="007E07FA" w:rsidRPr="008A38D2">
              <w:rPr>
                <w:bCs/>
                <w:szCs w:val="24"/>
              </w:rPr>
              <w:t xml:space="preserve">the RIVs or connection points to the RPV </w:t>
            </w:r>
            <w:r w:rsidR="00F30155" w:rsidRPr="008A38D2">
              <w:rPr>
                <w:bCs/>
                <w:szCs w:val="24"/>
              </w:rPr>
              <w:t xml:space="preserve">can be discounted. </w:t>
            </w:r>
            <w:r w:rsidR="00290DD7" w:rsidRPr="008A38D2">
              <w:rPr>
                <w:bCs/>
                <w:szCs w:val="24"/>
              </w:rPr>
              <w:t xml:space="preserve"> </w:t>
            </w:r>
          </w:p>
          <w:p w14:paraId="2A1D4958" w14:textId="77777777" w:rsidR="009961CF" w:rsidRDefault="009961CF" w:rsidP="0048438C">
            <w:pPr>
              <w:spacing w:before="60" w:after="60"/>
              <w:rPr>
                <w:bCs/>
                <w:szCs w:val="24"/>
                <w:u w:val="single"/>
              </w:rPr>
            </w:pPr>
          </w:p>
          <w:p w14:paraId="5876B189" w14:textId="365933F7" w:rsidR="00E26729" w:rsidRPr="0070115E" w:rsidRDefault="009961CF" w:rsidP="008A38D2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bCs/>
                <w:szCs w:val="24"/>
              </w:rPr>
            </w:pPr>
            <w:r w:rsidRPr="0070115E">
              <w:rPr>
                <w:bCs/>
                <w:szCs w:val="24"/>
              </w:rPr>
              <w:t>ONR also expect</w:t>
            </w:r>
            <w:r w:rsidR="00CA4C45" w:rsidRPr="0070115E">
              <w:rPr>
                <w:bCs/>
                <w:szCs w:val="24"/>
              </w:rPr>
              <w:t>s</w:t>
            </w:r>
            <w:r w:rsidRPr="0070115E">
              <w:rPr>
                <w:bCs/>
                <w:szCs w:val="24"/>
              </w:rPr>
              <w:t xml:space="preserve"> that </w:t>
            </w:r>
            <w:r w:rsidR="00361BEF" w:rsidRPr="0070115E">
              <w:rPr>
                <w:bCs/>
                <w:szCs w:val="24"/>
              </w:rPr>
              <w:t>design basis techniques are applied down to sequence frequencies of 1</w:t>
            </w:r>
            <w:r w:rsidR="00D03572">
              <w:rPr>
                <w:bCs/>
                <w:szCs w:val="24"/>
              </w:rPr>
              <w:t>x10</w:t>
            </w:r>
            <w:r w:rsidR="00361BEF" w:rsidRPr="00D03572">
              <w:rPr>
                <w:bCs/>
                <w:szCs w:val="24"/>
                <w:vertAlign w:val="superscript"/>
              </w:rPr>
              <w:t>-7</w:t>
            </w:r>
            <w:r w:rsidR="00361BEF" w:rsidRPr="0070115E">
              <w:rPr>
                <w:bCs/>
                <w:szCs w:val="24"/>
              </w:rPr>
              <w:t xml:space="preserve"> pa.</w:t>
            </w:r>
            <w:r w:rsidR="00100982" w:rsidRPr="0070115E">
              <w:rPr>
                <w:bCs/>
                <w:szCs w:val="24"/>
              </w:rPr>
              <w:t xml:space="preserve"> This expectation is typically met by provision of a </w:t>
            </w:r>
            <w:r w:rsidR="00CA4C45" w:rsidRPr="0070115E">
              <w:rPr>
                <w:bCs/>
                <w:szCs w:val="24"/>
              </w:rPr>
              <w:t>second</w:t>
            </w:r>
            <w:r w:rsidR="00100982" w:rsidRPr="0070115E">
              <w:rPr>
                <w:bCs/>
                <w:szCs w:val="24"/>
              </w:rPr>
              <w:t xml:space="preserve"> line of protection</w:t>
            </w:r>
            <w:r w:rsidR="00CA4C45" w:rsidRPr="0070115E">
              <w:rPr>
                <w:bCs/>
                <w:szCs w:val="24"/>
              </w:rPr>
              <w:t xml:space="preserve"> as a backup to the principle means.</w:t>
            </w:r>
            <w:r w:rsidR="007F5643" w:rsidRPr="0070115E">
              <w:rPr>
                <w:bCs/>
                <w:szCs w:val="24"/>
              </w:rPr>
              <w:t xml:space="preserve"> ONR therefore expect</w:t>
            </w:r>
            <w:r w:rsidR="00621F18">
              <w:rPr>
                <w:bCs/>
                <w:szCs w:val="24"/>
              </w:rPr>
              <w:t>s</w:t>
            </w:r>
            <w:r w:rsidR="007F5643" w:rsidRPr="0070115E">
              <w:rPr>
                <w:bCs/>
                <w:szCs w:val="24"/>
              </w:rPr>
              <w:t xml:space="preserve"> </w:t>
            </w:r>
            <w:r w:rsidR="00E26729" w:rsidRPr="0070115E">
              <w:rPr>
                <w:bCs/>
                <w:szCs w:val="24"/>
              </w:rPr>
              <w:t xml:space="preserve">diverse </w:t>
            </w:r>
            <w:r w:rsidR="00621F18">
              <w:rPr>
                <w:bCs/>
                <w:szCs w:val="24"/>
              </w:rPr>
              <w:t>safety measures</w:t>
            </w:r>
            <w:r w:rsidR="00E26729" w:rsidRPr="0070115E">
              <w:rPr>
                <w:bCs/>
                <w:szCs w:val="24"/>
              </w:rPr>
              <w:t xml:space="preserve"> for </w:t>
            </w:r>
            <w:r w:rsidR="00A80C2E">
              <w:rPr>
                <w:bCs/>
                <w:szCs w:val="24"/>
              </w:rPr>
              <w:t>pipebreaks</w:t>
            </w:r>
            <w:r w:rsidR="00E26729" w:rsidRPr="0070115E">
              <w:rPr>
                <w:bCs/>
                <w:szCs w:val="24"/>
              </w:rPr>
              <w:t xml:space="preserve"> on the ICS</w:t>
            </w:r>
            <w:r w:rsidR="00AA461F" w:rsidRPr="0070115E">
              <w:rPr>
                <w:bCs/>
                <w:szCs w:val="24"/>
              </w:rPr>
              <w:t>, where CCF of the PPS prevents closure of the RIVs,</w:t>
            </w:r>
            <w:r w:rsidR="00E26729" w:rsidRPr="0070115E">
              <w:rPr>
                <w:bCs/>
                <w:szCs w:val="24"/>
              </w:rPr>
              <w:t xml:space="preserve"> </w:t>
            </w:r>
            <w:r w:rsidR="00E26729" w:rsidRPr="00E71C9F">
              <w:rPr>
                <w:bCs/>
                <w:i/>
                <w:iCs/>
                <w:szCs w:val="24"/>
              </w:rPr>
              <w:t>so far as reasonably practicable</w:t>
            </w:r>
            <w:r w:rsidR="00E26729" w:rsidRPr="00B06B75">
              <w:rPr>
                <w:bCs/>
                <w:szCs w:val="24"/>
              </w:rPr>
              <w:t>.</w:t>
            </w:r>
            <w:r w:rsidR="00D11B48" w:rsidRPr="0070115E">
              <w:rPr>
                <w:bCs/>
                <w:szCs w:val="24"/>
              </w:rPr>
              <w:t xml:space="preserve"> ONR also expect that deterministic analysis is performed to demonstrate the effectiveness of </w:t>
            </w:r>
            <w:r w:rsidR="007F02A4">
              <w:rPr>
                <w:bCs/>
                <w:szCs w:val="24"/>
              </w:rPr>
              <w:t>such safety measures</w:t>
            </w:r>
            <w:r w:rsidR="00A57DC9" w:rsidRPr="0070115E">
              <w:rPr>
                <w:bCs/>
                <w:szCs w:val="24"/>
              </w:rPr>
              <w:t>, with fuel failures reduced to ALARP.</w:t>
            </w:r>
          </w:p>
          <w:p w14:paraId="75A39F5B" w14:textId="137F7957" w:rsidR="009F07C9" w:rsidRPr="00FA6EB3" w:rsidRDefault="003F441C" w:rsidP="00AF43F4">
            <w:pPr>
              <w:spacing w:before="60" w:after="60"/>
              <w:rPr>
                <w:rFonts w:asciiTheme="minorBidi" w:hAnsiTheme="minorBidi"/>
                <w:szCs w:val="24"/>
              </w:rPr>
            </w:pPr>
            <w:r w:rsidRPr="000F35AB">
              <w:rPr>
                <w:rFonts w:asciiTheme="minorBidi" w:hAnsiTheme="minorBidi"/>
                <w:szCs w:val="24"/>
              </w:rPr>
              <w:t xml:space="preserve">We are seeking assurances, through </w:t>
            </w:r>
            <w:r w:rsidR="00EA1CE9">
              <w:rPr>
                <w:rFonts w:asciiTheme="minorBidi" w:hAnsiTheme="minorBidi"/>
                <w:szCs w:val="24"/>
              </w:rPr>
              <w:t>suitable</w:t>
            </w:r>
            <w:r w:rsidRPr="000F35AB">
              <w:rPr>
                <w:rFonts w:asciiTheme="minorBidi" w:hAnsiTheme="minorBidi"/>
                <w:szCs w:val="24"/>
              </w:rPr>
              <w:t xml:space="preserve"> plan</w:t>
            </w:r>
            <w:r w:rsidR="00CB4345">
              <w:rPr>
                <w:rFonts w:asciiTheme="minorBidi" w:hAnsiTheme="minorBidi"/>
                <w:szCs w:val="24"/>
              </w:rPr>
              <w:t>(s)</w:t>
            </w:r>
            <w:r w:rsidRPr="000F35AB">
              <w:rPr>
                <w:rFonts w:asciiTheme="minorBidi" w:hAnsiTheme="minorBidi"/>
                <w:szCs w:val="24"/>
              </w:rPr>
              <w:t xml:space="preserve"> agreed in Step 2, on how the RP plans to address the RO action identified below. Through either existing planned work or new work packages, a description of suitable activities to </w:t>
            </w:r>
            <w:r w:rsidR="000556DF">
              <w:rPr>
                <w:rFonts w:asciiTheme="minorBidi" w:hAnsiTheme="minorBidi"/>
                <w:szCs w:val="24"/>
              </w:rPr>
              <w:t>cover</w:t>
            </w:r>
            <w:r w:rsidRPr="000F35AB">
              <w:rPr>
                <w:rFonts w:asciiTheme="minorBidi" w:hAnsiTheme="minorBidi"/>
                <w:szCs w:val="24"/>
              </w:rPr>
              <w:t xml:space="preserve"> the points identified is sought, along with timescales, standards and guidance that will be applied</w:t>
            </w:r>
            <w:r w:rsidR="00FB72FD">
              <w:rPr>
                <w:rFonts w:asciiTheme="minorBidi" w:hAnsiTheme="minorBidi"/>
                <w:szCs w:val="24"/>
              </w:rPr>
              <w:t xml:space="preserve"> </w:t>
            </w:r>
            <w:r w:rsidR="0065739A">
              <w:rPr>
                <w:rFonts w:asciiTheme="minorBidi" w:hAnsiTheme="minorBidi"/>
                <w:szCs w:val="24"/>
              </w:rPr>
              <w:t>and criteria.</w:t>
            </w:r>
          </w:p>
          <w:p w14:paraId="3735E4E3" w14:textId="77777777" w:rsidR="001D59B5" w:rsidRPr="0078037F" w:rsidRDefault="001D59B5" w:rsidP="0078037F">
            <w:pPr>
              <w:spacing w:before="60" w:after="60"/>
              <w:rPr>
                <w:szCs w:val="24"/>
              </w:rPr>
            </w:pPr>
          </w:p>
          <w:p w14:paraId="2993E5C2" w14:textId="77777777" w:rsidR="00EC409B" w:rsidRDefault="00EC409B" w:rsidP="0048438C">
            <w:pPr>
              <w:spacing w:before="60" w:after="60"/>
              <w:rPr>
                <w:b/>
                <w:szCs w:val="24"/>
                <w:u w:val="single"/>
              </w:rPr>
            </w:pPr>
            <w:r w:rsidRPr="0048438C">
              <w:rPr>
                <w:b/>
                <w:szCs w:val="24"/>
                <w:u w:val="single"/>
              </w:rPr>
              <w:lastRenderedPageBreak/>
              <w:t>References</w:t>
            </w:r>
          </w:p>
          <w:p w14:paraId="4AD824B8" w14:textId="52EE839F" w:rsidR="00D617F2" w:rsidRDefault="00E22717" w:rsidP="00F42C7E">
            <w:pPr>
              <w:rPr>
                <w:noProof/>
              </w:rPr>
            </w:pPr>
            <w:r w:rsidRPr="001D66AB">
              <w:rPr>
                <w:bCs/>
                <w:szCs w:val="24"/>
              </w:rPr>
              <w:t>[1]</w:t>
            </w:r>
            <w:r w:rsidR="00E51627" w:rsidRPr="001D66AB">
              <w:rPr>
                <w:bCs/>
                <w:szCs w:val="24"/>
              </w:rPr>
              <w:t xml:space="preserve"> </w:t>
            </w:r>
            <w:r w:rsidR="006F23E6">
              <w:rPr>
                <w:noProof/>
              </w:rPr>
              <w:t>GE-Hitachi, NEDC-34183P BWRX-300 UK GDA Chapter 15.5 - Deterministic Safety Analysis, Rev A, 6 December 2024, ONRW-2019369590-15536.</w:t>
            </w:r>
          </w:p>
          <w:p w14:paraId="6CD9C2DC" w14:textId="58AB775E" w:rsidR="00BC1CC3" w:rsidRDefault="00BC1CC3" w:rsidP="00F42C7E">
            <w:pPr>
              <w:rPr>
                <w:bCs/>
                <w:szCs w:val="24"/>
              </w:rPr>
            </w:pPr>
            <w:r>
              <w:rPr>
                <w:noProof/>
              </w:rPr>
              <w:t xml:space="preserve">[2] </w:t>
            </w:r>
            <w:r w:rsidR="00C67334">
              <w:rPr>
                <w:noProof/>
              </w:rPr>
              <w:t xml:space="preserve">GE-Hitachi, </w:t>
            </w:r>
            <w:r w:rsidR="0073020B">
              <w:rPr>
                <w:noProof/>
              </w:rPr>
              <w:t>BWRX-300 Safety Strategy Specification, 006N5064, Revision 6, ONRW</w:t>
            </w:r>
            <w:r w:rsidR="000826C8">
              <w:rPr>
                <w:noProof/>
              </w:rPr>
              <w:t>-2019369590-18450</w:t>
            </w:r>
          </w:p>
          <w:p w14:paraId="407E2618" w14:textId="3F4AF739" w:rsidR="00E22717" w:rsidRDefault="00D617F2" w:rsidP="00F42C7E">
            <w:pPr>
              <w:rPr>
                <w:bCs/>
              </w:rPr>
            </w:pPr>
            <w:r>
              <w:rPr>
                <w:bCs/>
                <w:szCs w:val="24"/>
              </w:rPr>
              <w:t>[</w:t>
            </w:r>
            <w:r w:rsidR="008B547D">
              <w:rPr>
                <w:bCs/>
                <w:szCs w:val="24"/>
              </w:rPr>
              <w:t>3</w:t>
            </w:r>
            <w:r>
              <w:rPr>
                <w:bCs/>
                <w:szCs w:val="24"/>
              </w:rPr>
              <w:t xml:space="preserve">] </w:t>
            </w:r>
            <w:r w:rsidR="001D66AB" w:rsidRPr="001D66AB">
              <w:rPr>
                <w:bCs/>
                <w:szCs w:val="24"/>
              </w:rPr>
              <w:t>GE-Hitachi</w:t>
            </w:r>
            <w:r w:rsidR="001D66AB">
              <w:rPr>
                <w:bCs/>
                <w:szCs w:val="24"/>
              </w:rPr>
              <w:t>, Submission of BWRX-300</w:t>
            </w:r>
            <w:r w:rsidR="00A03119">
              <w:rPr>
                <w:bCs/>
                <w:szCs w:val="24"/>
              </w:rPr>
              <w:t xml:space="preserve"> UK GDA, RQ-01763 Full Response, 14</w:t>
            </w:r>
            <w:r w:rsidR="00A03119">
              <w:rPr>
                <w:bCs/>
                <w:szCs w:val="24"/>
                <w:vertAlign w:val="superscript"/>
              </w:rPr>
              <w:t xml:space="preserve"> </w:t>
            </w:r>
            <w:r w:rsidR="00A03119">
              <w:rPr>
                <w:bCs/>
              </w:rPr>
              <w:t xml:space="preserve">March 2025, </w:t>
            </w:r>
            <w:r w:rsidR="00F42C7E" w:rsidRPr="001D66AB">
              <w:rPr>
                <w:bCs/>
              </w:rPr>
              <w:t>ONRW-609516046-1070</w:t>
            </w:r>
          </w:p>
          <w:p w14:paraId="41793501" w14:textId="7060D8C4" w:rsidR="00A03119" w:rsidRDefault="00A03119" w:rsidP="007C5E3A">
            <w:r>
              <w:rPr>
                <w:bCs/>
              </w:rPr>
              <w:t>[</w:t>
            </w:r>
            <w:r w:rsidR="008B547D">
              <w:rPr>
                <w:bCs/>
              </w:rPr>
              <w:t>4</w:t>
            </w:r>
            <w:r>
              <w:rPr>
                <w:bCs/>
              </w:rPr>
              <w:t xml:space="preserve">] </w:t>
            </w:r>
            <w:r w:rsidR="0080441A">
              <w:rPr>
                <w:bCs/>
              </w:rPr>
              <w:t xml:space="preserve">GE-Hitachi, </w:t>
            </w:r>
            <w:r w:rsidR="00542642" w:rsidRPr="00542642">
              <w:rPr>
                <w:bCs/>
                <w:lang w:val="en-US"/>
              </w:rPr>
              <w:t>Submission of BWRX-300 UK GDA, Response to Regulatory Query (RQ)-01770, Full Response</w:t>
            </w:r>
            <w:r w:rsidR="00542642">
              <w:rPr>
                <w:bCs/>
                <w:lang w:val="en-US"/>
              </w:rPr>
              <w:t>, 16 May 2025,</w:t>
            </w:r>
            <w:r w:rsidR="00542642" w:rsidRPr="00542642">
              <w:rPr>
                <w:bCs/>
                <w:lang w:val="en-US"/>
              </w:rPr>
              <w:t xml:space="preserve"> </w:t>
            </w:r>
            <w:r w:rsidR="0040134F" w:rsidRPr="0040134F">
              <w:t>ONRW-2019369590-20778</w:t>
            </w:r>
          </w:p>
          <w:p w14:paraId="0A4FF336" w14:textId="3CA80FF0" w:rsidR="00C309F5" w:rsidRDefault="006B08C5" w:rsidP="007C5E3A">
            <w:r>
              <w:t xml:space="preserve">[5] </w:t>
            </w:r>
            <w:r w:rsidR="00283468">
              <w:t>GE-Hitachi</w:t>
            </w:r>
            <w:r w:rsidR="008464F3">
              <w:t xml:space="preserve">, Submission of BWRX-300 UK GDA Step 2 </w:t>
            </w:r>
            <w:r w:rsidR="007038CB">
              <w:t>RQ-01870 Response, 4 April 202</w:t>
            </w:r>
            <w:r w:rsidR="00A03027">
              <w:t>5</w:t>
            </w:r>
            <w:r w:rsidR="003D74C7">
              <w:t>, ONRW-6095</w:t>
            </w:r>
            <w:r w:rsidR="00C324C2">
              <w:t>16046-1332</w:t>
            </w:r>
          </w:p>
          <w:p w14:paraId="024629F7" w14:textId="5EEE2CF5" w:rsidR="00EB412F" w:rsidRPr="0082002A" w:rsidRDefault="00EB412F" w:rsidP="007C5E3A">
            <w:r w:rsidRPr="0082002A">
              <w:t xml:space="preserve">[6] </w:t>
            </w:r>
            <w:r w:rsidR="000E0A42" w:rsidRPr="0082002A">
              <w:t>GE-</w:t>
            </w:r>
            <w:r w:rsidR="007E5A8F" w:rsidRPr="0082002A">
              <w:t>Hitachi, NEDC-34194P</w:t>
            </w:r>
            <w:r w:rsidR="0082002A" w:rsidRPr="0082002A">
              <w:t xml:space="preserve"> BWRX-300 U</w:t>
            </w:r>
            <w:r w:rsidR="0082002A">
              <w:t>K GDA Chapter 22 Structural Integrity of Metallic System Structur</w:t>
            </w:r>
            <w:r w:rsidR="00F036A8">
              <w:t>e</w:t>
            </w:r>
            <w:r w:rsidR="0082002A">
              <w:t xml:space="preserve">s </w:t>
            </w:r>
            <w:r w:rsidR="00F036A8">
              <w:t>and Components, Rev A, 22 November 2024, ON</w:t>
            </w:r>
            <w:r w:rsidR="001972C5">
              <w:t>RW-2019369590-15018</w:t>
            </w:r>
            <w:r w:rsidR="00F036A8">
              <w:t xml:space="preserve"> </w:t>
            </w:r>
          </w:p>
          <w:p w14:paraId="649E3E04" w14:textId="3C5ACBB8" w:rsidR="00CD441D" w:rsidRDefault="00CD441D" w:rsidP="007C5E3A">
            <w:r>
              <w:t>[</w:t>
            </w:r>
            <w:r w:rsidR="00EB412F">
              <w:t>7</w:t>
            </w:r>
            <w:r>
              <w:t xml:space="preserve">] </w:t>
            </w:r>
            <w:r w:rsidR="00701EB6">
              <w:t>ONR, Safety Assessment Principles for Nuclear Facilities, 2014 Edition, Revision 1, January 2020</w:t>
            </w:r>
          </w:p>
          <w:p w14:paraId="4573E048" w14:textId="420EF1D1" w:rsidR="00F65462" w:rsidRPr="008B6F65" w:rsidRDefault="000E4DB8" w:rsidP="008B6F65">
            <w:pPr>
              <w:rPr>
                <w:bCs/>
                <w:lang w:val="en-US"/>
              </w:rPr>
            </w:pPr>
            <w:r>
              <w:t>[</w:t>
            </w:r>
            <w:r w:rsidR="00EB412F">
              <w:t>8</w:t>
            </w:r>
            <w:r>
              <w:t xml:space="preserve">] </w:t>
            </w:r>
            <w:r w:rsidR="00BE3B5A">
              <w:t xml:space="preserve">IAEA Safety Standards, Deterministic Safety Analysis of </w:t>
            </w:r>
            <w:r w:rsidR="005E5474">
              <w:t>N</w:t>
            </w:r>
            <w:r w:rsidR="00BE3B5A">
              <w:t>uclear Plants</w:t>
            </w:r>
            <w:r w:rsidR="005E5474">
              <w:t>, Specific Safety Guide, No. SSG-2 (Rev.1)</w:t>
            </w:r>
          </w:p>
        </w:tc>
      </w:tr>
      <w:tr w:rsidR="00850471" w:rsidRPr="00581D5B" w14:paraId="4573E04B" w14:textId="77777777" w:rsidTr="0AE73489">
        <w:tc>
          <w:tcPr>
            <w:tcW w:w="9897" w:type="dxa"/>
            <w:gridSpan w:val="2"/>
            <w:shd w:val="clear" w:color="auto" w:fill="D9D9D9" w:themeFill="background1" w:themeFillShade="D9"/>
          </w:tcPr>
          <w:p w14:paraId="4573E04A" w14:textId="6BD52BAF" w:rsidR="00850471" w:rsidRPr="00581D5B" w:rsidRDefault="00581D5B" w:rsidP="0048438C">
            <w:pPr>
              <w:spacing w:before="60" w:after="60"/>
              <w:rPr>
                <w:b/>
                <w:iCs/>
                <w:szCs w:val="24"/>
              </w:rPr>
            </w:pPr>
            <w:r w:rsidRPr="00581D5B">
              <w:rPr>
                <w:b/>
                <w:iCs/>
                <w:szCs w:val="24"/>
              </w:rPr>
              <w:lastRenderedPageBreak/>
              <w:t>REGULATORY OBSERVATION ACTIONS</w:t>
            </w:r>
          </w:p>
        </w:tc>
      </w:tr>
      <w:tr w:rsidR="00850471" w:rsidRPr="0048438C" w14:paraId="4573E04E" w14:textId="77777777" w:rsidTr="0AE73489">
        <w:trPr>
          <w:trHeight w:val="242"/>
        </w:trPr>
        <w:tc>
          <w:tcPr>
            <w:tcW w:w="9897" w:type="dxa"/>
            <w:gridSpan w:val="2"/>
          </w:tcPr>
          <w:p w14:paraId="4573E04C" w14:textId="197F5585" w:rsidR="00850471" w:rsidRPr="0048438C" w:rsidRDefault="00850471" w:rsidP="0048438C">
            <w:pPr>
              <w:spacing w:before="60" w:after="60"/>
              <w:rPr>
                <w:b/>
                <w:noProof/>
                <w:szCs w:val="24"/>
              </w:rPr>
            </w:pPr>
            <w:r w:rsidRPr="0048438C">
              <w:rPr>
                <w:b/>
                <w:noProof/>
                <w:szCs w:val="24"/>
              </w:rPr>
              <w:t>RO-</w:t>
            </w:r>
            <w:r w:rsidR="00A62520">
              <w:rPr>
                <w:b/>
                <w:noProof/>
                <w:szCs w:val="24"/>
              </w:rPr>
              <w:t>BWR</w:t>
            </w:r>
            <w:r w:rsidR="005933F1">
              <w:rPr>
                <w:b/>
                <w:noProof/>
                <w:szCs w:val="24"/>
              </w:rPr>
              <w:t>300</w:t>
            </w:r>
            <w:r w:rsidR="0075487C">
              <w:rPr>
                <w:b/>
                <w:noProof/>
                <w:szCs w:val="24"/>
              </w:rPr>
              <w:t>-</w:t>
            </w:r>
            <w:r w:rsidR="00FE1424">
              <w:rPr>
                <w:b/>
                <w:noProof/>
                <w:szCs w:val="24"/>
              </w:rPr>
              <w:t>004</w:t>
            </w:r>
            <w:r w:rsidRPr="0048438C">
              <w:rPr>
                <w:b/>
                <w:noProof/>
                <w:szCs w:val="24"/>
              </w:rPr>
              <w:t>.A1</w:t>
            </w:r>
            <w:r w:rsidR="000977CC" w:rsidRPr="0048438C">
              <w:rPr>
                <w:b/>
                <w:noProof/>
                <w:szCs w:val="24"/>
              </w:rPr>
              <w:t xml:space="preserve"> – </w:t>
            </w:r>
            <w:r w:rsidR="005F4B72">
              <w:rPr>
                <w:b/>
                <w:noProof/>
                <w:szCs w:val="24"/>
              </w:rPr>
              <w:t xml:space="preserve">Safety Case for </w:t>
            </w:r>
            <w:r w:rsidR="00FD2DF6">
              <w:rPr>
                <w:b/>
                <w:noProof/>
                <w:szCs w:val="24"/>
              </w:rPr>
              <w:t xml:space="preserve">large </w:t>
            </w:r>
            <w:r w:rsidR="00283650">
              <w:rPr>
                <w:b/>
                <w:noProof/>
                <w:szCs w:val="24"/>
              </w:rPr>
              <w:t>u</w:t>
            </w:r>
            <w:r w:rsidR="005F4B72">
              <w:rPr>
                <w:b/>
                <w:noProof/>
                <w:szCs w:val="24"/>
              </w:rPr>
              <w:t>nisolable/non-is</w:t>
            </w:r>
            <w:r w:rsidR="00EE55B3">
              <w:rPr>
                <w:b/>
                <w:noProof/>
                <w:szCs w:val="24"/>
              </w:rPr>
              <w:t>o</w:t>
            </w:r>
            <w:r w:rsidR="005F4B72">
              <w:rPr>
                <w:b/>
                <w:noProof/>
                <w:szCs w:val="24"/>
              </w:rPr>
              <w:t>lated LOCAs</w:t>
            </w:r>
          </w:p>
          <w:p w14:paraId="509B3492" w14:textId="77777777" w:rsidR="00F9733B" w:rsidRDefault="00F9733B" w:rsidP="00157B1F">
            <w:pPr>
              <w:spacing w:before="60" w:after="60"/>
              <w:rPr>
                <w:noProof/>
                <w:szCs w:val="24"/>
              </w:rPr>
            </w:pPr>
          </w:p>
          <w:p w14:paraId="26847EA4" w14:textId="782C252D" w:rsidR="006E7CAB" w:rsidRDefault="00F9733B" w:rsidP="00157B1F">
            <w:pPr>
              <w:spacing w:before="60" w:after="6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T</w:t>
            </w:r>
            <w:r w:rsidR="0028336D">
              <w:rPr>
                <w:noProof/>
                <w:szCs w:val="24"/>
              </w:rPr>
              <w:t xml:space="preserve">he RP should develop and submit a safety case for unisolable/non-isolated LOCAs </w:t>
            </w:r>
            <w:r w:rsidR="00991C1A">
              <w:rPr>
                <w:noProof/>
                <w:szCs w:val="24"/>
              </w:rPr>
              <w:t>i</w:t>
            </w:r>
            <w:r w:rsidR="00875755" w:rsidRPr="0048438C">
              <w:rPr>
                <w:noProof/>
                <w:szCs w:val="24"/>
              </w:rPr>
              <w:t>n response to this Regulatory Observation Action</w:t>
            </w:r>
            <w:r w:rsidR="00D857AE">
              <w:rPr>
                <w:noProof/>
                <w:szCs w:val="24"/>
              </w:rPr>
              <w:t xml:space="preserve"> </w:t>
            </w:r>
          </w:p>
          <w:p w14:paraId="3A519B78" w14:textId="47BBD3E0" w:rsidR="00F727B0" w:rsidRPr="00F727B0" w:rsidRDefault="00D857AE" w:rsidP="006E7CAB">
            <w:pPr>
              <w:spacing w:before="60" w:after="6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In doing so, the RP should </w:t>
            </w:r>
            <w:r w:rsidR="00286763">
              <w:rPr>
                <w:noProof/>
                <w:szCs w:val="24"/>
              </w:rPr>
              <w:t>cover</w:t>
            </w:r>
            <w:r>
              <w:rPr>
                <w:noProof/>
                <w:szCs w:val="24"/>
              </w:rPr>
              <w:t xml:space="preserve"> the following</w:t>
            </w:r>
            <w:r w:rsidR="000B206D">
              <w:rPr>
                <w:noProof/>
                <w:szCs w:val="24"/>
              </w:rPr>
              <w:t xml:space="preserve"> within that safety case</w:t>
            </w:r>
            <w:r>
              <w:rPr>
                <w:noProof/>
                <w:szCs w:val="24"/>
              </w:rPr>
              <w:t>:</w:t>
            </w:r>
          </w:p>
          <w:p w14:paraId="175E502C" w14:textId="7EC99243" w:rsidR="004918B5" w:rsidRDefault="00025DC1" w:rsidP="0042487D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Additional d</w:t>
            </w:r>
            <w:r w:rsidR="0076096F">
              <w:rPr>
                <w:noProof/>
                <w:szCs w:val="24"/>
              </w:rPr>
              <w:t xml:space="preserve">eterministic analysis </w:t>
            </w:r>
            <w:r w:rsidR="00673B91">
              <w:rPr>
                <w:noProof/>
                <w:szCs w:val="24"/>
              </w:rPr>
              <w:t>cover</w:t>
            </w:r>
            <w:r w:rsidR="0079302C">
              <w:rPr>
                <w:noProof/>
                <w:szCs w:val="24"/>
              </w:rPr>
              <w:t>ing</w:t>
            </w:r>
            <w:r w:rsidR="00673B91">
              <w:rPr>
                <w:noProof/>
                <w:szCs w:val="24"/>
              </w:rPr>
              <w:t xml:space="preserve"> </w:t>
            </w:r>
            <w:r w:rsidR="001E01FE">
              <w:rPr>
                <w:noProof/>
                <w:szCs w:val="24"/>
              </w:rPr>
              <w:t>the consequences of</w:t>
            </w:r>
            <w:r w:rsidR="004918B5">
              <w:rPr>
                <w:noProof/>
                <w:szCs w:val="24"/>
              </w:rPr>
              <w:t xml:space="preserve"> the following</w:t>
            </w:r>
            <w:r w:rsidR="001E01FE">
              <w:rPr>
                <w:noProof/>
                <w:szCs w:val="24"/>
              </w:rPr>
              <w:t xml:space="preserve"> </w:t>
            </w:r>
            <w:r w:rsidR="00361C3D">
              <w:rPr>
                <w:noProof/>
                <w:szCs w:val="24"/>
              </w:rPr>
              <w:t>sequences</w:t>
            </w:r>
          </w:p>
          <w:p w14:paraId="3FF0AC8E" w14:textId="6DEBB6D2" w:rsidR="00FB6AC3" w:rsidRDefault="00C436AD" w:rsidP="00FB6AC3">
            <w:pPr>
              <w:pStyle w:val="ListParagraph"/>
              <w:numPr>
                <w:ilvl w:val="0"/>
                <w:numId w:val="41"/>
              </w:numPr>
              <w:spacing w:before="60" w:after="60"/>
              <w:rPr>
                <w:noProof/>
                <w:szCs w:val="24"/>
              </w:rPr>
            </w:pPr>
            <w:r w:rsidRPr="00FB6AC3">
              <w:rPr>
                <w:noProof/>
                <w:szCs w:val="24"/>
              </w:rPr>
              <w:t>pipe</w:t>
            </w:r>
            <w:r w:rsidR="001E01FE" w:rsidRPr="00FB6AC3">
              <w:rPr>
                <w:noProof/>
                <w:szCs w:val="24"/>
              </w:rPr>
              <w:t xml:space="preserve">breaks </w:t>
            </w:r>
            <w:r w:rsidR="00566E36" w:rsidRPr="00FB6AC3">
              <w:rPr>
                <w:noProof/>
                <w:szCs w:val="24"/>
              </w:rPr>
              <w:t xml:space="preserve">arising </w:t>
            </w:r>
            <w:r w:rsidR="009D4BCE" w:rsidRPr="00FB6AC3">
              <w:rPr>
                <w:noProof/>
                <w:szCs w:val="24"/>
              </w:rPr>
              <w:t>at the</w:t>
            </w:r>
            <w:r w:rsidR="006C1DC1" w:rsidRPr="00FB6AC3">
              <w:rPr>
                <w:noProof/>
                <w:szCs w:val="24"/>
              </w:rPr>
              <w:t xml:space="preserve"> </w:t>
            </w:r>
            <w:r w:rsidR="009D4BCE" w:rsidRPr="00FB6AC3">
              <w:rPr>
                <w:noProof/>
                <w:szCs w:val="24"/>
              </w:rPr>
              <w:t>connection</w:t>
            </w:r>
            <w:r w:rsidR="00566E36" w:rsidRPr="00FB6AC3">
              <w:rPr>
                <w:noProof/>
                <w:szCs w:val="24"/>
              </w:rPr>
              <w:t xml:space="preserve"> </w:t>
            </w:r>
            <w:r w:rsidR="006C1DC1" w:rsidRPr="00FB6AC3">
              <w:rPr>
                <w:noProof/>
                <w:szCs w:val="24"/>
              </w:rPr>
              <w:t xml:space="preserve">between the </w:t>
            </w:r>
            <w:r w:rsidR="00815A0A" w:rsidRPr="00FB6AC3">
              <w:rPr>
                <w:noProof/>
                <w:szCs w:val="24"/>
              </w:rPr>
              <w:t xml:space="preserve">RPV </w:t>
            </w:r>
            <w:r w:rsidR="006C1DC1" w:rsidRPr="00FB6AC3">
              <w:rPr>
                <w:noProof/>
                <w:szCs w:val="24"/>
              </w:rPr>
              <w:t>nozzles and the RIVs</w:t>
            </w:r>
          </w:p>
          <w:p w14:paraId="6CB8D79B" w14:textId="617473A1" w:rsidR="00FB6AC3" w:rsidRPr="00FB6AC3" w:rsidRDefault="007C1762" w:rsidP="00FB6AC3">
            <w:pPr>
              <w:pStyle w:val="ListParagraph"/>
              <w:numPr>
                <w:ilvl w:val="0"/>
                <w:numId w:val="41"/>
              </w:numPr>
              <w:spacing w:before="60" w:after="6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pipebreaks arising </w:t>
            </w:r>
            <w:r w:rsidR="00454796">
              <w:rPr>
                <w:noProof/>
                <w:szCs w:val="24"/>
              </w:rPr>
              <w:t xml:space="preserve">in isolable locations </w:t>
            </w:r>
            <w:r w:rsidR="00B54612">
              <w:rPr>
                <w:noProof/>
                <w:szCs w:val="24"/>
              </w:rPr>
              <w:t xml:space="preserve">in the ICS </w:t>
            </w:r>
            <w:r w:rsidR="00454796">
              <w:rPr>
                <w:noProof/>
                <w:szCs w:val="24"/>
              </w:rPr>
              <w:t xml:space="preserve">with </w:t>
            </w:r>
            <w:r w:rsidR="00DD7A7B">
              <w:rPr>
                <w:noProof/>
                <w:szCs w:val="24"/>
              </w:rPr>
              <w:t>subsequent</w:t>
            </w:r>
            <w:r w:rsidR="00454796">
              <w:rPr>
                <w:noProof/>
                <w:szCs w:val="24"/>
              </w:rPr>
              <w:t xml:space="preserve"> common cause failure </w:t>
            </w:r>
            <w:r w:rsidR="00B54612">
              <w:rPr>
                <w:noProof/>
                <w:szCs w:val="24"/>
              </w:rPr>
              <w:t xml:space="preserve">of the PPS </w:t>
            </w:r>
            <w:r w:rsidR="00454796">
              <w:rPr>
                <w:noProof/>
                <w:szCs w:val="24"/>
              </w:rPr>
              <w:t>resulting in RIVs failing to close</w:t>
            </w:r>
          </w:p>
          <w:p w14:paraId="25BE53B2" w14:textId="5532EDBC" w:rsidR="003A288C" w:rsidRPr="006E7CAB" w:rsidRDefault="007F2C47" w:rsidP="003A288C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</w:t>
            </w:r>
            <w:r w:rsidR="003A288C">
              <w:rPr>
                <w:noProof/>
                <w:szCs w:val="24"/>
              </w:rPr>
              <w:t xml:space="preserve">tructural integrity </w:t>
            </w:r>
            <w:r>
              <w:rPr>
                <w:noProof/>
                <w:szCs w:val="24"/>
              </w:rPr>
              <w:t xml:space="preserve">justification </w:t>
            </w:r>
            <w:r w:rsidR="003A288C">
              <w:rPr>
                <w:noProof/>
                <w:szCs w:val="24"/>
              </w:rPr>
              <w:t>and granulated classification of the pressure retaining SSCs between the RPV nozzles and the RIVs as informed by the deterministic consequence analysis</w:t>
            </w:r>
            <w:r w:rsidR="00F90A22">
              <w:rPr>
                <w:noProof/>
                <w:szCs w:val="24"/>
              </w:rPr>
              <w:t xml:space="preserve"> </w:t>
            </w:r>
            <w:r w:rsidR="003A288C">
              <w:rPr>
                <w:noProof/>
                <w:szCs w:val="24"/>
              </w:rPr>
              <w:t xml:space="preserve">in accordance with the </w:t>
            </w:r>
            <w:r w:rsidR="002A438F">
              <w:rPr>
                <w:noProof/>
                <w:szCs w:val="24"/>
              </w:rPr>
              <w:t>RP</w:t>
            </w:r>
            <w:r w:rsidR="0036288C">
              <w:rPr>
                <w:noProof/>
                <w:szCs w:val="24"/>
              </w:rPr>
              <w:t>’</w:t>
            </w:r>
            <w:r w:rsidR="002A438F">
              <w:rPr>
                <w:noProof/>
                <w:szCs w:val="24"/>
              </w:rPr>
              <w:t>s</w:t>
            </w:r>
            <w:r w:rsidR="007621B4">
              <w:rPr>
                <w:noProof/>
                <w:szCs w:val="24"/>
              </w:rPr>
              <w:t xml:space="preserve"> process </w:t>
            </w:r>
            <w:r w:rsidR="006A626F">
              <w:rPr>
                <w:noProof/>
                <w:szCs w:val="24"/>
              </w:rPr>
              <w:t>for</w:t>
            </w:r>
            <w:r w:rsidR="003A288C">
              <w:rPr>
                <w:noProof/>
                <w:szCs w:val="24"/>
              </w:rPr>
              <w:t xml:space="preserve"> High Integrity</w:t>
            </w:r>
            <w:r w:rsidR="009732E1">
              <w:rPr>
                <w:noProof/>
                <w:szCs w:val="24"/>
              </w:rPr>
              <w:t xml:space="preserve"> </w:t>
            </w:r>
            <w:r w:rsidR="003A288C">
              <w:rPr>
                <w:noProof/>
                <w:szCs w:val="24"/>
              </w:rPr>
              <w:t>(as described in Chapter 22 of the PSR [ref. 6])</w:t>
            </w:r>
          </w:p>
          <w:p w14:paraId="57C1953A" w14:textId="57347751" w:rsidR="00D62FB2" w:rsidRPr="00815A0A" w:rsidRDefault="00815A0A" w:rsidP="0042487D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I</w:t>
            </w:r>
            <w:r w:rsidR="00037B0E" w:rsidRPr="00815A0A">
              <w:rPr>
                <w:noProof/>
                <w:szCs w:val="24"/>
              </w:rPr>
              <w:t>denti</w:t>
            </w:r>
            <w:r w:rsidR="00091575" w:rsidRPr="00815A0A">
              <w:rPr>
                <w:noProof/>
                <w:szCs w:val="24"/>
              </w:rPr>
              <w:t>f</w:t>
            </w:r>
            <w:r w:rsidR="00CC6567" w:rsidRPr="00815A0A">
              <w:rPr>
                <w:noProof/>
                <w:szCs w:val="24"/>
              </w:rPr>
              <w:t>ication of</w:t>
            </w:r>
            <w:r w:rsidR="00037B0E" w:rsidRPr="00815A0A">
              <w:rPr>
                <w:noProof/>
                <w:szCs w:val="24"/>
              </w:rPr>
              <w:t xml:space="preserve"> </w:t>
            </w:r>
            <w:r w:rsidR="00E14B90">
              <w:rPr>
                <w:noProof/>
                <w:szCs w:val="24"/>
              </w:rPr>
              <w:t>any</w:t>
            </w:r>
            <w:r w:rsidR="005D2B49" w:rsidRPr="00815A0A">
              <w:rPr>
                <w:noProof/>
                <w:szCs w:val="24"/>
              </w:rPr>
              <w:t xml:space="preserve"> </w:t>
            </w:r>
            <w:r w:rsidR="0035173A" w:rsidRPr="00815A0A">
              <w:rPr>
                <w:noProof/>
                <w:szCs w:val="24"/>
              </w:rPr>
              <w:t xml:space="preserve">additional </w:t>
            </w:r>
            <w:r w:rsidR="00037B0E" w:rsidRPr="00815A0A">
              <w:rPr>
                <w:noProof/>
                <w:szCs w:val="24"/>
              </w:rPr>
              <w:t xml:space="preserve">safety measures </w:t>
            </w:r>
            <w:r w:rsidR="0065739A" w:rsidRPr="00815A0A">
              <w:rPr>
                <w:noProof/>
                <w:szCs w:val="24"/>
              </w:rPr>
              <w:t>(</w:t>
            </w:r>
            <w:r w:rsidR="00AB44E4">
              <w:rPr>
                <w:noProof/>
                <w:szCs w:val="24"/>
              </w:rPr>
              <w:t>as</w:t>
            </w:r>
            <w:r w:rsidR="0065739A" w:rsidRPr="00815A0A">
              <w:rPr>
                <w:noProof/>
                <w:szCs w:val="24"/>
              </w:rPr>
              <w:t xml:space="preserve"> </w:t>
            </w:r>
            <w:r w:rsidR="004D6359" w:rsidRPr="00815A0A">
              <w:rPr>
                <w:noProof/>
                <w:szCs w:val="24"/>
              </w:rPr>
              <w:t>required</w:t>
            </w:r>
            <w:r w:rsidR="0065739A" w:rsidRPr="00815A0A">
              <w:rPr>
                <w:noProof/>
                <w:szCs w:val="24"/>
              </w:rPr>
              <w:t>)</w:t>
            </w:r>
            <w:r w:rsidR="004D6359" w:rsidRPr="00815A0A">
              <w:rPr>
                <w:noProof/>
                <w:szCs w:val="24"/>
              </w:rPr>
              <w:t xml:space="preserve"> to mitigate those consequences </w:t>
            </w:r>
            <w:r w:rsidR="00EE75EC" w:rsidRPr="00815A0A">
              <w:rPr>
                <w:noProof/>
                <w:szCs w:val="24"/>
              </w:rPr>
              <w:t xml:space="preserve">in accordance with </w:t>
            </w:r>
            <w:r w:rsidR="009B633F" w:rsidRPr="00815A0A">
              <w:rPr>
                <w:noProof/>
                <w:szCs w:val="24"/>
              </w:rPr>
              <w:t xml:space="preserve">suitable </w:t>
            </w:r>
            <w:r w:rsidR="00EE75EC" w:rsidRPr="00815A0A">
              <w:rPr>
                <w:noProof/>
                <w:szCs w:val="24"/>
              </w:rPr>
              <w:t>criteria</w:t>
            </w:r>
            <w:r w:rsidR="0035173A" w:rsidRPr="00815A0A">
              <w:rPr>
                <w:noProof/>
                <w:szCs w:val="24"/>
              </w:rPr>
              <w:t xml:space="preserve"> </w:t>
            </w:r>
          </w:p>
          <w:p w14:paraId="01152306" w14:textId="029F1BE7" w:rsidR="00091575" w:rsidRDefault="00091575" w:rsidP="0042487D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Identif</w:t>
            </w:r>
            <w:r w:rsidR="00CC6567">
              <w:rPr>
                <w:noProof/>
                <w:szCs w:val="24"/>
              </w:rPr>
              <w:t>ication of</w:t>
            </w:r>
            <w:r>
              <w:rPr>
                <w:noProof/>
                <w:szCs w:val="24"/>
              </w:rPr>
              <w:t xml:space="preserve"> performance requirements</w:t>
            </w:r>
            <w:r w:rsidR="00B46DF0">
              <w:rPr>
                <w:noProof/>
                <w:szCs w:val="24"/>
              </w:rPr>
              <w:t>, categor</w:t>
            </w:r>
            <w:r w:rsidR="009B2150">
              <w:rPr>
                <w:noProof/>
                <w:szCs w:val="24"/>
              </w:rPr>
              <w:t>y</w:t>
            </w:r>
            <w:r w:rsidR="00B46DF0">
              <w:rPr>
                <w:noProof/>
                <w:szCs w:val="24"/>
              </w:rPr>
              <w:t xml:space="preserve"> </w:t>
            </w:r>
            <w:r w:rsidR="000F032B">
              <w:rPr>
                <w:noProof/>
                <w:szCs w:val="24"/>
              </w:rPr>
              <w:t xml:space="preserve">of function </w:t>
            </w:r>
            <w:r w:rsidR="00B46DF0">
              <w:rPr>
                <w:noProof/>
                <w:szCs w:val="24"/>
              </w:rPr>
              <w:t>(‘Defence Line’) and safety classification</w:t>
            </w:r>
            <w:r>
              <w:rPr>
                <w:noProof/>
                <w:szCs w:val="24"/>
              </w:rPr>
              <w:t xml:space="preserve"> </w:t>
            </w:r>
            <w:r w:rsidR="00D424F5">
              <w:rPr>
                <w:noProof/>
                <w:szCs w:val="24"/>
              </w:rPr>
              <w:t xml:space="preserve">relating to </w:t>
            </w:r>
            <w:r w:rsidR="00E14B90">
              <w:rPr>
                <w:noProof/>
                <w:szCs w:val="24"/>
              </w:rPr>
              <w:t xml:space="preserve">any </w:t>
            </w:r>
            <w:r w:rsidR="006B3C11">
              <w:rPr>
                <w:noProof/>
                <w:szCs w:val="24"/>
              </w:rPr>
              <w:t>additional</w:t>
            </w:r>
            <w:r>
              <w:rPr>
                <w:noProof/>
                <w:szCs w:val="24"/>
              </w:rPr>
              <w:t xml:space="preserve"> safety measures</w:t>
            </w:r>
            <w:r w:rsidR="00131576">
              <w:rPr>
                <w:noProof/>
                <w:szCs w:val="24"/>
              </w:rPr>
              <w:t xml:space="preserve"> (</w:t>
            </w:r>
            <w:r w:rsidR="00AB44E4">
              <w:rPr>
                <w:noProof/>
                <w:szCs w:val="24"/>
              </w:rPr>
              <w:t>as</w:t>
            </w:r>
            <w:r w:rsidR="00131576">
              <w:rPr>
                <w:noProof/>
                <w:szCs w:val="24"/>
              </w:rPr>
              <w:t xml:space="preserve"> </w:t>
            </w:r>
            <w:r w:rsidR="000D399F">
              <w:rPr>
                <w:noProof/>
                <w:szCs w:val="24"/>
              </w:rPr>
              <w:t>required</w:t>
            </w:r>
            <w:r w:rsidR="00131576">
              <w:rPr>
                <w:noProof/>
                <w:szCs w:val="24"/>
              </w:rPr>
              <w:t>)</w:t>
            </w:r>
          </w:p>
          <w:p w14:paraId="50CAB6F6" w14:textId="1235B33F" w:rsidR="00D154D6" w:rsidRDefault="00555F98" w:rsidP="00A455BA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As appropriate, d</w:t>
            </w:r>
            <w:r w:rsidR="00C753E8">
              <w:rPr>
                <w:noProof/>
                <w:szCs w:val="24"/>
              </w:rPr>
              <w:t>emonstration of linkage between the above events,</w:t>
            </w:r>
            <w:r w:rsidR="00E01166">
              <w:rPr>
                <w:noProof/>
                <w:szCs w:val="24"/>
              </w:rPr>
              <w:t xml:space="preserve"> </w:t>
            </w:r>
            <w:r w:rsidR="00C753E8">
              <w:rPr>
                <w:noProof/>
                <w:szCs w:val="24"/>
              </w:rPr>
              <w:t>safety measures</w:t>
            </w:r>
            <w:r w:rsidR="0055530F">
              <w:rPr>
                <w:noProof/>
                <w:szCs w:val="24"/>
              </w:rPr>
              <w:t xml:space="preserve">, their safety functions and performance requirements </w:t>
            </w:r>
          </w:p>
          <w:p w14:paraId="4573E04D" w14:textId="3F7E6F85" w:rsidR="00850471" w:rsidRPr="00FD0CB5" w:rsidRDefault="00850471" w:rsidP="0048438C">
            <w:pPr>
              <w:spacing w:before="60" w:after="60"/>
              <w:rPr>
                <w:bCs/>
                <w:noProof/>
                <w:szCs w:val="24"/>
              </w:rPr>
            </w:pPr>
            <w:r w:rsidRPr="00FD0CB5">
              <w:rPr>
                <w:bCs/>
                <w:noProof/>
                <w:szCs w:val="24"/>
              </w:rPr>
              <w:t>Resolution required by '</w:t>
            </w:r>
            <w:r w:rsidRPr="00FD0CB5">
              <w:rPr>
                <w:bCs/>
                <w:i/>
                <w:noProof/>
                <w:szCs w:val="24"/>
              </w:rPr>
              <w:t xml:space="preserve">to be determined by </w:t>
            </w:r>
            <w:r w:rsidR="005120CA">
              <w:rPr>
                <w:bCs/>
                <w:i/>
                <w:noProof/>
                <w:szCs w:val="24"/>
              </w:rPr>
              <w:t xml:space="preserve">GE-Hitachi </w:t>
            </w:r>
            <w:r w:rsidRPr="00FD0CB5">
              <w:rPr>
                <w:bCs/>
                <w:i/>
                <w:noProof/>
                <w:szCs w:val="24"/>
              </w:rPr>
              <w:t>Resolution Plan</w:t>
            </w:r>
            <w:r w:rsidRPr="00FD0CB5">
              <w:rPr>
                <w:bCs/>
                <w:noProof/>
                <w:szCs w:val="24"/>
              </w:rPr>
              <w:t>'</w:t>
            </w:r>
          </w:p>
        </w:tc>
      </w:tr>
    </w:tbl>
    <w:p w14:paraId="6E129088" w14:textId="77777777" w:rsidR="00D837C8" w:rsidRDefault="00D837C8"/>
    <w:tbl>
      <w:tblPr>
        <w:tblW w:w="9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436"/>
        <w:gridCol w:w="3461"/>
      </w:tblGrid>
      <w:tr w:rsidR="00850471" w:rsidRPr="0048438C" w14:paraId="4573E050" w14:textId="77777777" w:rsidTr="00D837C8">
        <w:trPr>
          <w:trHeight w:val="316"/>
        </w:trPr>
        <w:tc>
          <w:tcPr>
            <w:tcW w:w="9897" w:type="dxa"/>
            <w:gridSpan w:val="2"/>
            <w:shd w:val="clear" w:color="auto" w:fill="D9D9D9" w:themeFill="background1" w:themeFillShade="D9"/>
          </w:tcPr>
          <w:p w14:paraId="4573E04F" w14:textId="77777777" w:rsidR="00850471" w:rsidRPr="0048438C" w:rsidRDefault="00850471" w:rsidP="0048438C">
            <w:pPr>
              <w:spacing w:before="60" w:after="60"/>
              <w:jc w:val="center"/>
              <w:rPr>
                <w:szCs w:val="24"/>
              </w:rPr>
            </w:pPr>
            <w:r w:rsidRPr="0048438C">
              <w:rPr>
                <w:b/>
                <w:szCs w:val="24"/>
              </w:rPr>
              <w:t>REQUESTING PARTY TO COMPLETE</w:t>
            </w:r>
          </w:p>
        </w:tc>
      </w:tr>
      <w:tr w:rsidR="00850471" w:rsidRPr="0048438C" w14:paraId="4573E053" w14:textId="77777777" w:rsidTr="009459D7">
        <w:trPr>
          <w:trHeight w:val="204"/>
        </w:trPr>
        <w:tc>
          <w:tcPr>
            <w:tcW w:w="6436" w:type="dxa"/>
          </w:tcPr>
          <w:p w14:paraId="4573E051" w14:textId="4EF38771" w:rsidR="00850471" w:rsidRPr="0048438C" w:rsidRDefault="00850471" w:rsidP="0048438C">
            <w:pPr>
              <w:spacing w:before="60" w:after="60"/>
              <w:rPr>
                <w:b/>
                <w:szCs w:val="24"/>
              </w:rPr>
            </w:pPr>
            <w:r w:rsidRPr="0048438C">
              <w:rPr>
                <w:b/>
                <w:szCs w:val="24"/>
              </w:rPr>
              <w:lastRenderedPageBreak/>
              <w:t>Actual Acknowledgement date</w:t>
            </w:r>
            <w:r w:rsidR="00367C32">
              <w:rPr>
                <w:b/>
                <w:szCs w:val="24"/>
              </w:rPr>
              <w:t xml:space="preserve"> </w:t>
            </w:r>
            <w:r w:rsidR="00367C32" w:rsidRPr="009459D7">
              <w:rPr>
                <w:bCs/>
                <w:szCs w:val="24"/>
              </w:rPr>
              <w:t>(dd/mm/yy)</w:t>
            </w:r>
            <w:r w:rsidRPr="0048438C">
              <w:rPr>
                <w:b/>
                <w:szCs w:val="24"/>
              </w:rPr>
              <w:t>:</w:t>
            </w:r>
          </w:p>
        </w:tc>
        <w:tc>
          <w:tcPr>
            <w:tcW w:w="3461" w:type="dxa"/>
          </w:tcPr>
          <w:p w14:paraId="4573E052" w14:textId="77777777" w:rsidR="00850471" w:rsidRPr="0048438C" w:rsidRDefault="00850471" w:rsidP="0048438C">
            <w:pPr>
              <w:spacing w:before="60" w:after="60"/>
              <w:jc w:val="center"/>
              <w:rPr>
                <w:b/>
                <w:szCs w:val="24"/>
              </w:rPr>
            </w:pPr>
          </w:p>
        </w:tc>
      </w:tr>
      <w:tr w:rsidR="00850471" w:rsidRPr="0048438C" w14:paraId="4573E056" w14:textId="77777777" w:rsidTr="009459D7">
        <w:trPr>
          <w:trHeight w:val="204"/>
        </w:trPr>
        <w:tc>
          <w:tcPr>
            <w:tcW w:w="6436" w:type="dxa"/>
          </w:tcPr>
          <w:p w14:paraId="4573E054" w14:textId="2C1E1120" w:rsidR="00850471" w:rsidRPr="0048438C" w:rsidRDefault="00850471" w:rsidP="0048438C">
            <w:pPr>
              <w:spacing w:before="60" w:after="60"/>
              <w:rPr>
                <w:b/>
                <w:szCs w:val="24"/>
              </w:rPr>
            </w:pPr>
            <w:r w:rsidRPr="0048438C">
              <w:rPr>
                <w:b/>
                <w:szCs w:val="24"/>
              </w:rPr>
              <w:t>RP stated Resolution Plan agreement date</w:t>
            </w:r>
            <w:r w:rsidR="009459D7">
              <w:rPr>
                <w:b/>
                <w:szCs w:val="24"/>
              </w:rPr>
              <w:t xml:space="preserve"> </w:t>
            </w:r>
            <w:r w:rsidR="009459D7" w:rsidRPr="009459D7">
              <w:rPr>
                <w:bCs/>
                <w:szCs w:val="24"/>
              </w:rPr>
              <w:t>(dd/mm/yy)</w:t>
            </w:r>
            <w:r w:rsidRPr="0048438C">
              <w:rPr>
                <w:b/>
                <w:szCs w:val="24"/>
              </w:rPr>
              <w:t>:</w:t>
            </w:r>
          </w:p>
        </w:tc>
        <w:tc>
          <w:tcPr>
            <w:tcW w:w="3461" w:type="dxa"/>
          </w:tcPr>
          <w:p w14:paraId="4573E055" w14:textId="77777777" w:rsidR="00850471" w:rsidRPr="0048438C" w:rsidRDefault="00850471" w:rsidP="0048438C">
            <w:pPr>
              <w:spacing w:before="60" w:after="60"/>
              <w:jc w:val="center"/>
              <w:rPr>
                <w:b/>
                <w:szCs w:val="24"/>
              </w:rPr>
            </w:pPr>
          </w:p>
        </w:tc>
      </w:tr>
    </w:tbl>
    <w:p w14:paraId="4573E057" w14:textId="0F4061B4" w:rsidR="00ED1ADA" w:rsidRPr="0048438C" w:rsidRDefault="00ED1ADA" w:rsidP="0048438C">
      <w:pPr>
        <w:spacing w:before="60" w:after="60"/>
        <w:rPr>
          <w:szCs w:val="24"/>
        </w:rPr>
      </w:pPr>
    </w:p>
    <w:sectPr w:rsidR="00ED1ADA" w:rsidRPr="004843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02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A0F1B" w14:textId="77777777" w:rsidR="00010716" w:rsidRDefault="00010716">
      <w:r>
        <w:separator/>
      </w:r>
    </w:p>
  </w:endnote>
  <w:endnote w:type="continuationSeparator" w:id="0">
    <w:p w14:paraId="24CCBFB5" w14:textId="77777777" w:rsidR="00010716" w:rsidRDefault="0001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3E05D" w14:textId="1623E4AF" w:rsidR="00C15B6D" w:rsidRDefault="00A36BE2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A08D7C0" wp14:editId="32E30D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44285798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37F62A" w14:textId="6DEB7801" w:rsidR="00A36BE2" w:rsidRPr="00A36BE2" w:rsidRDefault="00A36BE2" w:rsidP="00A36B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6B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8D7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27.2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textbox style="mso-fit-shape-to-text:t" inset="0,0,0,15pt">
                <w:txbxContent>
                  <w:p w14:paraId="3037F62A" w14:textId="6DEB7801" w:rsidR="00A36BE2" w:rsidRPr="00A36BE2" w:rsidRDefault="00A36BE2" w:rsidP="00A36B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6B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5B6D">
      <w:rPr>
        <w:rStyle w:val="PageNumber"/>
      </w:rPr>
      <w:fldChar w:fldCharType="begin"/>
    </w:r>
    <w:r w:rsidR="00C15B6D">
      <w:rPr>
        <w:rStyle w:val="PageNumber"/>
      </w:rPr>
      <w:instrText xml:space="preserve">PAGE  </w:instrText>
    </w:r>
    <w:r w:rsidR="00C15B6D">
      <w:rPr>
        <w:rStyle w:val="PageNumber"/>
      </w:rPr>
      <w:fldChar w:fldCharType="end"/>
    </w:r>
  </w:p>
  <w:p w14:paraId="4573E05E" w14:textId="77777777" w:rsidR="00C15B6D" w:rsidRDefault="00C15B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3E05F" w14:textId="7797A22C" w:rsidR="00C15B6D" w:rsidRDefault="00A36BE2">
    <w:pPr>
      <w:pStyle w:val="Footer"/>
      <w:tabs>
        <w:tab w:val="clear" w:pos="8306"/>
        <w:tab w:val="right" w:pos="9840"/>
      </w:tabs>
      <w:spacing w:before="120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F3563BB" wp14:editId="23A7C0C1">
              <wp:simplePos x="723900" y="10001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36108266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25330" w14:textId="713E1A12" w:rsidR="00A36BE2" w:rsidRPr="00A36BE2" w:rsidRDefault="00A36BE2" w:rsidP="00A36B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6B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563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6.2pt;height:27.2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jxDQIAABwEAAAOAAAAZHJzL2Uyb0RvYy54bWysU8tu2zAQvBfoPxC815JTu00Ey4GbwEWB&#10;IAngFDnTFGUJkLgESVtyv75DyrLbtKeiF2q0u9zH7HBx27cNOyjratI5n05SzpSWVNR6l/PvL+sP&#10;15w5L3QhGtIq50fl+O3y/btFZzJ1RRU1hbIMSbTLOpPzynuTJYmTlWqFm5BRGs6SbCs8fu0uKazo&#10;kL1tkqs0/ZR0ZAtjSSrnYL0fnHwZ85elkv6pLJ3yrMk5evPxtPHchjNZLkS2s8JUtTy1If6hi1bU&#10;GkXPqe6FF2xv6z9StbW05Kj0E0ltQmVZSxVnwDTT9M00m0oYFWcBOc6caXL/L618PGzMs2W+/0I9&#10;FhgI6YzLHIxhnr60bfiiUwY/KDyeaVO9ZxLG2fzm8wweCdfH2XwGjCzJ5bKxzn9V1LIAcm6xlUiW&#10;ODw4P4SOIaGWpnXdNHEzjf7NgJzBklw6DMj3257VBYqP3W+pOGIoS8O+nZHrGqUfhPPPwmLB6Bai&#10;9U84yoa6nNMJcVaR/fE3e4gH7/By1kEwOddQNGfNN419BG2NwI5gG8H0Jp2n8Ot9e0eQ4RQvwsgI&#10;YbW+GWFpqX2FnFehEFxCS5TL+XaEd35QLp6DVKtVDIKMjPAPemNkSB3oCly+9K/CmhPhHpt6pFFN&#10;InvD+xAbbjqz2nuwH5cSqB2IPDEOCca1np5L0Piv/zHq8qiXPwEAAP//AwBQSwMEFAAGAAgAAAAh&#10;ACNpjKPaAAAAAwEAAA8AAABkcnMvZG93bnJldi54bWxMj8FuwjAMhu+T9g6RJ+02Uko3UNcUISRO&#10;TJOAXXYLiWk7GqdqUihvP2+X7WLJ+n99/lwsR9eKC/ah8aRgOklAIBlvG6oUfBw2TwsQIWqyuvWE&#10;Cm4YYFne3xU6t/5KO7zsYyUYQiHXCuoYu1zKYGp0Okx8h8TZyfdOR177StpeXxnuWpkmyYt0uiG+&#10;UOsO1zWa835wCp538W14p8Psc0xvX9tubWanrVHq8WFcvYKIOMa/MvzoszqU7HT0A9kgWgX8SPyd&#10;nM3TDMSRuVkGsizkf/fyGwAA//8DAFBLAQItABQABgAIAAAAIQC2gziS/gAAAOEBAAATAAAAAAAA&#10;AAAAAAAAAAAAAABbQ29udGVudF9UeXBlc10ueG1sUEsBAi0AFAAGAAgAAAAhADj9If/WAAAAlAEA&#10;AAsAAAAAAAAAAAAAAAAALwEAAF9yZWxzLy5yZWxzUEsBAi0AFAAGAAgAAAAhAIKTmPENAgAAHAQA&#10;AA4AAAAAAAAAAAAAAAAALgIAAGRycy9lMm9Eb2MueG1sUEsBAi0AFAAGAAgAAAAhACNpjKPaAAAA&#10;AwEAAA8AAAAAAAAAAAAAAAAAZwQAAGRycy9kb3ducmV2LnhtbFBLBQYAAAAABAAEAPMAAABuBQAA&#10;AAA=&#10;" filled="f" stroked="f">
              <v:textbox style="mso-fit-shape-to-text:t" inset="0,0,0,15pt">
                <w:txbxContent>
                  <w:p w14:paraId="21025330" w14:textId="713E1A12" w:rsidR="00A36BE2" w:rsidRPr="00A36BE2" w:rsidRDefault="00A36BE2" w:rsidP="00A36B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6B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5B6D">
      <w:rPr>
        <w:lang w:val="en-US"/>
      </w:rPr>
      <w:tab/>
    </w:r>
    <w:r w:rsidR="006300E5">
      <w:rPr>
        <w:lang w:val="en-US"/>
      </w:rPr>
      <w:t xml:space="preserve">                           </w:t>
    </w:r>
    <w:r w:rsidR="005A547C" w:rsidRPr="009D128E">
      <w:rPr>
        <w:sz w:val="22"/>
        <w:szCs w:val="22"/>
        <w:lang w:val="en-US"/>
      </w:rPr>
      <w:t xml:space="preserve">Page </w:t>
    </w:r>
    <w:r w:rsidR="005A547C" w:rsidRPr="009D128E">
      <w:rPr>
        <w:sz w:val="22"/>
        <w:szCs w:val="22"/>
        <w:lang w:val="en-US"/>
      </w:rPr>
      <w:fldChar w:fldCharType="begin"/>
    </w:r>
    <w:r w:rsidR="005A547C" w:rsidRPr="009D128E">
      <w:rPr>
        <w:sz w:val="22"/>
        <w:szCs w:val="22"/>
        <w:lang w:val="en-US"/>
      </w:rPr>
      <w:instrText xml:space="preserve"> PAGE </w:instrText>
    </w:r>
    <w:r w:rsidR="005A547C" w:rsidRPr="009D128E">
      <w:rPr>
        <w:sz w:val="22"/>
        <w:szCs w:val="22"/>
        <w:lang w:val="en-US"/>
      </w:rPr>
      <w:fldChar w:fldCharType="separate"/>
    </w:r>
    <w:r w:rsidR="005A547C">
      <w:rPr>
        <w:sz w:val="22"/>
        <w:lang w:val="en-US"/>
      </w:rPr>
      <w:t>1</w:t>
    </w:r>
    <w:r w:rsidR="005A547C" w:rsidRPr="009D128E">
      <w:rPr>
        <w:sz w:val="22"/>
        <w:szCs w:val="22"/>
        <w:lang w:val="en-US"/>
      </w:rPr>
      <w:fldChar w:fldCharType="end"/>
    </w:r>
    <w:r w:rsidR="005A547C" w:rsidRPr="009D128E">
      <w:rPr>
        <w:sz w:val="22"/>
        <w:szCs w:val="22"/>
        <w:lang w:val="en-US"/>
      </w:rPr>
      <w:t xml:space="preserve"> of </w:t>
    </w:r>
    <w:r w:rsidR="005A547C" w:rsidRPr="009D128E">
      <w:rPr>
        <w:sz w:val="22"/>
        <w:szCs w:val="22"/>
        <w:lang w:val="en-US"/>
      </w:rPr>
      <w:fldChar w:fldCharType="begin"/>
    </w:r>
    <w:r w:rsidR="005A547C" w:rsidRPr="009D128E">
      <w:rPr>
        <w:sz w:val="22"/>
        <w:szCs w:val="22"/>
        <w:lang w:val="en-US"/>
      </w:rPr>
      <w:instrText xml:space="preserve"> NUMPAGES </w:instrText>
    </w:r>
    <w:r w:rsidR="005A547C" w:rsidRPr="009D128E">
      <w:rPr>
        <w:sz w:val="22"/>
        <w:szCs w:val="22"/>
        <w:lang w:val="en-US"/>
      </w:rPr>
      <w:fldChar w:fldCharType="separate"/>
    </w:r>
    <w:r w:rsidR="005A547C">
      <w:rPr>
        <w:sz w:val="22"/>
        <w:lang w:val="en-US"/>
      </w:rPr>
      <w:t>3</w:t>
    </w:r>
    <w:r w:rsidR="005A547C" w:rsidRPr="009D128E">
      <w:rPr>
        <w:sz w:val="22"/>
        <w:szCs w:val="22"/>
        <w:lang w:val="en-US"/>
      </w:rPr>
      <w:fldChar w:fldCharType="end"/>
    </w:r>
    <w:r w:rsidR="00C15B6D">
      <w:rPr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F538F" w14:textId="6325693F" w:rsidR="00A36BE2" w:rsidRDefault="00A36B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D437F50" wp14:editId="73259C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63047994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C2DAE" w14:textId="55E14753" w:rsidR="00A36BE2" w:rsidRPr="00A36BE2" w:rsidRDefault="00A36BE2" w:rsidP="00A36B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6B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37F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27.2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d8DgIAABwEAAAOAAAAZHJzL2Uyb0RvYy54bWysU01v2zAMvQ/YfxB0X+x0ydYacYqsRYYB&#10;RVsgHXpWZDk2IIkCpcTOfv0oOU62bqdhF/mZpPjx+LS47Y1mB4W+BVvy6STnTFkJVWt3Jf/+sv5w&#10;zZkPwlZCg1UlPyrPb5fv3y06V6graEBXChklsb7oXMmbEFyRZV42ygg/AacsOWtAIwL94i6rUHSU&#10;3ejsKs8/ZR1g5RCk8p6s94OTL1P+ulYyPNW1V4HpklNvIZ2Yzm08s+VCFDsUrmnlqQ3xD10Y0Voq&#10;ek51L4Jge2z/SGVaieChDhMJJoO6bqVKM9A00/zNNJtGOJVmIXK8O9Pk/19a+XjYuGdkof8CPS0w&#10;EtI5X3gyxnn6Gk38UqeM/ETh8Uyb6gOTZJzNbz7PyCPJ9XE2nxGmLNnlskMfviowLIKSI20lkSUO&#10;Dz4MoWNIrGVh3WqdNqPtbwbKGS3ZpcOIQr/tWVuVfD52v4XqSEMhDPv2Tq5bKv0gfHgWSAumbkm0&#10;4YmOWkNXcjghzhrAH3+zx3jinbycdSSYkltSNGf6m6V9RG2NAEewTWB6k89z8tu9uQOS4ZRehJMJ&#10;khWDHmGNYF5JzqtYiFzCSipX8u0I78KgXHoOUq1WKYhk5ER4sBsnY+pIV+TypX8V6E6EB9rUI4xq&#10;EsUb3ofYeNO71T4Q+2kpkdqByBPjJMG01tNziRr/9T9FXR718ic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sEDd8DgIAABwE&#10;AAAOAAAAAAAAAAAAAAAAAC4CAABkcnMvZTJvRG9jLnhtbFBLAQItABQABgAIAAAAIQAjaYyj2gAA&#10;AAMBAAAPAAAAAAAAAAAAAAAAAGgEAABkcnMvZG93bnJldi54bWxQSwUGAAAAAAQABADzAAAAbwUA&#10;AAAA&#10;" filled="f" stroked="f">
              <v:textbox style="mso-fit-shape-to-text:t" inset="0,0,0,15pt">
                <w:txbxContent>
                  <w:p w14:paraId="4C2C2DAE" w14:textId="55E14753" w:rsidR="00A36BE2" w:rsidRPr="00A36BE2" w:rsidRDefault="00A36BE2" w:rsidP="00A36B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6B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8B350" w14:textId="77777777" w:rsidR="00010716" w:rsidRDefault="00010716">
      <w:r>
        <w:separator/>
      </w:r>
    </w:p>
  </w:footnote>
  <w:footnote w:type="continuationSeparator" w:id="0">
    <w:p w14:paraId="54B8C2E1" w14:textId="77777777" w:rsidR="00010716" w:rsidRDefault="0001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32F2C" w14:textId="6A34E456" w:rsidR="00A36BE2" w:rsidRDefault="00A36B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A289BA6" wp14:editId="47BDC1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27147767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7A59A" w14:textId="0988D2E0" w:rsidR="00A36BE2" w:rsidRPr="00A36BE2" w:rsidRDefault="00A36BE2" w:rsidP="00A36B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6B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289B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textbox style="mso-fit-shape-to-text:t" inset="0,15pt,0,0">
                <w:txbxContent>
                  <w:p w14:paraId="1BA7A59A" w14:textId="0988D2E0" w:rsidR="00A36BE2" w:rsidRPr="00A36BE2" w:rsidRDefault="00A36BE2" w:rsidP="00A36B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6B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7FDC5" w14:textId="008D28E0" w:rsidR="003B6ACD" w:rsidRDefault="00A36BE2" w:rsidP="003B6ACD"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265C56F" wp14:editId="60576C9D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58473002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1753FF" w14:textId="1AFE426B" w:rsidR="00A36BE2" w:rsidRPr="00A36BE2" w:rsidRDefault="00A36BE2" w:rsidP="00A36B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6B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5C5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+CwIAABwEAAAOAAAAZHJzL2Uyb0RvYy54bWysU8Fu2zAMvQ/YPwi6L3a6ZFuNOEXWIsOA&#10;oi2QDj0rshwbkERBYmJnXz9KjpOu22nYRaZI+pF8fFrc9Eazg/KhBVvy6STnTFkJVWt3Jf/xvP7w&#10;hbOAwlZCg1UlP6rAb5bv3y06V6graEBXyjMCsaHoXMkbRFdkWZCNMiJMwClLwRq8EUhXv8sqLzpC&#10;Nzq7yvNPWQe+ch6kCoG8d0OQLxN+XSuJj3UdFDJdcuoN0+nTuY1ntlyIYueFa1p5akP8QxdGtJaK&#10;nqHuBAq29+0fUKaVHgLUOJFgMqjrVqo0A00zzd9Ms2mEU2kWIie4M03h/8HKh8PGPXmG/VfoaYGR&#10;kM6FIpAzztPX3sQvdcooThQez7SpHpkk52x+/XlGEUmhj7P5jGxCyS4/Ox/wmwLDolFyT1tJZInD&#10;fcAhdUyJtSysW63TZrT9zUGY0ZNdOowW9tuetdWr7rdQHWkoD8O+g5Prlkrfi4BPwtOCqVsSLT7S&#10;UWvoSg4ni7MG/M+/+WM+8U5RzjoSTMktKZoz/d3SPqK2kjG9zuc53fzo3o6G3ZtbIBlO6UU4mcyY&#10;h3o0aw/mheS8ioUoJKykciXH0bzFQbn0HKRarVISycgJvLcbJyN0pCty+dy/CO9OhCNt6gFGNYni&#10;De9DbvwzuNUeif20lEjtQOSJcZJgWuvpuUSNv76nrMujXv4CAAD//wMAUEsDBBQABgAIAAAAIQDA&#10;mlAc2gAAAAMBAAAPAAAAZHJzL2Rvd25yZXYueG1sTI/NTsMwEITvSLyDtUi9USdVAijEqSqkHnor&#10;5efsxksSiHejeNumfXoMF7isNJrRzLflcvK9OuIYOiYD6TwBhVSz66gx8Pqyvn0AFcSSsz0TGjhj&#10;gGV1fVXawvGJnvG4k0bFEgqFNdCKDIXWoW7R2zDnASl6Hzx6K1GOjXajPcVy3+tFktxpbzuKC60d&#10;8KnF+mt38Aa6fMWS4ttm/fnuU04v201+2Rozu5lWj6AEJ/kLww9+RIcqMu35QC6o3kB8RH5v9O4X&#10;Gai9gTzLQFel/s9efQMAAP//AwBQSwECLQAUAAYACAAAACEAtoM4kv4AAADhAQAAEwAAAAAAAAAA&#10;AAAAAAAAAAAAW0NvbnRlbnRfVHlwZXNdLnhtbFBLAQItABQABgAIAAAAIQA4/SH/1gAAAJQBAAAL&#10;AAAAAAAAAAAAAAAAAC8BAABfcmVscy8ucmVsc1BLAQItABQABgAIAAAAIQDGKqw+CwIAABwEAAAO&#10;AAAAAAAAAAAAAAAAAC4CAABkcnMvZTJvRG9jLnhtbFBLAQItABQABgAIAAAAIQDAmlAc2gAAAAMB&#10;AAAPAAAAAAAAAAAAAAAAAGUEAABkcnMvZG93bnJldi54bWxQSwUGAAAAAAQABADzAAAAbAUAAAAA&#10;" filled="f" stroked="f">
              <v:textbox style="mso-fit-shape-to-text:t" inset="0,15pt,0,0">
                <w:txbxContent>
                  <w:p w14:paraId="751753FF" w14:textId="1AFE426B" w:rsidR="00A36BE2" w:rsidRPr="00A36BE2" w:rsidRDefault="00A36BE2" w:rsidP="00A36B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6B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9923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96"/>
      <w:gridCol w:w="2241"/>
      <w:gridCol w:w="3686"/>
    </w:tblGrid>
    <w:tr w:rsidR="003B6ACD" w:rsidRPr="00A851E9" w14:paraId="2513218A" w14:textId="77777777" w:rsidTr="00E71CD3">
      <w:tc>
        <w:tcPr>
          <w:tcW w:w="3996" w:type="dxa"/>
        </w:tcPr>
        <w:p w14:paraId="6BEF3B11" w14:textId="77777777" w:rsidR="003B6ACD" w:rsidRPr="00A851E9" w:rsidRDefault="003B6ACD" w:rsidP="003B6ACD">
          <w:pPr>
            <w:tabs>
              <w:tab w:val="center" w:pos="4513"/>
              <w:tab w:val="right" w:pos="9026"/>
            </w:tabs>
            <w:spacing w:before="240"/>
            <w:rPr>
              <w:bCs/>
              <w:iCs/>
              <w:kern w:val="36"/>
              <w:sz w:val="18"/>
              <w:szCs w:val="18"/>
            </w:rPr>
          </w:pPr>
          <w:r w:rsidRPr="00A851E9">
            <w:rPr>
              <w:bCs/>
              <w:iCs/>
              <w:noProof/>
              <w:kern w:val="36"/>
              <w:sz w:val="18"/>
              <w:szCs w:val="18"/>
            </w:rPr>
            <w:drawing>
              <wp:inline distT="0" distB="0" distL="0" distR="0" wp14:anchorId="69FA83EC" wp14:editId="4AA3D7F0">
                <wp:extent cx="2395537" cy="509240"/>
                <wp:effectExtent l="0" t="0" r="508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5029" cy="5155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1" w:type="dxa"/>
        </w:tcPr>
        <w:p w14:paraId="53B9E679" w14:textId="77777777" w:rsidR="003B6ACD" w:rsidRPr="00A851E9" w:rsidRDefault="003B6ACD" w:rsidP="003B6ACD">
          <w:pPr>
            <w:tabs>
              <w:tab w:val="center" w:pos="4513"/>
              <w:tab w:val="right" w:pos="9026"/>
            </w:tabs>
            <w:jc w:val="center"/>
            <w:rPr>
              <w:bCs/>
              <w:iCs/>
              <w:kern w:val="36"/>
              <w:sz w:val="18"/>
              <w:szCs w:val="18"/>
            </w:rPr>
          </w:pPr>
          <w:r w:rsidRPr="00A851E9">
            <w:rPr>
              <w:rFonts w:cs="Times New Roman"/>
              <w:noProof/>
              <w:szCs w:val="24"/>
            </w:rPr>
            <w:drawing>
              <wp:inline distT="0" distB="0" distL="0" distR="0" wp14:anchorId="0A9FFEE9" wp14:editId="3702F9A0">
                <wp:extent cx="1116703" cy="790575"/>
                <wp:effectExtent l="0" t="0" r="762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9361" cy="834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1DCB8DFF" w14:textId="77777777" w:rsidR="003B6ACD" w:rsidRPr="00A851E9" w:rsidRDefault="003B6ACD" w:rsidP="003B6ACD">
          <w:pPr>
            <w:tabs>
              <w:tab w:val="center" w:pos="4513"/>
              <w:tab w:val="right" w:pos="9026"/>
            </w:tabs>
            <w:jc w:val="right"/>
            <w:rPr>
              <w:bCs/>
              <w:iCs/>
              <w:kern w:val="36"/>
              <w:sz w:val="18"/>
              <w:szCs w:val="18"/>
            </w:rPr>
          </w:pPr>
          <w:r w:rsidRPr="00A851E9">
            <w:rPr>
              <w:rFonts w:cs="Times New Roman"/>
              <w:noProof/>
              <w:szCs w:val="24"/>
            </w:rPr>
            <w:drawing>
              <wp:inline distT="0" distB="0" distL="0" distR="0" wp14:anchorId="082F45D2" wp14:editId="189642D6">
                <wp:extent cx="1938003" cy="7905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021" cy="810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85A8CA" w14:textId="77777777" w:rsidR="00C14744" w:rsidRPr="00C14744" w:rsidRDefault="00C14744" w:rsidP="0092073F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C9B11" w14:textId="2E0DB5F8" w:rsidR="00A36BE2" w:rsidRDefault="00A36B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0AA610" wp14:editId="4141AF7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83472169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9B8BA" w14:textId="5FE0A2CB" w:rsidR="00A36BE2" w:rsidRPr="00A36BE2" w:rsidRDefault="00A36BE2" w:rsidP="00A36B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6B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AA6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T1DQ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ooaGbvfQnWkoTwM+w5Orhsq/SACPgtPC6ZuSbT4&#10;RIc20JUcThZnNfgff/PHfOKdopx1JJiSW1I0Z+abpX1EbSVjepPPc7r50b0dDbtv74BkOKUX4WQy&#10;Yx6a0dQe2leS8yoWopCwksqVHEfzDgfl0nOQarVKSSQjJ/DBbpyM0JGuyOVL/yq8OxGOtKlHGNUk&#10;ije8D7nxz+BWeyT201IitQORJ8ZJgmmtp+cSNf7rPWVdHvXyJwA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B9o1PUNAgAAHAQA&#10;AA4AAAAAAAAAAAAAAAAALgIAAGRycy9lMm9Eb2MueG1sUEsBAi0AFAAGAAgAAAAhAMCaUBzaAAAA&#10;AwEAAA8AAAAAAAAAAAAAAAAAZwQAAGRycy9kb3ducmV2LnhtbFBLBQYAAAAABAAEAPMAAABuBQAA&#10;AAA=&#10;" filled="f" stroked="f">
              <v:textbox style="mso-fit-shape-to-text:t" inset="0,15pt,0,0">
                <w:txbxContent>
                  <w:p w14:paraId="5169B8BA" w14:textId="5FE0A2CB" w:rsidR="00A36BE2" w:rsidRPr="00A36BE2" w:rsidRDefault="00A36BE2" w:rsidP="00A36B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6B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A743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3A0D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2520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8A48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7489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584743"/>
    <w:multiLevelType w:val="hybridMultilevel"/>
    <w:tmpl w:val="23783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DC1D71"/>
    <w:multiLevelType w:val="multilevel"/>
    <w:tmpl w:val="394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850EC5"/>
    <w:multiLevelType w:val="hybridMultilevel"/>
    <w:tmpl w:val="5A5CD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96F95"/>
    <w:multiLevelType w:val="hybridMultilevel"/>
    <w:tmpl w:val="5A5CD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C153C"/>
    <w:multiLevelType w:val="hybridMultilevel"/>
    <w:tmpl w:val="BBA8AAB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D0641A"/>
    <w:multiLevelType w:val="hybridMultilevel"/>
    <w:tmpl w:val="121E52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13AED"/>
    <w:multiLevelType w:val="hybridMultilevel"/>
    <w:tmpl w:val="AC40A2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D0B8D"/>
    <w:multiLevelType w:val="hybridMultilevel"/>
    <w:tmpl w:val="26804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D72C1"/>
    <w:multiLevelType w:val="hybridMultilevel"/>
    <w:tmpl w:val="5C4062C6"/>
    <w:lvl w:ilvl="0" w:tplc="9C889C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C665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2E404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C9E27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3A88F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810DF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BCA86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AE622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50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29777686"/>
    <w:multiLevelType w:val="hybridMultilevel"/>
    <w:tmpl w:val="189A3E6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AE7A4C"/>
    <w:multiLevelType w:val="hybridMultilevel"/>
    <w:tmpl w:val="F88CC07C"/>
    <w:lvl w:ilvl="0" w:tplc="1D16518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7156349"/>
    <w:multiLevelType w:val="multilevel"/>
    <w:tmpl w:val="394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9067C"/>
    <w:multiLevelType w:val="hybridMultilevel"/>
    <w:tmpl w:val="DA6E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70378"/>
    <w:multiLevelType w:val="hybridMultilevel"/>
    <w:tmpl w:val="A238B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07BA1"/>
    <w:multiLevelType w:val="hybridMultilevel"/>
    <w:tmpl w:val="3BEE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30A02"/>
    <w:multiLevelType w:val="hybridMultilevel"/>
    <w:tmpl w:val="CA582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3717B"/>
    <w:multiLevelType w:val="hybridMultilevel"/>
    <w:tmpl w:val="7804C7E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4C204F"/>
    <w:multiLevelType w:val="hybridMultilevel"/>
    <w:tmpl w:val="5978C64C"/>
    <w:lvl w:ilvl="0" w:tplc="CB52C6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70AB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ABCC6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69891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56E3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BBC1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178E2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86A1E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F0E0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61C221F3"/>
    <w:multiLevelType w:val="hybridMultilevel"/>
    <w:tmpl w:val="2A6E2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41A4A"/>
    <w:multiLevelType w:val="hybridMultilevel"/>
    <w:tmpl w:val="EB222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3634A"/>
    <w:multiLevelType w:val="hybridMultilevel"/>
    <w:tmpl w:val="F80C74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0A7032"/>
    <w:multiLevelType w:val="hybridMultilevel"/>
    <w:tmpl w:val="EEF2470A"/>
    <w:lvl w:ilvl="0" w:tplc="97B478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B7294"/>
    <w:multiLevelType w:val="hybridMultilevel"/>
    <w:tmpl w:val="0680C2AC"/>
    <w:lvl w:ilvl="0" w:tplc="9D7AF4AC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5A3132"/>
    <w:multiLevelType w:val="hybridMultilevel"/>
    <w:tmpl w:val="EC3083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A074A"/>
    <w:multiLevelType w:val="hybridMultilevel"/>
    <w:tmpl w:val="8B48C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1E7214"/>
    <w:multiLevelType w:val="hybridMultilevel"/>
    <w:tmpl w:val="9666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570E9"/>
    <w:multiLevelType w:val="multilevel"/>
    <w:tmpl w:val="A5D8F0C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7B7B7133"/>
    <w:multiLevelType w:val="hybridMultilevel"/>
    <w:tmpl w:val="364A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580136">
    <w:abstractNumId w:val="31"/>
  </w:num>
  <w:num w:numId="2" w16cid:durableId="1038162188">
    <w:abstractNumId w:val="31"/>
  </w:num>
  <w:num w:numId="3" w16cid:durableId="1457485129">
    <w:abstractNumId w:val="31"/>
  </w:num>
  <w:num w:numId="4" w16cid:durableId="605386637">
    <w:abstractNumId w:val="29"/>
  </w:num>
  <w:num w:numId="5" w16cid:durableId="642780601">
    <w:abstractNumId w:val="18"/>
  </w:num>
  <w:num w:numId="6" w16cid:durableId="1993218993">
    <w:abstractNumId w:val="31"/>
  </w:num>
  <w:num w:numId="7" w16cid:durableId="1210649461">
    <w:abstractNumId w:val="31"/>
  </w:num>
  <w:num w:numId="8" w16cid:durableId="777143800">
    <w:abstractNumId w:val="31"/>
  </w:num>
  <w:num w:numId="9" w16cid:durableId="416095553">
    <w:abstractNumId w:val="31"/>
  </w:num>
  <w:num w:numId="10" w16cid:durableId="157312330">
    <w:abstractNumId w:val="31"/>
  </w:num>
  <w:num w:numId="11" w16cid:durableId="272445445">
    <w:abstractNumId w:val="31"/>
  </w:num>
  <w:num w:numId="12" w16cid:durableId="1954940256">
    <w:abstractNumId w:val="4"/>
  </w:num>
  <w:num w:numId="13" w16cid:durableId="228197380">
    <w:abstractNumId w:val="3"/>
  </w:num>
  <w:num w:numId="14" w16cid:durableId="717900545">
    <w:abstractNumId w:val="2"/>
  </w:num>
  <w:num w:numId="15" w16cid:durableId="936597274">
    <w:abstractNumId w:val="1"/>
  </w:num>
  <w:num w:numId="16" w16cid:durableId="1357922998">
    <w:abstractNumId w:val="0"/>
  </w:num>
  <w:num w:numId="17" w16cid:durableId="833574136">
    <w:abstractNumId w:val="11"/>
  </w:num>
  <w:num w:numId="18" w16cid:durableId="1027683759">
    <w:abstractNumId w:val="10"/>
  </w:num>
  <w:num w:numId="19" w16cid:durableId="1637100462">
    <w:abstractNumId w:val="27"/>
  </w:num>
  <w:num w:numId="20" w16cid:durableId="1174806318">
    <w:abstractNumId w:val="15"/>
  </w:num>
  <w:num w:numId="21" w16cid:durableId="945313271">
    <w:abstractNumId w:val="7"/>
  </w:num>
  <w:num w:numId="22" w16cid:durableId="1200700022">
    <w:abstractNumId w:val="8"/>
  </w:num>
  <w:num w:numId="23" w16cid:durableId="645672170">
    <w:abstractNumId w:val="6"/>
  </w:num>
  <w:num w:numId="24" w16cid:durableId="1840466613">
    <w:abstractNumId w:val="16"/>
  </w:num>
  <w:num w:numId="25" w16cid:durableId="847450679">
    <w:abstractNumId w:val="30"/>
  </w:num>
  <w:num w:numId="26" w16cid:durableId="929119385">
    <w:abstractNumId w:val="32"/>
  </w:num>
  <w:num w:numId="27" w16cid:durableId="1106846690">
    <w:abstractNumId w:val="19"/>
  </w:num>
  <w:num w:numId="28" w16cid:durableId="251739339">
    <w:abstractNumId w:val="20"/>
  </w:num>
  <w:num w:numId="29" w16cid:durableId="1144466070">
    <w:abstractNumId w:val="24"/>
  </w:num>
  <w:num w:numId="30" w16cid:durableId="462163044">
    <w:abstractNumId w:val="5"/>
  </w:num>
  <w:num w:numId="31" w16cid:durableId="855848290">
    <w:abstractNumId w:val="17"/>
  </w:num>
  <w:num w:numId="32" w16cid:durableId="1963417517">
    <w:abstractNumId w:val="26"/>
  </w:num>
  <w:num w:numId="33" w16cid:durableId="1300765025">
    <w:abstractNumId w:val="13"/>
  </w:num>
  <w:num w:numId="34" w16cid:durableId="1802573317">
    <w:abstractNumId w:val="22"/>
  </w:num>
  <w:num w:numId="35" w16cid:durableId="667833001">
    <w:abstractNumId w:val="28"/>
  </w:num>
  <w:num w:numId="36" w16cid:durableId="1076395073">
    <w:abstractNumId w:val="12"/>
  </w:num>
  <w:num w:numId="37" w16cid:durableId="1206983067">
    <w:abstractNumId w:val="23"/>
  </w:num>
  <w:num w:numId="38" w16cid:durableId="1761950730">
    <w:abstractNumId w:val="25"/>
  </w:num>
  <w:num w:numId="39" w16cid:durableId="804927768">
    <w:abstractNumId w:val="14"/>
  </w:num>
  <w:num w:numId="40" w16cid:durableId="608050798">
    <w:abstractNumId w:val="9"/>
  </w:num>
  <w:num w:numId="41" w16cid:durableId="18085475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US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65"/>
    <w:rsid w:val="00000206"/>
    <w:rsid w:val="00004557"/>
    <w:rsid w:val="000065D0"/>
    <w:rsid w:val="0000781D"/>
    <w:rsid w:val="00010716"/>
    <w:rsid w:val="0001091A"/>
    <w:rsid w:val="00012E04"/>
    <w:rsid w:val="000157EA"/>
    <w:rsid w:val="0002016C"/>
    <w:rsid w:val="00020C50"/>
    <w:rsid w:val="00025DC1"/>
    <w:rsid w:val="00027CC9"/>
    <w:rsid w:val="00030945"/>
    <w:rsid w:val="00031EEE"/>
    <w:rsid w:val="00032D21"/>
    <w:rsid w:val="000341B7"/>
    <w:rsid w:val="00036F4F"/>
    <w:rsid w:val="00037B0E"/>
    <w:rsid w:val="00042F34"/>
    <w:rsid w:val="00045FF5"/>
    <w:rsid w:val="0004626D"/>
    <w:rsid w:val="00047346"/>
    <w:rsid w:val="00047B03"/>
    <w:rsid w:val="00050650"/>
    <w:rsid w:val="00055035"/>
    <w:rsid w:val="000556DF"/>
    <w:rsid w:val="00056876"/>
    <w:rsid w:val="0005694E"/>
    <w:rsid w:val="00063330"/>
    <w:rsid w:val="000651A2"/>
    <w:rsid w:val="00072213"/>
    <w:rsid w:val="00073A63"/>
    <w:rsid w:val="000758E9"/>
    <w:rsid w:val="00075940"/>
    <w:rsid w:val="00077E48"/>
    <w:rsid w:val="00080A95"/>
    <w:rsid w:val="000826C8"/>
    <w:rsid w:val="00083CA5"/>
    <w:rsid w:val="00085FE3"/>
    <w:rsid w:val="000875F2"/>
    <w:rsid w:val="00087BEE"/>
    <w:rsid w:val="000902BA"/>
    <w:rsid w:val="00091575"/>
    <w:rsid w:val="000923EB"/>
    <w:rsid w:val="00092695"/>
    <w:rsid w:val="00097772"/>
    <w:rsid w:val="000977CC"/>
    <w:rsid w:val="000B1455"/>
    <w:rsid w:val="000B1ED1"/>
    <w:rsid w:val="000B206D"/>
    <w:rsid w:val="000B31FA"/>
    <w:rsid w:val="000B346E"/>
    <w:rsid w:val="000C0698"/>
    <w:rsid w:val="000C2203"/>
    <w:rsid w:val="000C4D97"/>
    <w:rsid w:val="000C667C"/>
    <w:rsid w:val="000D399F"/>
    <w:rsid w:val="000D6BF2"/>
    <w:rsid w:val="000D7095"/>
    <w:rsid w:val="000D7EE1"/>
    <w:rsid w:val="000E0A42"/>
    <w:rsid w:val="000E3723"/>
    <w:rsid w:val="000E43BD"/>
    <w:rsid w:val="000E4B7C"/>
    <w:rsid w:val="000E4DB8"/>
    <w:rsid w:val="000E568B"/>
    <w:rsid w:val="000F032B"/>
    <w:rsid w:val="000F1323"/>
    <w:rsid w:val="000F32B1"/>
    <w:rsid w:val="000F4D97"/>
    <w:rsid w:val="000F5B25"/>
    <w:rsid w:val="00100982"/>
    <w:rsid w:val="00101C1D"/>
    <w:rsid w:val="00101F2E"/>
    <w:rsid w:val="0010323C"/>
    <w:rsid w:val="00105739"/>
    <w:rsid w:val="00105A20"/>
    <w:rsid w:val="00106D95"/>
    <w:rsid w:val="001105BE"/>
    <w:rsid w:val="0011173B"/>
    <w:rsid w:val="00112F11"/>
    <w:rsid w:val="001134D7"/>
    <w:rsid w:val="00115505"/>
    <w:rsid w:val="00115F08"/>
    <w:rsid w:val="00116A9E"/>
    <w:rsid w:val="001178D5"/>
    <w:rsid w:val="00117C27"/>
    <w:rsid w:val="00121E32"/>
    <w:rsid w:val="001226AA"/>
    <w:rsid w:val="00124D89"/>
    <w:rsid w:val="00125578"/>
    <w:rsid w:val="00130489"/>
    <w:rsid w:val="00130D54"/>
    <w:rsid w:val="00131576"/>
    <w:rsid w:val="00132E63"/>
    <w:rsid w:val="001334CB"/>
    <w:rsid w:val="00134F8F"/>
    <w:rsid w:val="0013555A"/>
    <w:rsid w:val="0013590B"/>
    <w:rsid w:val="00135B5F"/>
    <w:rsid w:val="00136D8F"/>
    <w:rsid w:val="00141E00"/>
    <w:rsid w:val="001438BC"/>
    <w:rsid w:val="0014400E"/>
    <w:rsid w:val="001444C7"/>
    <w:rsid w:val="00145736"/>
    <w:rsid w:val="001504D8"/>
    <w:rsid w:val="00152895"/>
    <w:rsid w:val="00154A48"/>
    <w:rsid w:val="0015607B"/>
    <w:rsid w:val="00157B1F"/>
    <w:rsid w:val="001601C8"/>
    <w:rsid w:val="00163FA5"/>
    <w:rsid w:val="00166BF8"/>
    <w:rsid w:val="00170A05"/>
    <w:rsid w:val="001710F5"/>
    <w:rsid w:val="001725B1"/>
    <w:rsid w:val="00173DFF"/>
    <w:rsid w:val="001746B5"/>
    <w:rsid w:val="0018241F"/>
    <w:rsid w:val="00182A42"/>
    <w:rsid w:val="00185B6A"/>
    <w:rsid w:val="00185D10"/>
    <w:rsid w:val="00186565"/>
    <w:rsid w:val="00186ADF"/>
    <w:rsid w:val="00187CA7"/>
    <w:rsid w:val="00187E36"/>
    <w:rsid w:val="001932CE"/>
    <w:rsid w:val="001972C5"/>
    <w:rsid w:val="001A2FCF"/>
    <w:rsid w:val="001A508B"/>
    <w:rsid w:val="001B2C2D"/>
    <w:rsid w:val="001B2CBB"/>
    <w:rsid w:val="001B5B97"/>
    <w:rsid w:val="001C145D"/>
    <w:rsid w:val="001C677D"/>
    <w:rsid w:val="001C71EF"/>
    <w:rsid w:val="001D466A"/>
    <w:rsid w:val="001D59B5"/>
    <w:rsid w:val="001D66AB"/>
    <w:rsid w:val="001D7B39"/>
    <w:rsid w:val="001E01FE"/>
    <w:rsid w:val="001E058A"/>
    <w:rsid w:val="001E2347"/>
    <w:rsid w:val="001E29EF"/>
    <w:rsid w:val="001E4B17"/>
    <w:rsid w:val="001F0336"/>
    <w:rsid w:val="001F5D52"/>
    <w:rsid w:val="001F6644"/>
    <w:rsid w:val="001F685B"/>
    <w:rsid w:val="0020150E"/>
    <w:rsid w:val="00211C50"/>
    <w:rsid w:val="00212157"/>
    <w:rsid w:val="00212E1B"/>
    <w:rsid w:val="00213A1E"/>
    <w:rsid w:val="00220466"/>
    <w:rsid w:val="00221347"/>
    <w:rsid w:val="0022165D"/>
    <w:rsid w:val="00221759"/>
    <w:rsid w:val="00221F13"/>
    <w:rsid w:val="0022288A"/>
    <w:rsid w:val="00223CAD"/>
    <w:rsid w:val="00234170"/>
    <w:rsid w:val="00234F64"/>
    <w:rsid w:val="0023524B"/>
    <w:rsid w:val="00236A8C"/>
    <w:rsid w:val="00236F47"/>
    <w:rsid w:val="0023796D"/>
    <w:rsid w:val="00240AB5"/>
    <w:rsid w:val="00241942"/>
    <w:rsid w:val="00245146"/>
    <w:rsid w:val="0024517C"/>
    <w:rsid w:val="002452C9"/>
    <w:rsid w:val="00246416"/>
    <w:rsid w:val="0024783B"/>
    <w:rsid w:val="00250C29"/>
    <w:rsid w:val="002518F5"/>
    <w:rsid w:val="00252750"/>
    <w:rsid w:val="002537E6"/>
    <w:rsid w:val="00256C89"/>
    <w:rsid w:val="00256F8E"/>
    <w:rsid w:val="002733BB"/>
    <w:rsid w:val="00273E47"/>
    <w:rsid w:val="0027445E"/>
    <w:rsid w:val="00276E8E"/>
    <w:rsid w:val="00282210"/>
    <w:rsid w:val="0028336D"/>
    <w:rsid w:val="00283468"/>
    <w:rsid w:val="00283650"/>
    <w:rsid w:val="002860FC"/>
    <w:rsid w:val="00286763"/>
    <w:rsid w:val="00290DD7"/>
    <w:rsid w:val="002913FB"/>
    <w:rsid w:val="002925B4"/>
    <w:rsid w:val="00293D69"/>
    <w:rsid w:val="00295ADE"/>
    <w:rsid w:val="002A438F"/>
    <w:rsid w:val="002A5FA1"/>
    <w:rsid w:val="002A633F"/>
    <w:rsid w:val="002A6461"/>
    <w:rsid w:val="002A7354"/>
    <w:rsid w:val="002B3DDE"/>
    <w:rsid w:val="002B73D4"/>
    <w:rsid w:val="002C0193"/>
    <w:rsid w:val="002C0396"/>
    <w:rsid w:val="002C2EC3"/>
    <w:rsid w:val="002C30B1"/>
    <w:rsid w:val="002C48D4"/>
    <w:rsid w:val="002C493F"/>
    <w:rsid w:val="002C6647"/>
    <w:rsid w:val="002D0421"/>
    <w:rsid w:val="002D04CC"/>
    <w:rsid w:val="002D0D1C"/>
    <w:rsid w:val="002E0AA1"/>
    <w:rsid w:val="002E0BC8"/>
    <w:rsid w:val="002E13E2"/>
    <w:rsid w:val="002E6D6C"/>
    <w:rsid w:val="002E6EE7"/>
    <w:rsid w:val="002F056D"/>
    <w:rsid w:val="002F6D20"/>
    <w:rsid w:val="003009BB"/>
    <w:rsid w:val="00305A4D"/>
    <w:rsid w:val="003134C1"/>
    <w:rsid w:val="00323ECD"/>
    <w:rsid w:val="0033160E"/>
    <w:rsid w:val="00332771"/>
    <w:rsid w:val="003333FE"/>
    <w:rsid w:val="00336648"/>
    <w:rsid w:val="00347213"/>
    <w:rsid w:val="00347B55"/>
    <w:rsid w:val="003513D2"/>
    <w:rsid w:val="0035173A"/>
    <w:rsid w:val="003528F9"/>
    <w:rsid w:val="00356B8D"/>
    <w:rsid w:val="00357B46"/>
    <w:rsid w:val="0036000B"/>
    <w:rsid w:val="00361BEF"/>
    <w:rsid w:val="00361C3D"/>
    <w:rsid w:val="0036288C"/>
    <w:rsid w:val="00366AEB"/>
    <w:rsid w:val="00367C32"/>
    <w:rsid w:val="00373642"/>
    <w:rsid w:val="0038337A"/>
    <w:rsid w:val="00383763"/>
    <w:rsid w:val="00383875"/>
    <w:rsid w:val="0038457C"/>
    <w:rsid w:val="003900FA"/>
    <w:rsid w:val="0039779C"/>
    <w:rsid w:val="003A12BD"/>
    <w:rsid w:val="003A288C"/>
    <w:rsid w:val="003A5304"/>
    <w:rsid w:val="003A59EE"/>
    <w:rsid w:val="003A6911"/>
    <w:rsid w:val="003A6935"/>
    <w:rsid w:val="003A72F2"/>
    <w:rsid w:val="003A7A2D"/>
    <w:rsid w:val="003B1B5D"/>
    <w:rsid w:val="003B22FC"/>
    <w:rsid w:val="003B2C1D"/>
    <w:rsid w:val="003B6ACD"/>
    <w:rsid w:val="003C3DCA"/>
    <w:rsid w:val="003C6D8E"/>
    <w:rsid w:val="003C7579"/>
    <w:rsid w:val="003D256D"/>
    <w:rsid w:val="003D74C7"/>
    <w:rsid w:val="003D7630"/>
    <w:rsid w:val="003D7AF8"/>
    <w:rsid w:val="003D7B14"/>
    <w:rsid w:val="003E0180"/>
    <w:rsid w:val="003E5CF3"/>
    <w:rsid w:val="003E61DD"/>
    <w:rsid w:val="003F21E9"/>
    <w:rsid w:val="003F441C"/>
    <w:rsid w:val="003F5818"/>
    <w:rsid w:val="003F6C5D"/>
    <w:rsid w:val="0040134F"/>
    <w:rsid w:val="004019BD"/>
    <w:rsid w:val="00403129"/>
    <w:rsid w:val="0040443F"/>
    <w:rsid w:val="004068A4"/>
    <w:rsid w:val="0041028F"/>
    <w:rsid w:val="00410DBC"/>
    <w:rsid w:val="00412525"/>
    <w:rsid w:val="00412FA7"/>
    <w:rsid w:val="0041514D"/>
    <w:rsid w:val="004154C9"/>
    <w:rsid w:val="00415EC8"/>
    <w:rsid w:val="00416042"/>
    <w:rsid w:val="00416D72"/>
    <w:rsid w:val="00420113"/>
    <w:rsid w:val="00420F82"/>
    <w:rsid w:val="004214AE"/>
    <w:rsid w:val="00422BE7"/>
    <w:rsid w:val="0042368D"/>
    <w:rsid w:val="0042487D"/>
    <w:rsid w:val="00424FD9"/>
    <w:rsid w:val="00425830"/>
    <w:rsid w:val="00430049"/>
    <w:rsid w:val="00432BC1"/>
    <w:rsid w:val="00433480"/>
    <w:rsid w:val="00433FF5"/>
    <w:rsid w:val="0043535C"/>
    <w:rsid w:val="00436A45"/>
    <w:rsid w:val="00441E02"/>
    <w:rsid w:val="0044303D"/>
    <w:rsid w:val="00444C41"/>
    <w:rsid w:val="0044787F"/>
    <w:rsid w:val="00453F2C"/>
    <w:rsid w:val="00454796"/>
    <w:rsid w:val="0045656B"/>
    <w:rsid w:val="004632F5"/>
    <w:rsid w:val="00463D56"/>
    <w:rsid w:val="00463E9A"/>
    <w:rsid w:val="0046738D"/>
    <w:rsid w:val="00474570"/>
    <w:rsid w:val="004752CD"/>
    <w:rsid w:val="0047739E"/>
    <w:rsid w:val="004804F9"/>
    <w:rsid w:val="00480ED6"/>
    <w:rsid w:val="004816FC"/>
    <w:rsid w:val="00482AF9"/>
    <w:rsid w:val="00482E09"/>
    <w:rsid w:val="0048438C"/>
    <w:rsid w:val="00485678"/>
    <w:rsid w:val="004867C2"/>
    <w:rsid w:val="004867EE"/>
    <w:rsid w:val="00486CF0"/>
    <w:rsid w:val="004873C1"/>
    <w:rsid w:val="0048761C"/>
    <w:rsid w:val="004918B5"/>
    <w:rsid w:val="00494EE4"/>
    <w:rsid w:val="0049599D"/>
    <w:rsid w:val="00495BDE"/>
    <w:rsid w:val="0049671A"/>
    <w:rsid w:val="004A64A3"/>
    <w:rsid w:val="004B1825"/>
    <w:rsid w:val="004B1BBD"/>
    <w:rsid w:val="004B1CC0"/>
    <w:rsid w:val="004B25C8"/>
    <w:rsid w:val="004B27D6"/>
    <w:rsid w:val="004C00F2"/>
    <w:rsid w:val="004C170A"/>
    <w:rsid w:val="004C4465"/>
    <w:rsid w:val="004C5117"/>
    <w:rsid w:val="004C581A"/>
    <w:rsid w:val="004C6584"/>
    <w:rsid w:val="004D2884"/>
    <w:rsid w:val="004D3A45"/>
    <w:rsid w:val="004D6359"/>
    <w:rsid w:val="004D637C"/>
    <w:rsid w:val="004D6E5D"/>
    <w:rsid w:val="004D7943"/>
    <w:rsid w:val="004E0AE9"/>
    <w:rsid w:val="004E1563"/>
    <w:rsid w:val="004E2ABA"/>
    <w:rsid w:val="004E4688"/>
    <w:rsid w:val="004E5017"/>
    <w:rsid w:val="004E6272"/>
    <w:rsid w:val="004E6A49"/>
    <w:rsid w:val="004E6C4F"/>
    <w:rsid w:val="004F7112"/>
    <w:rsid w:val="005013D1"/>
    <w:rsid w:val="00502E2B"/>
    <w:rsid w:val="005105F7"/>
    <w:rsid w:val="00510F60"/>
    <w:rsid w:val="005120CA"/>
    <w:rsid w:val="005120D2"/>
    <w:rsid w:val="0051495A"/>
    <w:rsid w:val="00515050"/>
    <w:rsid w:val="00515B6F"/>
    <w:rsid w:val="005171A2"/>
    <w:rsid w:val="0052469D"/>
    <w:rsid w:val="005248A7"/>
    <w:rsid w:val="00531512"/>
    <w:rsid w:val="00536B98"/>
    <w:rsid w:val="00541020"/>
    <w:rsid w:val="005417DC"/>
    <w:rsid w:val="00542642"/>
    <w:rsid w:val="00542717"/>
    <w:rsid w:val="00542CA2"/>
    <w:rsid w:val="005431A9"/>
    <w:rsid w:val="005431C4"/>
    <w:rsid w:val="0055293E"/>
    <w:rsid w:val="00553F68"/>
    <w:rsid w:val="00554A1E"/>
    <w:rsid w:val="00554EA5"/>
    <w:rsid w:val="0055530F"/>
    <w:rsid w:val="00555CCC"/>
    <w:rsid w:val="00555F98"/>
    <w:rsid w:val="0055746B"/>
    <w:rsid w:val="005620D4"/>
    <w:rsid w:val="00566E36"/>
    <w:rsid w:val="005670B2"/>
    <w:rsid w:val="00567605"/>
    <w:rsid w:val="00570B46"/>
    <w:rsid w:val="005719D1"/>
    <w:rsid w:val="00573BB5"/>
    <w:rsid w:val="00581818"/>
    <w:rsid w:val="00581D5B"/>
    <w:rsid w:val="0058237D"/>
    <w:rsid w:val="00583948"/>
    <w:rsid w:val="00583DC1"/>
    <w:rsid w:val="00585F26"/>
    <w:rsid w:val="00586DEB"/>
    <w:rsid w:val="00586FBF"/>
    <w:rsid w:val="00587409"/>
    <w:rsid w:val="005917A4"/>
    <w:rsid w:val="005933F1"/>
    <w:rsid w:val="00595518"/>
    <w:rsid w:val="00597627"/>
    <w:rsid w:val="005A33BB"/>
    <w:rsid w:val="005A394B"/>
    <w:rsid w:val="005A547C"/>
    <w:rsid w:val="005A57CD"/>
    <w:rsid w:val="005A5EB0"/>
    <w:rsid w:val="005A6E2F"/>
    <w:rsid w:val="005A745D"/>
    <w:rsid w:val="005B2AD6"/>
    <w:rsid w:val="005B4309"/>
    <w:rsid w:val="005B59C4"/>
    <w:rsid w:val="005C32FC"/>
    <w:rsid w:val="005C4812"/>
    <w:rsid w:val="005C562C"/>
    <w:rsid w:val="005C5CF5"/>
    <w:rsid w:val="005C74A1"/>
    <w:rsid w:val="005D2B49"/>
    <w:rsid w:val="005D6E64"/>
    <w:rsid w:val="005D797B"/>
    <w:rsid w:val="005E15BF"/>
    <w:rsid w:val="005E25F8"/>
    <w:rsid w:val="005E2E9F"/>
    <w:rsid w:val="005E5474"/>
    <w:rsid w:val="005E5913"/>
    <w:rsid w:val="005E6083"/>
    <w:rsid w:val="005E6209"/>
    <w:rsid w:val="005E6F0E"/>
    <w:rsid w:val="005E7DB6"/>
    <w:rsid w:val="005E7EF6"/>
    <w:rsid w:val="005F03CE"/>
    <w:rsid w:val="005F1CE5"/>
    <w:rsid w:val="005F2220"/>
    <w:rsid w:val="005F255B"/>
    <w:rsid w:val="005F2D88"/>
    <w:rsid w:val="005F3CB3"/>
    <w:rsid w:val="005F4B72"/>
    <w:rsid w:val="005F4CBD"/>
    <w:rsid w:val="005F56D3"/>
    <w:rsid w:val="005F5E4E"/>
    <w:rsid w:val="005F6139"/>
    <w:rsid w:val="005F6555"/>
    <w:rsid w:val="006006BE"/>
    <w:rsid w:val="0060344C"/>
    <w:rsid w:val="00604297"/>
    <w:rsid w:val="00604578"/>
    <w:rsid w:val="00604A7F"/>
    <w:rsid w:val="00607463"/>
    <w:rsid w:val="0061033D"/>
    <w:rsid w:val="006139D4"/>
    <w:rsid w:val="006156FA"/>
    <w:rsid w:val="0061681F"/>
    <w:rsid w:val="00617A59"/>
    <w:rsid w:val="00621F18"/>
    <w:rsid w:val="00622CA1"/>
    <w:rsid w:val="0062360B"/>
    <w:rsid w:val="006251DF"/>
    <w:rsid w:val="006259A2"/>
    <w:rsid w:val="00625BD8"/>
    <w:rsid w:val="0062676C"/>
    <w:rsid w:val="00627C8E"/>
    <w:rsid w:val="00627D12"/>
    <w:rsid w:val="006300E5"/>
    <w:rsid w:val="00630AB5"/>
    <w:rsid w:val="006324E9"/>
    <w:rsid w:val="006335F2"/>
    <w:rsid w:val="00634820"/>
    <w:rsid w:val="00637EF7"/>
    <w:rsid w:val="00641D2E"/>
    <w:rsid w:val="00642479"/>
    <w:rsid w:val="00643A96"/>
    <w:rsid w:val="00644A45"/>
    <w:rsid w:val="00644A98"/>
    <w:rsid w:val="00646598"/>
    <w:rsid w:val="00650EA9"/>
    <w:rsid w:val="00652A6D"/>
    <w:rsid w:val="0065739A"/>
    <w:rsid w:val="00660949"/>
    <w:rsid w:val="00661E76"/>
    <w:rsid w:val="00666814"/>
    <w:rsid w:val="00670B99"/>
    <w:rsid w:val="00670DE8"/>
    <w:rsid w:val="0067248D"/>
    <w:rsid w:val="00673B91"/>
    <w:rsid w:val="00674246"/>
    <w:rsid w:val="0067558E"/>
    <w:rsid w:val="006762A5"/>
    <w:rsid w:val="0067731F"/>
    <w:rsid w:val="00677EE1"/>
    <w:rsid w:val="00683A26"/>
    <w:rsid w:val="00684E8C"/>
    <w:rsid w:val="00691EA6"/>
    <w:rsid w:val="00692E56"/>
    <w:rsid w:val="0069375A"/>
    <w:rsid w:val="006946F4"/>
    <w:rsid w:val="006970A2"/>
    <w:rsid w:val="006A0C7E"/>
    <w:rsid w:val="006A50D3"/>
    <w:rsid w:val="006A617D"/>
    <w:rsid w:val="006A626F"/>
    <w:rsid w:val="006A75CE"/>
    <w:rsid w:val="006B0211"/>
    <w:rsid w:val="006B08C5"/>
    <w:rsid w:val="006B2A42"/>
    <w:rsid w:val="006B3C11"/>
    <w:rsid w:val="006B435B"/>
    <w:rsid w:val="006B4CED"/>
    <w:rsid w:val="006B5DE9"/>
    <w:rsid w:val="006B5F31"/>
    <w:rsid w:val="006C085E"/>
    <w:rsid w:val="006C1DC1"/>
    <w:rsid w:val="006C20EB"/>
    <w:rsid w:val="006C46E5"/>
    <w:rsid w:val="006C78E1"/>
    <w:rsid w:val="006D063D"/>
    <w:rsid w:val="006D160F"/>
    <w:rsid w:val="006D1683"/>
    <w:rsid w:val="006D1CF4"/>
    <w:rsid w:val="006D20A4"/>
    <w:rsid w:val="006D2335"/>
    <w:rsid w:val="006D2B91"/>
    <w:rsid w:val="006D303A"/>
    <w:rsid w:val="006D3970"/>
    <w:rsid w:val="006D4CF8"/>
    <w:rsid w:val="006E0739"/>
    <w:rsid w:val="006E18A3"/>
    <w:rsid w:val="006E3E7C"/>
    <w:rsid w:val="006E408C"/>
    <w:rsid w:val="006E5D4D"/>
    <w:rsid w:val="006E7C1A"/>
    <w:rsid w:val="006E7CAB"/>
    <w:rsid w:val="006F04CD"/>
    <w:rsid w:val="006F0692"/>
    <w:rsid w:val="006F0981"/>
    <w:rsid w:val="006F23E6"/>
    <w:rsid w:val="006F3532"/>
    <w:rsid w:val="006F4F2E"/>
    <w:rsid w:val="006F5FD9"/>
    <w:rsid w:val="006F7628"/>
    <w:rsid w:val="006F7CDF"/>
    <w:rsid w:val="0070115E"/>
    <w:rsid w:val="00701EB6"/>
    <w:rsid w:val="007028C9"/>
    <w:rsid w:val="00702B9A"/>
    <w:rsid w:val="007038CB"/>
    <w:rsid w:val="00704036"/>
    <w:rsid w:val="007056F9"/>
    <w:rsid w:val="00706A11"/>
    <w:rsid w:val="00706C65"/>
    <w:rsid w:val="007102C7"/>
    <w:rsid w:val="00710919"/>
    <w:rsid w:val="00714D76"/>
    <w:rsid w:val="0071742E"/>
    <w:rsid w:val="00717435"/>
    <w:rsid w:val="00717AD9"/>
    <w:rsid w:val="00717C7A"/>
    <w:rsid w:val="0072088F"/>
    <w:rsid w:val="00724C92"/>
    <w:rsid w:val="0073020B"/>
    <w:rsid w:val="00730232"/>
    <w:rsid w:val="00730D0C"/>
    <w:rsid w:val="007371F8"/>
    <w:rsid w:val="007376D0"/>
    <w:rsid w:val="00741220"/>
    <w:rsid w:val="00744AA9"/>
    <w:rsid w:val="00746C47"/>
    <w:rsid w:val="0075487C"/>
    <w:rsid w:val="007548AF"/>
    <w:rsid w:val="0076096F"/>
    <w:rsid w:val="00760A8F"/>
    <w:rsid w:val="00760AB0"/>
    <w:rsid w:val="007615D6"/>
    <w:rsid w:val="007621B4"/>
    <w:rsid w:val="00763717"/>
    <w:rsid w:val="00764501"/>
    <w:rsid w:val="00765EAB"/>
    <w:rsid w:val="00767166"/>
    <w:rsid w:val="00771139"/>
    <w:rsid w:val="00771D99"/>
    <w:rsid w:val="00774AE9"/>
    <w:rsid w:val="007758FA"/>
    <w:rsid w:val="007768B7"/>
    <w:rsid w:val="00776C41"/>
    <w:rsid w:val="0077735C"/>
    <w:rsid w:val="0078012B"/>
    <w:rsid w:val="0078037F"/>
    <w:rsid w:val="007810FD"/>
    <w:rsid w:val="007816F1"/>
    <w:rsid w:val="00782758"/>
    <w:rsid w:val="00783379"/>
    <w:rsid w:val="00787199"/>
    <w:rsid w:val="0079188E"/>
    <w:rsid w:val="0079302C"/>
    <w:rsid w:val="007930D7"/>
    <w:rsid w:val="00793C8C"/>
    <w:rsid w:val="007961D3"/>
    <w:rsid w:val="007A097C"/>
    <w:rsid w:val="007A0E4D"/>
    <w:rsid w:val="007A5ECD"/>
    <w:rsid w:val="007B08E3"/>
    <w:rsid w:val="007B117F"/>
    <w:rsid w:val="007B1C62"/>
    <w:rsid w:val="007B3472"/>
    <w:rsid w:val="007B4B69"/>
    <w:rsid w:val="007B4DA6"/>
    <w:rsid w:val="007B6133"/>
    <w:rsid w:val="007B66BD"/>
    <w:rsid w:val="007B6918"/>
    <w:rsid w:val="007C1762"/>
    <w:rsid w:val="007C20C2"/>
    <w:rsid w:val="007C4FBD"/>
    <w:rsid w:val="007C57F0"/>
    <w:rsid w:val="007C5E3A"/>
    <w:rsid w:val="007C60B9"/>
    <w:rsid w:val="007C7AA0"/>
    <w:rsid w:val="007C7F7D"/>
    <w:rsid w:val="007D0626"/>
    <w:rsid w:val="007D1467"/>
    <w:rsid w:val="007D639A"/>
    <w:rsid w:val="007D792B"/>
    <w:rsid w:val="007E0052"/>
    <w:rsid w:val="007E07FA"/>
    <w:rsid w:val="007E1ABB"/>
    <w:rsid w:val="007E35DB"/>
    <w:rsid w:val="007E4D66"/>
    <w:rsid w:val="007E5A8F"/>
    <w:rsid w:val="007E6C36"/>
    <w:rsid w:val="007E73E3"/>
    <w:rsid w:val="007F02A4"/>
    <w:rsid w:val="007F0DF1"/>
    <w:rsid w:val="007F2C47"/>
    <w:rsid w:val="007F38EB"/>
    <w:rsid w:val="007F3CF2"/>
    <w:rsid w:val="007F4700"/>
    <w:rsid w:val="007F50A3"/>
    <w:rsid w:val="007F5593"/>
    <w:rsid w:val="007F5643"/>
    <w:rsid w:val="007F6C00"/>
    <w:rsid w:val="007F7A45"/>
    <w:rsid w:val="00802969"/>
    <w:rsid w:val="0080441A"/>
    <w:rsid w:val="0080505C"/>
    <w:rsid w:val="00805723"/>
    <w:rsid w:val="00806BFD"/>
    <w:rsid w:val="0081099A"/>
    <w:rsid w:val="00814B8A"/>
    <w:rsid w:val="00815A0A"/>
    <w:rsid w:val="0082002A"/>
    <w:rsid w:val="00820293"/>
    <w:rsid w:val="00820E71"/>
    <w:rsid w:val="0082535C"/>
    <w:rsid w:val="00826D1E"/>
    <w:rsid w:val="00831EBB"/>
    <w:rsid w:val="00832B0E"/>
    <w:rsid w:val="00834533"/>
    <w:rsid w:val="008437D7"/>
    <w:rsid w:val="008464F3"/>
    <w:rsid w:val="00850471"/>
    <w:rsid w:val="00851E08"/>
    <w:rsid w:val="008521BC"/>
    <w:rsid w:val="00854437"/>
    <w:rsid w:val="00856418"/>
    <w:rsid w:val="0085668E"/>
    <w:rsid w:val="00860C73"/>
    <w:rsid w:val="008617E2"/>
    <w:rsid w:val="008619D4"/>
    <w:rsid w:val="0086251C"/>
    <w:rsid w:val="008634D8"/>
    <w:rsid w:val="00863784"/>
    <w:rsid w:val="008649AD"/>
    <w:rsid w:val="00867341"/>
    <w:rsid w:val="00870A88"/>
    <w:rsid w:val="0087121C"/>
    <w:rsid w:val="00873BFD"/>
    <w:rsid w:val="00874D66"/>
    <w:rsid w:val="00875755"/>
    <w:rsid w:val="0087645C"/>
    <w:rsid w:val="008776FD"/>
    <w:rsid w:val="00877A3D"/>
    <w:rsid w:val="0088245B"/>
    <w:rsid w:val="008832A1"/>
    <w:rsid w:val="00885948"/>
    <w:rsid w:val="00885AF5"/>
    <w:rsid w:val="00885B8B"/>
    <w:rsid w:val="008868E0"/>
    <w:rsid w:val="00887CA6"/>
    <w:rsid w:val="00887DAA"/>
    <w:rsid w:val="008927C3"/>
    <w:rsid w:val="00893FA6"/>
    <w:rsid w:val="00894D3F"/>
    <w:rsid w:val="0089701F"/>
    <w:rsid w:val="00897DF1"/>
    <w:rsid w:val="008A0FFA"/>
    <w:rsid w:val="008A38D2"/>
    <w:rsid w:val="008A38D6"/>
    <w:rsid w:val="008A510C"/>
    <w:rsid w:val="008A648B"/>
    <w:rsid w:val="008A7218"/>
    <w:rsid w:val="008B1C23"/>
    <w:rsid w:val="008B21F0"/>
    <w:rsid w:val="008B265F"/>
    <w:rsid w:val="008B4DF9"/>
    <w:rsid w:val="008B547D"/>
    <w:rsid w:val="008B5D1E"/>
    <w:rsid w:val="008B6F65"/>
    <w:rsid w:val="008B7C2C"/>
    <w:rsid w:val="008C00B9"/>
    <w:rsid w:val="008C03F9"/>
    <w:rsid w:val="008C07C6"/>
    <w:rsid w:val="008C1C52"/>
    <w:rsid w:val="008C4065"/>
    <w:rsid w:val="008C468C"/>
    <w:rsid w:val="008C55F3"/>
    <w:rsid w:val="008C778F"/>
    <w:rsid w:val="008D11D6"/>
    <w:rsid w:val="008D1340"/>
    <w:rsid w:val="008D172E"/>
    <w:rsid w:val="008D20DD"/>
    <w:rsid w:val="008D546E"/>
    <w:rsid w:val="008D675C"/>
    <w:rsid w:val="008E1D5B"/>
    <w:rsid w:val="008E2F11"/>
    <w:rsid w:val="008E35B2"/>
    <w:rsid w:val="008E3BB3"/>
    <w:rsid w:val="008F1540"/>
    <w:rsid w:val="008F19E8"/>
    <w:rsid w:val="00901ED6"/>
    <w:rsid w:val="00902B4D"/>
    <w:rsid w:val="00905297"/>
    <w:rsid w:val="009062CA"/>
    <w:rsid w:val="00906B8E"/>
    <w:rsid w:val="009073A7"/>
    <w:rsid w:val="00907E21"/>
    <w:rsid w:val="00912ABE"/>
    <w:rsid w:val="009142BE"/>
    <w:rsid w:val="00914E63"/>
    <w:rsid w:val="009159BD"/>
    <w:rsid w:val="0092073F"/>
    <w:rsid w:val="00921EDA"/>
    <w:rsid w:val="00925258"/>
    <w:rsid w:val="0092679F"/>
    <w:rsid w:val="00932538"/>
    <w:rsid w:val="0093503D"/>
    <w:rsid w:val="00937AF2"/>
    <w:rsid w:val="0094103C"/>
    <w:rsid w:val="009412F5"/>
    <w:rsid w:val="00941ACD"/>
    <w:rsid w:val="009459D7"/>
    <w:rsid w:val="00947660"/>
    <w:rsid w:val="0095088C"/>
    <w:rsid w:val="009512E2"/>
    <w:rsid w:val="00956808"/>
    <w:rsid w:val="009568E5"/>
    <w:rsid w:val="00957A4C"/>
    <w:rsid w:val="00960675"/>
    <w:rsid w:val="009669B5"/>
    <w:rsid w:val="00967CAA"/>
    <w:rsid w:val="00971E4E"/>
    <w:rsid w:val="009732E1"/>
    <w:rsid w:val="00973CC9"/>
    <w:rsid w:val="00977C97"/>
    <w:rsid w:val="00982275"/>
    <w:rsid w:val="009827C5"/>
    <w:rsid w:val="0098287D"/>
    <w:rsid w:val="00983409"/>
    <w:rsid w:val="00984CD0"/>
    <w:rsid w:val="009854E1"/>
    <w:rsid w:val="009855A0"/>
    <w:rsid w:val="00986AC8"/>
    <w:rsid w:val="00991C1A"/>
    <w:rsid w:val="00992541"/>
    <w:rsid w:val="0099287F"/>
    <w:rsid w:val="00994726"/>
    <w:rsid w:val="009961CF"/>
    <w:rsid w:val="009A270D"/>
    <w:rsid w:val="009A2ED7"/>
    <w:rsid w:val="009A618A"/>
    <w:rsid w:val="009B2150"/>
    <w:rsid w:val="009B2B6F"/>
    <w:rsid w:val="009B313D"/>
    <w:rsid w:val="009B4887"/>
    <w:rsid w:val="009B4EFB"/>
    <w:rsid w:val="009B5A9C"/>
    <w:rsid w:val="009B612E"/>
    <w:rsid w:val="009B633F"/>
    <w:rsid w:val="009C1458"/>
    <w:rsid w:val="009C2282"/>
    <w:rsid w:val="009C248E"/>
    <w:rsid w:val="009C2558"/>
    <w:rsid w:val="009C2A30"/>
    <w:rsid w:val="009C3082"/>
    <w:rsid w:val="009C3936"/>
    <w:rsid w:val="009C54D6"/>
    <w:rsid w:val="009C76CA"/>
    <w:rsid w:val="009C7F7D"/>
    <w:rsid w:val="009D09FC"/>
    <w:rsid w:val="009D2FE3"/>
    <w:rsid w:val="009D3F1B"/>
    <w:rsid w:val="009D4BCE"/>
    <w:rsid w:val="009D4CD4"/>
    <w:rsid w:val="009D50A2"/>
    <w:rsid w:val="009D7002"/>
    <w:rsid w:val="009D7EE3"/>
    <w:rsid w:val="009E0637"/>
    <w:rsid w:val="009E065E"/>
    <w:rsid w:val="009E1EB9"/>
    <w:rsid w:val="009E3AAD"/>
    <w:rsid w:val="009E4562"/>
    <w:rsid w:val="009E4FF9"/>
    <w:rsid w:val="009E5890"/>
    <w:rsid w:val="009E65BB"/>
    <w:rsid w:val="009E6D65"/>
    <w:rsid w:val="009F07C9"/>
    <w:rsid w:val="009F1905"/>
    <w:rsid w:val="009F1C36"/>
    <w:rsid w:val="009F2220"/>
    <w:rsid w:val="009F3BA0"/>
    <w:rsid w:val="00A00E0A"/>
    <w:rsid w:val="00A02487"/>
    <w:rsid w:val="00A02DD7"/>
    <w:rsid w:val="00A03027"/>
    <w:rsid w:val="00A03119"/>
    <w:rsid w:val="00A04C01"/>
    <w:rsid w:val="00A062AC"/>
    <w:rsid w:val="00A0694D"/>
    <w:rsid w:val="00A071A2"/>
    <w:rsid w:val="00A10F53"/>
    <w:rsid w:val="00A118F6"/>
    <w:rsid w:val="00A12B7C"/>
    <w:rsid w:val="00A12C9E"/>
    <w:rsid w:val="00A153F6"/>
    <w:rsid w:val="00A26E37"/>
    <w:rsid w:val="00A27A9B"/>
    <w:rsid w:val="00A3045E"/>
    <w:rsid w:val="00A3194D"/>
    <w:rsid w:val="00A32FCF"/>
    <w:rsid w:val="00A33A96"/>
    <w:rsid w:val="00A35CD6"/>
    <w:rsid w:val="00A36BE2"/>
    <w:rsid w:val="00A42FCF"/>
    <w:rsid w:val="00A4366D"/>
    <w:rsid w:val="00A455BA"/>
    <w:rsid w:val="00A4566A"/>
    <w:rsid w:val="00A45C6B"/>
    <w:rsid w:val="00A46AE8"/>
    <w:rsid w:val="00A50906"/>
    <w:rsid w:val="00A5208C"/>
    <w:rsid w:val="00A54F80"/>
    <w:rsid w:val="00A56A2F"/>
    <w:rsid w:val="00A57DC9"/>
    <w:rsid w:val="00A605E3"/>
    <w:rsid w:val="00A62520"/>
    <w:rsid w:val="00A62A68"/>
    <w:rsid w:val="00A64859"/>
    <w:rsid w:val="00A65BDF"/>
    <w:rsid w:val="00A700FD"/>
    <w:rsid w:val="00A71011"/>
    <w:rsid w:val="00A71B24"/>
    <w:rsid w:val="00A74E07"/>
    <w:rsid w:val="00A75A84"/>
    <w:rsid w:val="00A75B8B"/>
    <w:rsid w:val="00A809BF"/>
    <w:rsid w:val="00A80C2E"/>
    <w:rsid w:val="00A82DA7"/>
    <w:rsid w:val="00A831CB"/>
    <w:rsid w:val="00A8521B"/>
    <w:rsid w:val="00A9044F"/>
    <w:rsid w:val="00A90A52"/>
    <w:rsid w:val="00A92F4A"/>
    <w:rsid w:val="00A96683"/>
    <w:rsid w:val="00A97297"/>
    <w:rsid w:val="00AA2201"/>
    <w:rsid w:val="00AA3B37"/>
    <w:rsid w:val="00AA4247"/>
    <w:rsid w:val="00AA4320"/>
    <w:rsid w:val="00AA461F"/>
    <w:rsid w:val="00AA5365"/>
    <w:rsid w:val="00AA5A95"/>
    <w:rsid w:val="00AA5CFF"/>
    <w:rsid w:val="00AA7130"/>
    <w:rsid w:val="00AB0C02"/>
    <w:rsid w:val="00AB17DC"/>
    <w:rsid w:val="00AB1EA2"/>
    <w:rsid w:val="00AB44E4"/>
    <w:rsid w:val="00AB593E"/>
    <w:rsid w:val="00AB6EA8"/>
    <w:rsid w:val="00AD0090"/>
    <w:rsid w:val="00AD06D3"/>
    <w:rsid w:val="00AD269B"/>
    <w:rsid w:val="00AD2C7C"/>
    <w:rsid w:val="00AD3159"/>
    <w:rsid w:val="00AD55F5"/>
    <w:rsid w:val="00AE0592"/>
    <w:rsid w:val="00AE3710"/>
    <w:rsid w:val="00AE3AB9"/>
    <w:rsid w:val="00AE7CA0"/>
    <w:rsid w:val="00AF43F4"/>
    <w:rsid w:val="00AF794F"/>
    <w:rsid w:val="00B00923"/>
    <w:rsid w:val="00B02216"/>
    <w:rsid w:val="00B03CC4"/>
    <w:rsid w:val="00B03F3A"/>
    <w:rsid w:val="00B04514"/>
    <w:rsid w:val="00B04661"/>
    <w:rsid w:val="00B06B75"/>
    <w:rsid w:val="00B108F5"/>
    <w:rsid w:val="00B10C50"/>
    <w:rsid w:val="00B11D57"/>
    <w:rsid w:val="00B1246C"/>
    <w:rsid w:val="00B209F0"/>
    <w:rsid w:val="00B237D6"/>
    <w:rsid w:val="00B241AD"/>
    <w:rsid w:val="00B24A2D"/>
    <w:rsid w:val="00B263CB"/>
    <w:rsid w:val="00B26B47"/>
    <w:rsid w:val="00B30E85"/>
    <w:rsid w:val="00B34CBA"/>
    <w:rsid w:val="00B41337"/>
    <w:rsid w:val="00B45628"/>
    <w:rsid w:val="00B46DF0"/>
    <w:rsid w:val="00B474AE"/>
    <w:rsid w:val="00B47A44"/>
    <w:rsid w:val="00B54612"/>
    <w:rsid w:val="00B611CB"/>
    <w:rsid w:val="00B61F99"/>
    <w:rsid w:val="00B62B3F"/>
    <w:rsid w:val="00B639C6"/>
    <w:rsid w:val="00B64057"/>
    <w:rsid w:val="00B65B0C"/>
    <w:rsid w:val="00B66EA0"/>
    <w:rsid w:val="00B67026"/>
    <w:rsid w:val="00B67604"/>
    <w:rsid w:val="00B678EC"/>
    <w:rsid w:val="00B71824"/>
    <w:rsid w:val="00B71BBD"/>
    <w:rsid w:val="00B7224F"/>
    <w:rsid w:val="00B77127"/>
    <w:rsid w:val="00B80ECB"/>
    <w:rsid w:val="00B80FFA"/>
    <w:rsid w:val="00B81091"/>
    <w:rsid w:val="00B81B57"/>
    <w:rsid w:val="00B83852"/>
    <w:rsid w:val="00B8556E"/>
    <w:rsid w:val="00B85ACB"/>
    <w:rsid w:val="00B85D99"/>
    <w:rsid w:val="00B931F8"/>
    <w:rsid w:val="00B93432"/>
    <w:rsid w:val="00B93617"/>
    <w:rsid w:val="00B9413F"/>
    <w:rsid w:val="00B95217"/>
    <w:rsid w:val="00B9769A"/>
    <w:rsid w:val="00BA1B78"/>
    <w:rsid w:val="00BA2C63"/>
    <w:rsid w:val="00BA72FB"/>
    <w:rsid w:val="00BA7BC1"/>
    <w:rsid w:val="00BB1FF9"/>
    <w:rsid w:val="00BB2D8B"/>
    <w:rsid w:val="00BB3B0A"/>
    <w:rsid w:val="00BB3DE9"/>
    <w:rsid w:val="00BC0622"/>
    <w:rsid w:val="00BC1CC3"/>
    <w:rsid w:val="00BC5F71"/>
    <w:rsid w:val="00BC607D"/>
    <w:rsid w:val="00BC6870"/>
    <w:rsid w:val="00BC6C80"/>
    <w:rsid w:val="00BD08B9"/>
    <w:rsid w:val="00BD60A4"/>
    <w:rsid w:val="00BD6810"/>
    <w:rsid w:val="00BD6C6E"/>
    <w:rsid w:val="00BE027C"/>
    <w:rsid w:val="00BE3B5A"/>
    <w:rsid w:val="00BF0B99"/>
    <w:rsid w:val="00BF3A88"/>
    <w:rsid w:val="00BF470A"/>
    <w:rsid w:val="00BF4F05"/>
    <w:rsid w:val="00BF586B"/>
    <w:rsid w:val="00BF5B83"/>
    <w:rsid w:val="00C049A7"/>
    <w:rsid w:val="00C05249"/>
    <w:rsid w:val="00C05B97"/>
    <w:rsid w:val="00C10D02"/>
    <w:rsid w:val="00C115DB"/>
    <w:rsid w:val="00C131AC"/>
    <w:rsid w:val="00C13456"/>
    <w:rsid w:val="00C14504"/>
    <w:rsid w:val="00C14744"/>
    <w:rsid w:val="00C15B6D"/>
    <w:rsid w:val="00C24C83"/>
    <w:rsid w:val="00C25CCE"/>
    <w:rsid w:val="00C309F5"/>
    <w:rsid w:val="00C324C2"/>
    <w:rsid w:val="00C32C25"/>
    <w:rsid w:val="00C33075"/>
    <w:rsid w:val="00C3416C"/>
    <w:rsid w:val="00C34CBC"/>
    <w:rsid w:val="00C366E7"/>
    <w:rsid w:val="00C36D56"/>
    <w:rsid w:val="00C42B92"/>
    <w:rsid w:val="00C42C0F"/>
    <w:rsid w:val="00C43507"/>
    <w:rsid w:val="00C436AD"/>
    <w:rsid w:val="00C43B41"/>
    <w:rsid w:val="00C4461C"/>
    <w:rsid w:val="00C4709D"/>
    <w:rsid w:val="00C526F2"/>
    <w:rsid w:val="00C530CF"/>
    <w:rsid w:val="00C55042"/>
    <w:rsid w:val="00C57D59"/>
    <w:rsid w:val="00C638A0"/>
    <w:rsid w:val="00C659BC"/>
    <w:rsid w:val="00C67334"/>
    <w:rsid w:val="00C70C19"/>
    <w:rsid w:val="00C73242"/>
    <w:rsid w:val="00C735D1"/>
    <w:rsid w:val="00C753E8"/>
    <w:rsid w:val="00C7673E"/>
    <w:rsid w:val="00C7711B"/>
    <w:rsid w:val="00C81C04"/>
    <w:rsid w:val="00C8372D"/>
    <w:rsid w:val="00C85039"/>
    <w:rsid w:val="00C85141"/>
    <w:rsid w:val="00C85144"/>
    <w:rsid w:val="00C91143"/>
    <w:rsid w:val="00C97C39"/>
    <w:rsid w:val="00CA0901"/>
    <w:rsid w:val="00CA3FB4"/>
    <w:rsid w:val="00CA4C45"/>
    <w:rsid w:val="00CA4EA2"/>
    <w:rsid w:val="00CB2817"/>
    <w:rsid w:val="00CB4345"/>
    <w:rsid w:val="00CB5AE3"/>
    <w:rsid w:val="00CB7114"/>
    <w:rsid w:val="00CB7CB3"/>
    <w:rsid w:val="00CC345A"/>
    <w:rsid w:val="00CC391B"/>
    <w:rsid w:val="00CC6567"/>
    <w:rsid w:val="00CC67B6"/>
    <w:rsid w:val="00CD1B46"/>
    <w:rsid w:val="00CD305F"/>
    <w:rsid w:val="00CD395F"/>
    <w:rsid w:val="00CD441D"/>
    <w:rsid w:val="00CD4D04"/>
    <w:rsid w:val="00CD6059"/>
    <w:rsid w:val="00CD68CA"/>
    <w:rsid w:val="00CE41BA"/>
    <w:rsid w:val="00CE5043"/>
    <w:rsid w:val="00CE5CAE"/>
    <w:rsid w:val="00CF166C"/>
    <w:rsid w:val="00CF2701"/>
    <w:rsid w:val="00CF301A"/>
    <w:rsid w:val="00CF3A2B"/>
    <w:rsid w:val="00CF40F1"/>
    <w:rsid w:val="00CF530C"/>
    <w:rsid w:val="00CF70CB"/>
    <w:rsid w:val="00D00C6C"/>
    <w:rsid w:val="00D0267C"/>
    <w:rsid w:val="00D03572"/>
    <w:rsid w:val="00D03B7B"/>
    <w:rsid w:val="00D06685"/>
    <w:rsid w:val="00D11B48"/>
    <w:rsid w:val="00D11CAC"/>
    <w:rsid w:val="00D12A0A"/>
    <w:rsid w:val="00D154D6"/>
    <w:rsid w:val="00D15AB8"/>
    <w:rsid w:val="00D178A0"/>
    <w:rsid w:val="00D202D9"/>
    <w:rsid w:val="00D2161B"/>
    <w:rsid w:val="00D2193B"/>
    <w:rsid w:val="00D22358"/>
    <w:rsid w:val="00D266E9"/>
    <w:rsid w:val="00D3006A"/>
    <w:rsid w:val="00D3162A"/>
    <w:rsid w:val="00D35E01"/>
    <w:rsid w:val="00D36441"/>
    <w:rsid w:val="00D42098"/>
    <w:rsid w:val="00D424F5"/>
    <w:rsid w:val="00D426FD"/>
    <w:rsid w:val="00D42F9C"/>
    <w:rsid w:val="00D50F9B"/>
    <w:rsid w:val="00D51D86"/>
    <w:rsid w:val="00D57B24"/>
    <w:rsid w:val="00D617F2"/>
    <w:rsid w:val="00D6222F"/>
    <w:rsid w:val="00D62FB2"/>
    <w:rsid w:val="00D63A77"/>
    <w:rsid w:val="00D66CD3"/>
    <w:rsid w:val="00D67882"/>
    <w:rsid w:val="00D70031"/>
    <w:rsid w:val="00D713D7"/>
    <w:rsid w:val="00D71829"/>
    <w:rsid w:val="00D74369"/>
    <w:rsid w:val="00D74826"/>
    <w:rsid w:val="00D76931"/>
    <w:rsid w:val="00D837C8"/>
    <w:rsid w:val="00D857AE"/>
    <w:rsid w:val="00D86067"/>
    <w:rsid w:val="00D87622"/>
    <w:rsid w:val="00D87AA2"/>
    <w:rsid w:val="00D90844"/>
    <w:rsid w:val="00D921CF"/>
    <w:rsid w:val="00D937E2"/>
    <w:rsid w:val="00D93F1F"/>
    <w:rsid w:val="00D94A5B"/>
    <w:rsid w:val="00D950D0"/>
    <w:rsid w:val="00D95A8D"/>
    <w:rsid w:val="00D9637A"/>
    <w:rsid w:val="00DA07D0"/>
    <w:rsid w:val="00DA0EDE"/>
    <w:rsid w:val="00DA1CE1"/>
    <w:rsid w:val="00DA4328"/>
    <w:rsid w:val="00DA752D"/>
    <w:rsid w:val="00DB1D08"/>
    <w:rsid w:val="00DB1D2B"/>
    <w:rsid w:val="00DB340F"/>
    <w:rsid w:val="00DB352F"/>
    <w:rsid w:val="00DB7205"/>
    <w:rsid w:val="00DB77DD"/>
    <w:rsid w:val="00DC0EDE"/>
    <w:rsid w:val="00DC27EF"/>
    <w:rsid w:val="00DC3894"/>
    <w:rsid w:val="00DC4F5D"/>
    <w:rsid w:val="00DC592E"/>
    <w:rsid w:val="00DC6A24"/>
    <w:rsid w:val="00DC76A1"/>
    <w:rsid w:val="00DC7F75"/>
    <w:rsid w:val="00DD4C5E"/>
    <w:rsid w:val="00DD4EA3"/>
    <w:rsid w:val="00DD5221"/>
    <w:rsid w:val="00DD7A7B"/>
    <w:rsid w:val="00DE0798"/>
    <w:rsid w:val="00DE5BBB"/>
    <w:rsid w:val="00DE720E"/>
    <w:rsid w:val="00DF3945"/>
    <w:rsid w:val="00DF5371"/>
    <w:rsid w:val="00DF5F03"/>
    <w:rsid w:val="00DF798E"/>
    <w:rsid w:val="00E01166"/>
    <w:rsid w:val="00E016BF"/>
    <w:rsid w:val="00E016C4"/>
    <w:rsid w:val="00E038FD"/>
    <w:rsid w:val="00E04609"/>
    <w:rsid w:val="00E10F6E"/>
    <w:rsid w:val="00E132B3"/>
    <w:rsid w:val="00E1355C"/>
    <w:rsid w:val="00E14B90"/>
    <w:rsid w:val="00E168BC"/>
    <w:rsid w:val="00E17FD2"/>
    <w:rsid w:val="00E22717"/>
    <w:rsid w:val="00E22825"/>
    <w:rsid w:val="00E24FDC"/>
    <w:rsid w:val="00E25B05"/>
    <w:rsid w:val="00E26729"/>
    <w:rsid w:val="00E3266E"/>
    <w:rsid w:val="00E34F29"/>
    <w:rsid w:val="00E35C9D"/>
    <w:rsid w:val="00E373C3"/>
    <w:rsid w:val="00E44CA4"/>
    <w:rsid w:val="00E45500"/>
    <w:rsid w:val="00E45D4E"/>
    <w:rsid w:val="00E46106"/>
    <w:rsid w:val="00E46595"/>
    <w:rsid w:val="00E4786B"/>
    <w:rsid w:val="00E513F2"/>
    <w:rsid w:val="00E51627"/>
    <w:rsid w:val="00E51BBF"/>
    <w:rsid w:val="00E53EB3"/>
    <w:rsid w:val="00E562BD"/>
    <w:rsid w:val="00E576C5"/>
    <w:rsid w:val="00E6007F"/>
    <w:rsid w:val="00E62DDC"/>
    <w:rsid w:val="00E65C37"/>
    <w:rsid w:val="00E6658B"/>
    <w:rsid w:val="00E66EBF"/>
    <w:rsid w:val="00E7061A"/>
    <w:rsid w:val="00E70D31"/>
    <w:rsid w:val="00E71AB7"/>
    <w:rsid w:val="00E71C9F"/>
    <w:rsid w:val="00E71CD3"/>
    <w:rsid w:val="00E7211A"/>
    <w:rsid w:val="00E77D43"/>
    <w:rsid w:val="00E819DC"/>
    <w:rsid w:val="00E836A2"/>
    <w:rsid w:val="00E90674"/>
    <w:rsid w:val="00E91F6A"/>
    <w:rsid w:val="00E9634E"/>
    <w:rsid w:val="00E9717A"/>
    <w:rsid w:val="00EA01DC"/>
    <w:rsid w:val="00EA0E90"/>
    <w:rsid w:val="00EA1CE9"/>
    <w:rsid w:val="00EA3D3F"/>
    <w:rsid w:val="00EB17E8"/>
    <w:rsid w:val="00EB191D"/>
    <w:rsid w:val="00EB1957"/>
    <w:rsid w:val="00EB2722"/>
    <w:rsid w:val="00EB3574"/>
    <w:rsid w:val="00EB412F"/>
    <w:rsid w:val="00EB736A"/>
    <w:rsid w:val="00EB73D5"/>
    <w:rsid w:val="00EB7D33"/>
    <w:rsid w:val="00EC153E"/>
    <w:rsid w:val="00EC24C2"/>
    <w:rsid w:val="00EC255E"/>
    <w:rsid w:val="00EC409B"/>
    <w:rsid w:val="00EC480C"/>
    <w:rsid w:val="00EC4CEE"/>
    <w:rsid w:val="00EC5C3C"/>
    <w:rsid w:val="00EC7669"/>
    <w:rsid w:val="00ED0385"/>
    <w:rsid w:val="00ED14A3"/>
    <w:rsid w:val="00ED1ADA"/>
    <w:rsid w:val="00ED69FD"/>
    <w:rsid w:val="00ED7140"/>
    <w:rsid w:val="00EE0A6A"/>
    <w:rsid w:val="00EE2260"/>
    <w:rsid w:val="00EE55B3"/>
    <w:rsid w:val="00EE7506"/>
    <w:rsid w:val="00EE75EC"/>
    <w:rsid w:val="00EE7ACC"/>
    <w:rsid w:val="00EF0812"/>
    <w:rsid w:val="00EF0D86"/>
    <w:rsid w:val="00EF25F6"/>
    <w:rsid w:val="00EF46A3"/>
    <w:rsid w:val="00F0265A"/>
    <w:rsid w:val="00F029D8"/>
    <w:rsid w:val="00F0311E"/>
    <w:rsid w:val="00F0341B"/>
    <w:rsid w:val="00F036A8"/>
    <w:rsid w:val="00F0578D"/>
    <w:rsid w:val="00F05E2B"/>
    <w:rsid w:val="00F06826"/>
    <w:rsid w:val="00F1409F"/>
    <w:rsid w:val="00F165C2"/>
    <w:rsid w:val="00F16EB2"/>
    <w:rsid w:val="00F225E4"/>
    <w:rsid w:val="00F230F3"/>
    <w:rsid w:val="00F23CD5"/>
    <w:rsid w:val="00F24F27"/>
    <w:rsid w:val="00F30155"/>
    <w:rsid w:val="00F315A7"/>
    <w:rsid w:val="00F31F26"/>
    <w:rsid w:val="00F41E5C"/>
    <w:rsid w:val="00F42C7E"/>
    <w:rsid w:val="00F43B89"/>
    <w:rsid w:val="00F479E0"/>
    <w:rsid w:val="00F50B05"/>
    <w:rsid w:val="00F51054"/>
    <w:rsid w:val="00F5140F"/>
    <w:rsid w:val="00F55453"/>
    <w:rsid w:val="00F56D55"/>
    <w:rsid w:val="00F60EF0"/>
    <w:rsid w:val="00F65462"/>
    <w:rsid w:val="00F70216"/>
    <w:rsid w:val="00F727B0"/>
    <w:rsid w:val="00F73F23"/>
    <w:rsid w:val="00F74377"/>
    <w:rsid w:val="00F75172"/>
    <w:rsid w:val="00F75256"/>
    <w:rsid w:val="00F756D0"/>
    <w:rsid w:val="00F82D1B"/>
    <w:rsid w:val="00F83B06"/>
    <w:rsid w:val="00F8618C"/>
    <w:rsid w:val="00F867B1"/>
    <w:rsid w:val="00F87E0A"/>
    <w:rsid w:val="00F90A22"/>
    <w:rsid w:val="00F92CD9"/>
    <w:rsid w:val="00F93D1F"/>
    <w:rsid w:val="00F94B1B"/>
    <w:rsid w:val="00F95E50"/>
    <w:rsid w:val="00F961EF"/>
    <w:rsid w:val="00F9660D"/>
    <w:rsid w:val="00F9733B"/>
    <w:rsid w:val="00FA05F4"/>
    <w:rsid w:val="00FA3669"/>
    <w:rsid w:val="00FA4C46"/>
    <w:rsid w:val="00FA4C5E"/>
    <w:rsid w:val="00FA62B5"/>
    <w:rsid w:val="00FA6A37"/>
    <w:rsid w:val="00FA6EB3"/>
    <w:rsid w:val="00FB1EC8"/>
    <w:rsid w:val="00FB1FC3"/>
    <w:rsid w:val="00FB6334"/>
    <w:rsid w:val="00FB6AC3"/>
    <w:rsid w:val="00FB72FD"/>
    <w:rsid w:val="00FC664C"/>
    <w:rsid w:val="00FD09C9"/>
    <w:rsid w:val="00FD0CB5"/>
    <w:rsid w:val="00FD0FA5"/>
    <w:rsid w:val="00FD2DF6"/>
    <w:rsid w:val="00FD49E2"/>
    <w:rsid w:val="00FE0BDF"/>
    <w:rsid w:val="00FE1424"/>
    <w:rsid w:val="00FE16E6"/>
    <w:rsid w:val="00FE2CDD"/>
    <w:rsid w:val="00FE5AB4"/>
    <w:rsid w:val="00FE64EC"/>
    <w:rsid w:val="00FF2232"/>
    <w:rsid w:val="00FF3E83"/>
    <w:rsid w:val="00FF7C5C"/>
    <w:rsid w:val="0AE73489"/>
    <w:rsid w:val="1CDCC4E9"/>
    <w:rsid w:val="2F408282"/>
    <w:rsid w:val="2F546C23"/>
    <w:rsid w:val="4AD67BEF"/>
    <w:rsid w:val="5741E14C"/>
    <w:rsid w:val="6466C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3E01D"/>
  <w15:docId w15:val="{3CCAAB8D-11EA-4C77-9488-A7E61A2A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1"/>
      </w:numPr>
      <w:tabs>
        <w:tab w:val="clear" w:pos="432"/>
        <w:tab w:val="left" w:pos="720"/>
      </w:tabs>
      <w:ind w:left="720" w:hanging="720"/>
      <w:outlineLvl w:val="0"/>
    </w:pPr>
    <w:rPr>
      <w:b/>
      <w:kern w:val="32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11"/>
      </w:numPr>
      <w:tabs>
        <w:tab w:val="clear" w:pos="576"/>
        <w:tab w:val="left" w:pos="720"/>
      </w:tabs>
      <w:ind w:left="720" w:hanging="720"/>
      <w:outlineLvl w:val="1"/>
    </w:pPr>
    <w:rPr>
      <w:b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text">
    <w:name w:val="Report text"/>
    <w:basedOn w:val="Normal"/>
    <w:pPr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en-US"/>
    </w:rPr>
  </w:style>
  <w:style w:type="paragraph" w:customStyle="1" w:styleId="Normal1">
    <w:name w:val="Normal1"/>
    <w:basedOn w:val="Normal"/>
    <w:pPr>
      <w:spacing w:before="120" w:after="100" w:afterAutospacing="1"/>
    </w:pPr>
    <w:rPr>
      <w:rFonts w:cs="Times New Roman"/>
      <w:iCs/>
      <w:szCs w:val="24"/>
    </w:rPr>
  </w:style>
  <w:style w:type="table" w:customStyle="1" w:styleId="TableGrid1">
    <w:name w:val="Table Grid1"/>
    <w:basedOn w:val="TableNormal"/>
    <w:next w:val="TableGri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684E8C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92073F"/>
    <w:rPr>
      <w:rFonts w:ascii="Arial" w:hAnsi="Arial" w:cs="Arial"/>
      <w:sz w:val="24"/>
      <w:szCs w:val="22"/>
      <w:lang w:eastAsia="en-US"/>
    </w:rPr>
  </w:style>
  <w:style w:type="character" w:styleId="PlaceholderText">
    <w:name w:val="Placeholder Text"/>
    <w:uiPriority w:val="99"/>
    <w:semiHidden/>
    <w:rsid w:val="00B639C6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B639C6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639C6"/>
    <w:rPr>
      <w:rFonts w:ascii="Arial" w:hAnsi="Arial" w:cs="Arial"/>
      <w:lang w:eastAsia="en-US"/>
    </w:rPr>
  </w:style>
  <w:style w:type="character" w:styleId="FootnoteReference">
    <w:name w:val="footnote reference"/>
    <w:semiHidden/>
    <w:unhideWhenUsed/>
    <w:rsid w:val="00B639C6"/>
    <w:rPr>
      <w:vertAlign w:val="superscript"/>
    </w:rPr>
  </w:style>
  <w:style w:type="paragraph" w:styleId="BalloonText">
    <w:name w:val="Balloon Text"/>
    <w:basedOn w:val="Normal"/>
    <w:link w:val="BalloonTextChar"/>
    <w:rsid w:val="00A15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3F6"/>
    <w:rPr>
      <w:rFonts w:ascii="Tahoma" w:hAnsi="Tahoma" w:cs="Tahoma"/>
      <w:sz w:val="16"/>
      <w:szCs w:val="16"/>
      <w:lang w:eastAsia="en-US"/>
    </w:rPr>
  </w:style>
  <w:style w:type="table" w:customStyle="1" w:styleId="TableGrid2">
    <w:name w:val="Table Grid2"/>
    <w:basedOn w:val="TableNormal"/>
    <w:next w:val="TableGrid"/>
    <w:rsid w:val="00F87E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D2884"/>
    <w:rPr>
      <w:b/>
      <w:bCs/>
    </w:rPr>
  </w:style>
  <w:style w:type="paragraph" w:styleId="NormalWeb">
    <w:name w:val="Normal (Web)"/>
    <w:basedOn w:val="Normal"/>
    <w:uiPriority w:val="99"/>
    <w:unhideWhenUsed/>
    <w:rsid w:val="004D2884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8E1D5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E1D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1D5B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1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1D5B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984CD0"/>
    <w:rPr>
      <w:rFonts w:ascii="Arial" w:hAnsi="Arial" w:cs="Arial"/>
      <w:sz w:val="24"/>
      <w:szCs w:val="22"/>
      <w:lang w:eastAsia="en-US"/>
    </w:rPr>
  </w:style>
  <w:style w:type="character" w:styleId="Hyperlink">
    <w:name w:val="Hyperlink"/>
    <w:basedOn w:val="DefaultParagraphFont"/>
    <w:unhideWhenUsed/>
    <w:rsid w:val="00907E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fbbfa-3ea0-4d8e-acde-632e83cd9c55" xsi:nil="true"/>
    <_dlc_DocId xmlns="f6cfbbfa-3ea0-4d8e-acde-632e83cd9c55">ONRW-2126615823-7940</_dlc_DocId>
    <_dlc_DocIdUrl xmlns="f6cfbbfa-3ea0-4d8e-acde-632e83cd9c55">
      <Url>https://prodonrgov.sharepoint.com/_layouts/15/DocIdRedir.aspx?ID=ONRW-2126615823-7940</Url>
      <Description>ONRW-2126615823-7940</Description>
    </_dlc_DocIdUrl>
    <Document_x0020_Type xmlns="f6cfbbfa-3ea0-4d8e-acde-632e83cd9c55">Other</Document_x0020_Type>
    <External_x0020_Reference xmlns="f6cfbbfa-3ea0-4d8e-acde-632e83cd9c55">null</External_x0020_Reference>
    <Site xmlns="f6cfbbfa-3ea0-4d8e-acde-632e83cd9c55" xsi:nil="true"/>
    <_Flow_SignoffStatus xmlns="6ee01a08-9bb3-4510-887c-4508c532eb2e" xsi:nil="true"/>
    <Category xmlns="6ee01a08-9bb3-4510-887c-4508c532eb2e" xsi:nil="true"/>
    <External_x0020_Revision xmlns="f6cfbbfa-3ea0-4d8e-acde-632e83cd9c55" xsi:nil="true"/>
    <GDA_x0020_Tier xmlns="f6cfbbfa-3ea0-4d8e-acde-632e83cd9c55" xsi:nil="true"/>
    <Wherereferenced xmlns="6ee01a08-9bb3-4510-887c-4508c532eb2e" xsi:nil="true"/>
    <Record_x0020_Number xmlns="f6cfbbfa-3ea0-4d8e-acde-632e83cd9c55">AR-01742</Record_x0020_Number>
    <_dlc_DocIdPersistId xmlns="f6cfbbfa-3ea0-4d8e-acde-632e83cd9c55" xsi:nil="true"/>
    <Uploadedby xmlns="6ee01a08-9bb3-4510-887c-4508c532eb2e">Alex Fife</Uploadedby>
    <GDA_x0020_RP_x0020_Assigned_x0020_Export_x0020_Control xmlns="f6cfbbfa-3ea0-4d8e-acde-632e83cd9c55" xsi:nil="true"/>
    <Versioncontrol xmlns="6ee01a08-9bb3-4510-887c-4508c532eb2e" xsi:nil="true"/>
    <GDA_x0020_Topics xmlns="f6cfbbfa-3ea0-4d8e-acde-632e83cd9c55" xsi:nil="true"/>
    <Division xmlns="f6cfbbfa-3ea0-4d8e-acde-632e83cd9c55" xsi:nil="true"/>
    <Classification xmlns="6ee01a08-9bb3-4510-887c-4508c532eb2e" xsi:nil="true"/>
    <Subdivision xmlns="f6cfbbfa-3ea0-4d8e-acde-632e83cd9c55" xsi:nil="true"/>
    <GDA_x0020_Purpose xmlns="f6cfbbfa-3ea0-4d8e-acde-632e83cd9c55" xsi:nil="true"/>
    <Dutyholder xmlns="f6cfbbfa-3ea0-4d8e-acde-632e83cd9c55">GE Hitachi</Dutyholder>
    <lcf76f155ced4ddcb4097134ff3c332f xmlns="6ee01a08-9bb3-4510-887c-4508c532eb2e">
      <Terms xmlns="http://schemas.microsoft.com/office/infopath/2007/PartnerControls"/>
    </lcf76f155ced4ddcb4097134ff3c332f>
    <Document_x0020_Status xmlns="f6cfbbfa-3ea0-4d8e-acde-632e83cd9c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D813B9BA5F84C8E4BDD131736DF68" ma:contentTypeVersion="37" ma:contentTypeDescription="Create a new document." ma:contentTypeScope="" ma:versionID="c2396e52c4afa4323ca1247c07d070cc">
  <xsd:schema xmlns:xsd="http://www.w3.org/2001/XMLSchema" xmlns:xs="http://www.w3.org/2001/XMLSchema" xmlns:p="http://schemas.microsoft.com/office/2006/metadata/properties" xmlns:ns2="f6cfbbfa-3ea0-4d8e-acde-632e83cd9c55" xmlns:ns3="6ee01a08-9bb3-4510-887c-4508c532eb2e" targetNamespace="http://schemas.microsoft.com/office/2006/metadata/properties" ma:root="true" ma:fieldsID="b60ee0e6b280aeafac177c12c7b2845e" ns2:_="" ns3:_="">
    <xsd:import namespace="f6cfbbfa-3ea0-4d8e-acde-632e83cd9c55"/>
    <xsd:import namespace="6ee01a08-9bb3-4510-887c-4508c532eb2e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Document_x0020_Type" minOccurs="0"/>
                <xsd:element ref="ns2:Dutyholder" minOccurs="0"/>
                <xsd:element ref="ns2:External_x0020_Reference" minOccurs="0"/>
                <xsd:element ref="ns2:Record_x0020_Number" minOccurs="0"/>
                <xsd:element ref="ns2:Site" minOccurs="0"/>
                <xsd:element ref="ns3:_Flow_SignoffStatus" minOccurs="0"/>
                <xsd:element ref="ns2:Division" minOccurs="0"/>
                <xsd:element ref="ns2:External_x0020_Revision" minOccurs="0"/>
                <xsd:element ref="ns2:Subdivision" minOccurs="0"/>
                <xsd:element ref="ns2:_dlc_Doc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_dlc_DocIdPersistId" minOccurs="0"/>
                <xsd:element ref="ns2:SharedWithUsers" minOccurs="0"/>
                <xsd:element ref="ns2:SharedWithDetails" minOccurs="0"/>
                <xsd:element ref="ns2:GDA_x0020_Purpose" minOccurs="0"/>
                <xsd:element ref="ns2:GDA_x0020_RP_x0020_Assigned_x0020_Export_x0020_Control" minOccurs="0"/>
                <xsd:element ref="ns2:GDA_x0020_Tier" minOccurs="0"/>
                <xsd:element ref="ns3:MediaServiceObjectDetectorVersions" minOccurs="0"/>
                <xsd:element ref="ns3:Versioncontrol" minOccurs="0"/>
                <xsd:element ref="ns3:Category" minOccurs="0"/>
                <xsd:element ref="ns3:Wherereferenced" minOccurs="0"/>
                <xsd:element ref="ns3:MediaServiceDateTaken" minOccurs="0"/>
                <xsd:element ref="ns3:MediaServiceSearchProperties" minOccurs="0"/>
                <xsd:element ref="ns2:GDA_x0020_Topics" minOccurs="0"/>
                <xsd:element ref="ns3:Uploadedby" minOccurs="0"/>
                <xsd:element ref="ns3:Classification" minOccurs="0"/>
                <xsd:element ref="ns3:MediaServiceLocation" minOccurs="0"/>
                <xsd:element ref="ns3:MediaLengthInSeconds" minOccurs="0"/>
                <xsd:element ref="ns2:Document_x0020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bbfa-3ea0-4d8e-acde-632e83cd9c55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3" nillable="true" ma:displayName="Document Type" ma:format="Dropdown" ma:internalName="Document_x0020_Type">
      <xsd:simpleType>
        <xsd:restriction base="dms:Choice">
          <xsd:enumeration value="Agenda"/>
          <xsd:enumeration value="Decision Justification Report"/>
          <xsd:enumeration value="CR Contact report"/>
          <xsd:enumeration value="Request"/>
          <xsd:enumeration value="Decision Communication"/>
          <xsd:enumeration value="Independent Checksheet"/>
          <xsd:enumeration value="Dutyholder Request Document"/>
          <xsd:enumeration value="Dutyholder Supporting Document"/>
          <xsd:enumeration value="Email"/>
          <xsd:enumeration value="Letters in"/>
          <xsd:enumeration value="Letters out"/>
          <xsd:enumeration value="Minutes"/>
          <xsd:enumeration value="Presentation"/>
          <xsd:enumeration value="RNIP"/>
          <xsd:enumeration value="Other"/>
        </xsd:restriction>
      </xsd:simpleType>
    </xsd:element>
    <xsd:element name="Dutyholder" ma:index="4" nillable="true" ma:displayName="Dutyholder" ma:default="" ma:internalName="Dutyholder" ma:readOnly="false">
      <xsd:simpleType>
        <xsd:restriction base="dms:Text">
          <xsd:maxLength value="255"/>
        </xsd:restriction>
      </xsd:simpleType>
    </xsd:element>
    <xsd:element name="External_x0020_Reference" ma:index="5" nillable="true" ma:displayName="External Reference" ma:default="" ma:internalName="External_x0020_Reference" ma:readOnly="false">
      <xsd:simpleType>
        <xsd:restriction base="dms:Text">
          <xsd:maxLength value="255"/>
        </xsd:restriction>
      </xsd:simpleType>
    </xsd:element>
    <xsd:element name="Record_x0020_Number" ma:index="6" nillable="true" ma:displayName="Record Number" ma:default="" ma:internalName="Record_x0020_Number" ma:readOnly="false">
      <xsd:simpleType>
        <xsd:restriction base="dms:Text">
          <xsd:maxLength value="255"/>
        </xsd:restriction>
      </xsd:simpleType>
    </xsd:element>
    <xsd:element name="Site" ma:index="7" nillable="true" ma:displayName="Site" ma:default="" ma:internalName="Site" ma:readOnly="false">
      <xsd:simpleType>
        <xsd:restriction base="dms:Text">
          <xsd:maxLength value="255"/>
        </xsd:restriction>
      </xsd:simpleType>
    </xsd:element>
    <xsd:element name="Division" ma:index="11" nillable="true" ma:displayName="Division" ma:default="" ma:internalName="Division" ma:readOnly="false">
      <xsd:simpleType>
        <xsd:restriction base="dms:Text">
          <xsd:maxLength value="255"/>
        </xsd:restriction>
      </xsd:simpleType>
    </xsd:element>
    <xsd:element name="External_x0020_Revision" ma:index="12" nillable="true" ma:displayName="External Revision" ma:default="" ma:internalName="External_x0020_Revision" ma:readOnly="false">
      <xsd:simpleType>
        <xsd:restriction base="dms:Text">
          <xsd:maxLength value="255"/>
        </xsd:restriction>
      </xsd:simpleType>
    </xsd:element>
    <xsd:element name="Subdivision" ma:index="13" nillable="true" ma:displayName="Subdivision" ma:default="" ma:internalName="Subdivision" ma:readOnly="false">
      <xsd:simpleType>
        <xsd:restriction base="dms:Text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TaxCatchAll" ma:index="21" nillable="true" ma:displayName="Taxonomy Catch All Column" ma:hidden="true" ma:list="{5a01dc95-145a-442e-a4dc-738a02de2e92}" ma:internalName="TaxCatchAll" ma:readOnly="false" ma:showField="CatchAllData" ma:web="f6cfbbfa-3ea0-4d8e-acde-632e83cd9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hidden="true" ma:internalName="SharedWithDetails" ma:readOnly="true">
      <xsd:simpleType>
        <xsd:restriction base="dms:Note"/>
      </xsd:simpleType>
    </xsd:element>
    <xsd:element name="GDA_x0020_Purpose" ma:index="28" nillable="true" ma:displayName="GDA Purpose" ma:format="Dropdown" ma:hidden="true" ma:internalName="GDA_x0020_Purpose">
      <xsd:simpleType>
        <xsd:restriction base="dms:Choice">
          <xsd:enumeration value="Project"/>
          <xsd:enumeration value="Safety"/>
          <xsd:enumeration value="Security"/>
          <xsd:enumeration value="Safeguards"/>
          <xsd:enumeration value="Environment or General"/>
          <xsd:enumeration value="N/A"/>
        </xsd:restriction>
      </xsd:simpleType>
    </xsd:element>
    <xsd:element name="GDA_x0020_RP_x0020_Assigned_x0020_Export_x0020_Control" ma:index="29" nillable="true" ma:displayName="GDA RP Assigned Export Control" ma:default="" ma:hidden="true" ma:internalName="GDA_x0020_RP_x0020_Assigned_x0020_Export_x0020_Control" ma:readOnly="false">
      <xsd:simpleType>
        <xsd:restriction base="dms:Text">
          <xsd:maxLength value="255"/>
        </xsd:restriction>
      </xsd:simpleType>
    </xsd:element>
    <xsd:element name="GDA_x0020_Tier" ma:index="30" nillable="true" ma:displayName="GDA Tier" ma:format="Dropdown" ma:hidden="true" ma:internalName="GDA_x0020_Tier">
      <xsd:simpleType>
        <xsd:restriction base="dms:Choice">
          <xsd:enumeration value="1"/>
          <xsd:enumeration value="2"/>
          <xsd:enumeration value="3"/>
          <xsd:enumeration value="4"/>
          <xsd:enumeration value="N/A"/>
        </xsd:restriction>
      </xsd:simpleType>
    </xsd:element>
    <xsd:element name="GDA_x0020_Topics" ma:index="40" nillable="true" ma:displayName="GDA Topics" ma:internalName="GDA_x0020_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ault Studies"/>
                    <xsd:enumeration value="Severe Accident Analysis (SAA)"/>
                    <xsd:enumeration value="Probabilistic Safety Analysis (PSA)"/>
                    <xsd:enumeration value="Fuel and Core"/>
                    <xsd:enumeration value="Internal Hazards"/>
                    <xsd:enumeration value="Human Factors"/>
                    <xsd:enumeration value="Electrical Engineering"/>
                    <xsd:enumeration value="Control and Instrumentation"/>
                    <xsd:enumeration value="External Hazards"/>
                    <xsd:enumeration value="Quality Assurance (MSQA)"/>
                    <xsd:enumeration value="Chemistry"/>
                    <xsd:enumeration value="Safeguards"/>
                    <xsd:enumeration value="Physical Security"/>
                    <xsd:enumeration value="Cyber Security &amp; Information Security"/>
                    <xsd:enumeration value="Sabotage and Target Analysis Review (STAR)"/>
                    <xsd:enumeration value="Fire Safety"/>
                    <xsd:enumeration value="Conventional Safety"/>
                    <xsd:enumeration value="Nuclear Liabilities"/>
                    <xsd:enumeration value="Radiological Consequences"/>
                    <xsd:enumeration value="Radiological Protection &amp; Criticality"/>
                    <xsd:enumeration value="Mechanical Engineering"/>
                    <xsd:enumeration value="Structural Engineering"/>
                    <xsd:enumeration value="Civil Engineering"/>
                    <xsd:enumeration value="Project"/>
                    <xsd:enumeration value="Environmen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Document_x0020_Status" ma:index="45" nillable="true" ma:displayName="Document Status" ma:format="Dropdown" ma:internalName="Document_x0020_Status">
      <xsd:simpleType>
        <xsd:restriction base="dms:Choice">
          <xsd:enumeration value="N/A"/>
          <xsd:enumeration value="Draft"/>
          <xsd:enumeration value="In Review"/>
          <xsd:enumeration value="Pending Approval"/>
          <xsd:enumeration value="Approved"/>
          <xsd:enumeration value="Final"/>
          <xsd:enumeration value="Superseded"/>
          <xsd:enumeration value="Withdraw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01a08-9bb3-4510-887c-4508c532eb2e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0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6693000-3e12-4b44-a742-9a2ba35b7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ersioncontrol" ma:index="35" nillable="true" ma:displayName="Version control" ma:format="Dropdown" ma:internalName="Versioncontrol">
      <xsd:simpleType>
        <xsd:restriction base="dms:Text">
          <xsd:maxLength value="255"/>
        </xsd:restriction>
      </xsd:simpleType>
    </xsd:element>
    <xsd:element name="Category" ma:index="36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Wherereferenced" ma:index="37" nillable="true" ma:displayName="Where referenced" ma:format="Dropdown" ma:internalName="Wherereferenced">
      <xsd:simpleType>
        <xsd:restriction base="dms:Text">
          <xsd:maxLength value="255"/>
        </xsd:restriction>
      </xsd:simple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ploadedby" ma:index="41" nillable="true" ma:displayName="Uploaded by" ma:format="Dropdown" ma:internalName="Uploadedby">
      <xsd:simpleType>
        <xsd:restriction base="dms:Text">
          <xsd:maxLength value="255"/>
        </xsd:restriction>
      </xsd:simpleType>
    </xsd:element>
    <xsd:element name="Classification" ma:index="42" nillable="true" ma:displayName="Classification" ma:format="Dropdown" ma:internalName="Classification">
      <xsd:simpleType>
        <xsd:restriction base="dms:Choice">
          <xsd:enumeration value="Official"/>
          <xsd:enumeration value="Official-Sensitive"/>
          <xsd:enumeration value="Official-Sensitive: SNI"/>
          <xsd:enumeration value="Official-Sensitive: Commercial"/>
          <xsd:enumeration value="Externally-Marked"/>
          <xsd:enumeration value="Official-Sensitive: Export Control"/>
          <xsd:enumeration value="Official-Sensitive: Export Control - Commercial"/>
          <xsd:enumeration value="Official-Sensitive: Export Controlled - SNI"/>
        </xsd:restriction>
      </xsd:simpleType>
    </xsd:element>
    <xsd:element name="MediaServiceLocation" ma:index="4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CFC80CF-4684-40D0-8E8F-1216B2034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5780F-2889-4DD7-8F85-E0FC5CD85289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ee01a08-9bb3-4510-887c-4508c532eb2e"/>
    <ds:schemaRef ds:uri="f6cfbbfa-3ea0-4d8e-acde-632e83cd9c5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9E0A575-9853-41D7-8BCA-572C9CA63D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175C2B-B392-4203-98F4-3F5367530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fbbfa-3ea0-4d8e-acde-632e83cd9c55"/>
    <ds:schemaRef ds:uri="6ee01a08-9bb3-4510-887c-4508c532e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7249D3-5E4B-465F-93AF-46D391F33B5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8543</Characters>
  <Application>Microsoft Office Word</Application>
  <DocSecurity>0</DocSecurity>
  <Lines>71</Lines>
  <Paragraphs>20</Paragraphs>
  <ScaleCrop>false</ScaleCrop>
  <Company>Health and Safety Executive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 Regulatory Observation</dc:title>
  <dc:subject/>
  <cp:keywords/>
  <dc:description/>
  <cp:revision>3</cp:revision>
  <cp:lastPrinted>2017-10-03T02:43:00Z</cp:lastPrinted>
  <dcterms:created xsi:type="dcterms:W3CDTF">2025-10-02T12:37:00Z</dcterms:created>
  <dcterms:modified xsi:type="dcterms:W3CDTF">2025-10-02T12:37:00Z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0x0101002BFD813B9BA5F84C8E4BDD131736DF68</vt:lpwstr>
  </property>
  <property fmtid="{D5CDD505-2E9C-101B-9397-08002B2CF9AE}" pid="4" name="_dlc_DocIdItemGuid">
    <vt:lpwstr>7a5061a7-341f-42c5-8d8e-f9929757bb61</vt:lpwstr>
  </property>
  <property fmtid="{D5CDD505-2E9C-101B-9397-08002B2CF9AE}" pid="5" name="BCS1">
    <vt:lpwstr>10;#4.4.1 Safety Reports/Cases: Assessment|7500dff8-3c6d-475f-a6b6-75de36a7fde4</vt:lpwstr>
  </property>
  <property fmtid="{D5CDD505-2E9C-101B-9397-08002B2CF9AE}" pid="6" name="MSIP_Label_9e5e003a-90eb-47c9-a506-ad47e7a0b281_Enabled">
    <vt:lpwstr>true</vt:lpwstr>
  </property>
  <property fmtid="{D5CDD505-2E9C-101B-9397-08002B2CF9AE}" pid="7" name="MSIP_Label_9e5e003a-90eb-47c9-a506-ad47e7a0b281_SetDate">
    <vt:lpwstr>2022-07-01T09:29:12Z</vt:lpwstr>
  </property>
  <property fmtid="{D5CDD505-2E9C-101B-9397-08002B2CF9AE}" pid="8" name="MSIP_Label_9e5e003a-90eb-47c9-a506-ad47e7a0b281_Method">
    <vt:lpwstr>Privileged</vt:lpwstr>
  </property>
  <property fmtid="{D5CDD505-2E9C-101B-9397-08002B2CF9AE}" pid="9" name="MSIP_Label_9e5e003a-90eb-47c9-a506-ad47e7a0b281_Name">
    <vt:lpwstr>OFFICIAL</vt:lpwstr>
  </property>
  <property fmtid="{D5CDD505-2E9C-101B-9397-08002B2CF9AE}" pid="10" name="MSIP_Label_9e5e003a-90eb-47c9-a506-ad47e7a0b281_SiteId">
    <vt:lpwstr>742775df-8077-48d6-81d0-1e82a1f52cb8</vt:lpwstr>
  </property>
  <property fmtid="{D5CDD505-2E9C-101B-9397-08002B2CF9AE}" pid="11" name="MSIP_Label_9e5e003a-90eb-47c9-a506-ad47e7a0b281_ActionId">
    <vt:lpwstr>23638b36-612a-40f8-bb73-956cbf377e51</vt:lpwstr>
  </property>
  <property fmtid="{D5CDD505-2E9C-101B-9397-08002B2CF9AE}" pid="12" name="MSIP_Label_9e5e003a-90eb-47c9-a506-ad47e7a0b281_ContentBits">
    <vt:lpwstr>0</vt:lpwstr>
  </property>
  <property fmtid="{D5CDD505-2E9C-101B-9397-08002B2CF9AE}" pid="13" name="ClassificationContentMarkingHeaderShapeIds">
    <vt:lpwstr>31c0d79c,4bc935ab,22da45a6</vt:lpwstr>
  </property>
  <property fmtid="{D5CDD505-2E9C-101B-9397-08002B2CF9AE}" pid="14" name="ClassificationContentMarkingHeaderFontProps">
    <vt:lpwstr>#000000,10,Calibri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612f264b,56004404,51207928</vt:lpwstr>
  </property>
  <property fmtid="{D5CDD505-2E9C-101B-9397-08002B2CF9AE}" pid="17" name="ClassificationContentMarkingFooterFontProps">
    <vt:lpwstr>#000000,10,Calibri</vt:lpwstr>
  </property>
  <property fmtid="{D5CDD505-2E9C-101B-9397-08002B2CF9AE}" pid="18" name="ClassificationContentMarkingFooterText">
    <vt:lpwstr>OFFICIAL</vt:lpwstr>
  </property>
  <property fmtid="{D5CDD505-2E9C-101B-9397-08002B2CF9AE}" pid="19" name="MSIP_Label_5096e671-d5b9-42e4-9ead-276a76647837_Enabled">
    <vt:lpwstr>true</vt:lpwstr>
  </property>
  <property fmtid="{D5CDD505-2E9C-101B-9397-08002B2CF9AE}" pid="20" name="MSIP_Label_5096e671-d5b9-42e4-9ead-276a76647837_SetDate">
    <vt:lpwstr>2025-06-19T10:54:13Z</vt:lpwstr>
  </property>
  <property fmtid="{D5CDD505-2E9C-101B-9397-08002B2CF9AE}" pid="21" name="MSIP_Label_5096e671-d5b9-42e4-9ead-276a76647837_Method">
    <vt:lpwstr>Privileged</vt:lpwstr>
  </property>
  <property fmtid="{D5CDD505-2E9C-101B-9397-08002B2CF9AE}" pid="22" name="MSIP_Label_5096e671-d5b9-42e4-9ead-276a76647837_Name">
    <vt:lpwstr>UK-Official</vt:lpwstr>
  </property>
  <property fmtid="{D5CDD505-2E9C-101B-9397-08002B2CF9AE}" pid="23" name="MSIP_Label_5096e671-d5b9-42e4-9ead-276a76647837_SiteId">
    <vt:lpwstr>c35286b9-d1b3-4008-9a9f-f2005aaaaa30</vt:lpwstr>
  </property>
  <property fmtid="{D5CDD505-2E9C-101B-9397-08002B2CF9AE}" pid="24" name="MSIP_Label_5096e671-d5b9-42e4-9ead-276a76647837_ActionId">
    <vt:lpwstr>5ec233fe-ba5d-44a0-8bd3-f08260ce1ea6</vt:lpwstr>
  </property>
  <property fmtid="{D5CDD505-2E9C-101B-9397-08002B2CF9AE}" pid="25" name="MSIP_Label_5096e671-d5b9-42e4-9ead-276a76647837_ContentBits">
    <vt:lpwstr>3</vt:lpwstr>
  </property>
  <property fmtid="{D5CDD505-2E9C-101B-9397-08002B2CF9AE}" pid="26" name="MSIP_Label_5096e671-d5b9-42e4-9ead-276a76647837_Tag">
    <vt:lpwstr>10, 0, 1, 1</vt:lpwstr>
  </property>
  <property fmtid="{D5CDD505-2E9C-101B-9397-08002B2CF9AE}" pid="27" name="MediaServiceImageTags">
    <vt:lpwstr/>
  </property>
</Properties>
</file>