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584BEF" w14:paraId="6C65111E" w14:textId="77777777" w:rsidTr="00881B6F">
        <w:trPr>
          <w:trHeight w:val="1162"/>
        </w:trPr>
        <w:tc>
          <w:tcPr>
            <w:tcW w:w="9156" w:type="dxa"/>
            <w:tcBorders>
              <w:bottom w:val="single" w:sz="24" w:space="0" w:color="22413A"/>
            </w:tcBorders>
          </w:tcPr>
          <w:p w14:paraId="35C1F1C6" w14:textId="77777777" w:rsidR="00C20562" w:rsidRPr="00584BEF" w:rsidRDefault="00C20562" w:rsidP="00323E71">
            <w:bookmarkStart w:id="0" w:name="_Toc466022543"/>
          </w:p>
        </w:tc>
      </w:tr>
      <w:tr w:rsidR="00D0226A" w:rsidRPr="00D04502"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32CDB2" w:rsidR="00595C8C" w:rsidRPr="00D04502" w:rsidRDefault="00595C8C" w:rsidP="00595C8C">
            <w:pPr>
              <w:pStyle w:val="InnerCoverTitle"/>
              <w:rPr>
                <w:sz w:val="36"/>
                <w:szCs w:val="36"/>
              </w:rPr>
            </w:pPr>
            <w:r w:rsidRPr="00D04502">
              <w:rPr>
                <w:sz w:val="36"/>
                <w:szCs w:val="36"/>
              </w:rPr>
              <w:t xml:space="preserve">ONR </w:t>
            </w:r>
            <w:r w:rsidR="000950B3" w:rsidRPr="00D04502">
              <w:rPr>
                <w:sz w:val="36"/>
                <w:szCs w:val="36"/>
              </w:rPr>
              <w:t>Technical Assessment Guide</w:t>
            </w:r>
          </w:p>
          <w:p w14:paraId="7C4EA414" w14:textId="50633DFF" w:rsidR="00D0226A" w:rsidRPr="00D04502" w:rsidRDefault="00B17BEB" w:rsidP="001E03E1">
            <w:pPr>
              <w:pStyle w:val="CoverTitle"/>
              <w:rPr>
                <w:szCs w:val="90"/>
              </w:rPr>
            </w:pPr>
            <w:sdt>
              <w:sdtPr>
                <w:rPr>
                  <w:sz w:val="52"/>
                  <w:szCs w:val="52"/>
                </w:rPr>
                <w:id w:val="1228188510"/>
                <w:placeholder>
                  <w:docPart w:val="DefaultPlaceholder_-1854013440"/>
                </w:placeholder>
              </w:sdtPr>
              <w:sdtEndPr>
                <w:rPr>
                  <w:sz w:val="72"/>
                  <w:szCs w:val="72"/>
                </w:rPr>
              </w:sdtEndPr>
              <w:sdtContent>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C1C1E">
                      <w:rPr>
                        <w:sz w:val="52"/>
                        <w:szCs w:val="52"/>
                      </w:rPr>
                      <w:t>Civil engineering</w:t>
                    </w:r>
                    <w:r w:rsidR="007C2E13" w:rsidRPr="00D04502">
                      <w:rPr>
                        <w:sz w:val="52"/>
                        <w:szCs w:val="52"/>
                      </w:rPr>
                      <w:t xml:space="preserve"> </w:t>
                    </w:r>
                    <w:r w:rsidR="00CC1C1E">
                      <w:rPr>
                        <w:sz w:val="52"/>
                        <w:szCs w:val="52"/>
                      </w:rPr>
                      <w:t>(</w:t>
                    </w:r>
                    <w:r w:rsidR="007C2E13" w:rsidRPr="00D04502">
                      <w:rPr>
                        <w:sz w:val="52"/>
                        <w:szCs w:val="52"/>
                      </w:rPr>
                      <w:t>Annex 3</w:t>
                    </w:r>
                    <w:r w:rsidR="00CC1C1E">
                      <w:rPr>
                        <w:sz w:val="52"/>
                        <w:szCs w:val="52"/>
                      </w:rPr>
                      <w:t>)</w:t>
                    </w:r>
                    <w:r w:rsidR="007C2E13" w:rsidRPr="00D04502">
                      <w:rPr>
                        <w:sz w:val="52"/>
                        <w:szCs w:val="52"/>
                      </w:rPr>
                      <w:t xml:space="preserve"> – </w:t>
                    </w:r>
                    <w:r w:rsidR="00E81CE9" w:rsidRPr="00D04502">
                      <w:rPr>
                        <w:sz w:val="52"/>
                        <w:szCs w:val="52"/>
                      </w:rPr>
                      <w:t xml:space="preserve">Ground </w:t>
                    </w:r>
                    <w:r w:rsidR="00CC1C1E">
                      <w:rPr>
                        <w:sz w:val="52"/>
                        <w:szCs w:val="52"/>
                      </w:rPr>
                      <w:t>e</w:t>
                    </w:r>
                    <w:r w:rsidR="00E81CE9" w:rsidRPr="00D04502">
                      <w:rPr>
                        <w:sz w:val="52"/>
                        <w:szCs w:val="52"/>
                      </w:rPr>
                      <w:t xml:space="preserve">ngineering, </w:t>
                    </w:r>
                    <w:r w:rsidR="00CC1C1E">
                      <w:rPr>
                        <w:sz w:val="52"/>
                        <w:szCs w:val="52"/>
                      </w:rPr>
                      <w:t>g</w:t>
                    </w:r>
                    <w:r w:rsidR="00E81CE9" w:rsidRPr="00D04502">
                      <w:rPr>
                        <w:sz w:val="52"/>
                        <w:szCs w:val="52"/>
                      </w:rPr>
                      <w:t xml:space="preserve">eotechnics and </w:t>
                    </w:r>
                    <w:r w:rsidR="00CC1C1E">
                      <w:rPr>
                        <w:sz w:val="52"/>
                        <w:szCs w:val="52"/>
                      </w:rPr>
                      <w:t>u</w:t>
                    </w:r>
                    <w:r w:rsidR="00E81CE9" w:rsidRPr="00D04502">
                      <w:rPr>
                        <w:sz w:val="52"/>
                        <w:szCs w:val="52"/>
                      </w:rPr>
                      <w:t xml:space="preserve">nderground </w:t>
                    </w:r>
                    <w:r w:rsidR="00CC1C1E">
                      <w:rPr>
                        <w:sz w:val="52"/>
                        <w:szCs w:val="52"/>
                      </w:rPr>
                      <w:t>s</w:t>
                    </w:r>
                    <w:r w:rsidR="00E81CE9" w:rsidRPr="00D04502">
                      <w:rPr>
                        <w:sz w:val="52"/>
                        <w:szCs w:val="52"/>
                      </w:rPr>
                      <w:t>tructure</w:t>
                    </w:r>
                    <w:r w:rsidR="00683203" w:rsidRPr="00D04502">
                      <w:rPr>
                        <w:sz w:val="52"/>
                        <w:szCs w:val="52"/>
                      </w:rPr>
                      <w:t>s</w:t>
                    </w:r>
                  </w:sdtContent>
                </w:sdt>
              </w:sdtContent>
            </w:sdt>
          </w:p>
        </w:tc>
      </w:tr>
    </w:tbl>
    <w:p w14:paraId="56A09D10" w14:textId="77777777" w:rsidR="00D0226A" w:rsidRPr="00D04502" w:rsidRDefault="00D0226A">
      <w:pPr>
        <w:spacing w:after="0"/>
      </w:pPr>
    </w:p>
    <w:p w14:paraId="6AB6425B" w14:textId="77777777" w:rsidR="00D0226A" w:rsidRPr="00D04502" w:rsidRDefault="00881B6F">
      <w:pPr>
        <w:spacing w:after="0"/>
      </w:pPr>
      <w:r w:rsidRPr="00D04502">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D04502" w:rsidRDefault="00267815">
      <w:pPr>
        <w:spacing w:after="0"/>
      </w:pPr>
      <w:r w:rsidRPr="00D04502">
        <w:br w:type="page"/>
      </w:r>
    </w:p>
    <w:p w14:paraId="1FDB4B56" w14:textId="6C10B266" w:rsidR="00595C8C" w:rsidRPr="00D04502" w:rsidRDefault="00595C8C" w:rsidP="00323E71">
      <w:pPr>
        <w:sectPr w:rsidR="00595C8C" w:rsidRPr="00D04502" w:rsidSect="000B2BCD">
          <w:headerReference w:type="default" r:id="rId15"/>
          <w:footerReference w:type="default" r:id="rId16"/>
          <w:pgSz w:w="11906" w:h="16838" w:code="9"/>
          <w:pgMar w:top="1440" w:right="1440" w:bottom="1440" w:left="1440" w:header="397" w:footer="397" w:gutter="0"/>
          <w:cols w:space="312"/>
          <w:titlePg/>
          <w:docGrid w:linePitch="360"/>
        </w:sectPr>
      </w:pPr>
    </w:p>
    <w:p w14:paraId="5EB00F09" w14:textId="331EF05D" w:rsidR="0055125E" w:rsidRPr="00D04502" w:rsidRDefault="0055125E" w:rsidP="000569F9">
      <w:pPr>
        <w:rPr>
          <w:sz w:val="48"/>
          <w:szCs w:val="48"/>
        </w:rPr>
      </w:pPr>
      <w:r w:rsidRPr="00D04502">
        <w:rPr>
          <w:sz w:val="48"/>
          <w:szCs w:val="48"/>
        </w:rPr>
        <w:lastRenderedPageBreak/>
        <w:t>Contents</w:t>
      </w:r>
    </w:p>
    <w:sdt>
      <w:sdtPr>
        <w:rPr>
          <w:rFonts w:ascii="Arial" w:eastAsia="Calibri" w:hAnsi="Arial" w:cs="Arial"/>
          <w:color w:val="auto"/>
          <w:sz w:val="24"/>
          <w:szCs w:val="22"/>
          <w:lang w:val="en-GB" w:bidi="he-IL"/>
        </w:rPr>
        <w:id w:val="-1313008142"/>
        <w:docPartObj>
          <w:docPartGallery w:val="Table of Contents"/>
          <w:docPartUnique/>
        </w:docPartObj>
      </w:sdtPr>
      <w:sdtEndPr>
        <w:rPr>
          <w:b/>
          <w:bCs/>
          <w:szCs w:val="24"/>
        </w:rPr>
      </w:sdtEndPr>
      <w:sdtContent>
        <w:p w14:paraId="3F6788D7" w14:textId="7234C782" w:rsidR="00AF1648" w:rsidRPr="00D04502" w:rsidRDefault="00AF1648" w:rsidP="000569F9">
          <w:pPr>
            <w:pStyle w:val="TOCHeading"/>
            <w:numPr>
              <w:ilvl w:val="0"/>
              <w:numId w:val="0"/>
            </w:numPr>
            <w:ind w:left="1070"/>
          </w:pPr>
        </w:p>
        <w:p w14:paraId="6A931499" w14:textId="7955D75E" w:rsidR="00ED39DF" w:rsidRDefault="007153CA">
          <w:pPr>
            <w:pStyle w:val="TOC1"/>
            <w:tabs>
              <w:tab w:val="left" w:pos="720"/>
            </w:tabs>
            <w:rPr>
              <w:rFonts w:asciiTheme="minorHAnsi" w:eastAsiaTheme="minorEastAsia" w:hAnsiTheme="minorHAnsi" w:cstheme="minorBidi"/>
              <w:kern w:val="2"/>
              <w:szCs w:val="24"/>
              <w:lang w:eastAsia="en-GB" w:bidi="ar-SA"/>
              <w14:ligatures w14:val="standardContextual"/>
            </w:rPr>
          </w:pPr>
          <w:r w:rsidRPr="00D04502">
            <w:fldChar w:fldCharType="begin"/>
          </w:r>
          <w:r w:rsidRPr="00D04502">
            <w:instrText xml:space="preserve"> TOC \o "1-1" \h \z \u </w:instrText>
          </w:r>
          <w:r w:rsidRPr="00D04502">
            <w:fldChar w:fldCharType="separate"/>
          </w:r>
          <w:hyperlink w:anchor="_Toc234832901" w:history="1">
            <w:r w:rsidR="00ED39DF" w:rsidRPr="00A81A5D">
              <w:rPr>
                <w:rStyle w:val="Hyperlink"/>
              </w:rPr>
              <w:t>1.</w:t>
            </w:r>
            <w:r w:rsidR="00ED39DF">
              <w:rPr>
                <w:rFonts w:asciiTheme="minorHAnsi" w:eastAsiaTheme="minorEastAsia" w:hAnsiTheme="minorHAnsi" w:cstheme="minorBidi"/>
                <w:kern w:val="2"/>
                <w:szCs w:val="24"/>
                <w:lang w:eastAsia="en-GB" w:bidi="ar-SA"/>
                <w14:ligatures w14:val="standardContextual"/>
              </w:rPr>
              <w:tab/>
            </w:r>
            <w:r w:rsidR="00ED39DF" w:rsidRPr="00A81A5D">
              <w:rPr>
                <w:rStyle w:val="Hyperlink"/>
              </w:rPr>
              <w:t>Introduction</w:t>
            </w:r>
            <w:r w:rsidR="00ED39DF">
              <w:rPr>
                <w:webHidden/>
              </w:rPr>
              <w:tab/>
            </w:r>
            <w:r w:rsidR="00ED39DF">
              <w:rPr>
                <w:webHidden/>
              </w:rPr>
              <w:fldChar w:fldCharType="begin"/>
            </w:r>
            <w:r w:rsidR="00ED39DF">
              <w:rPr>
                <w:webHidden/>
              </w:rPr>
              <w:instrText xml:space="preserve"> PAGEREF _Toc234832901 \h </w:instrText>
            </w:r>
            <w:r w:rsidR="00ED39DF">
              <w:rPr>
                <w:webHidden/>
              </w:rPr>
            </w:r>
            <w:r w:rsidR="00ED39DF">
              <w:rPr>
                <w:webHidden/>
              </w:rPr>
              <w:fldChar w:fldCharType="separate"/>
            </w:r>
            <w:r w:rsidR="00ED39DF">
              <w:rPr>
                <w:webHidden/>
              </w:rPr>
              <w:t>3</w:t>
            </w:r>
            <w:r w:rsidR="00ED39DF">
              <w:rPr>
                <w:webHidden/>
              </w:rPr>
              <w:fldChar w:fldCharType="end"/>
            </w:r>
          </w:hyperlink>
        </w:p>
        <w:p w14:paraId="278A2606" w14:textId="059863FB" w:rsidR="00ED39DF" w:rsidRDefault="00ED39D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2902" w:history="1">
            <w:r w:rsidRPr="00A81A5D">
              <w:rPr>
                <w:rStyle w:val="Hyperlink"/>
              </w:rPr>
              <w:t>2.</w:t>
            </w:r>
            <w:r>
              <w:rPr>
                <w:rFonts w:asciiTheme="minorHAnsi" w:eastAsiaTheme="minorEastAsia" w:hAnsiTheme="minorHAnsi" w:cstheme="minorBidi"/>
                <w:kern w:val="2"/>
                <w:szCs w:val="24"/>
                <w:lang w:eastAsia="en-GB" w:bidi="ar-SA"/>
                <w14:ligatures w14:val="standardContextual"/>
              </w:rPr>
              <w:tab/>
            </w:r>
            <w:r w:rsidRPr="00A81A5D">
              <w:rPr>
                <w:rStyle w:val="Hyperlink"/>
              </w:rPr>
              <w:t>Ground investigation, interpretation and reporting</w:t>
            </w:r>
            <w:r>
              <w:rPr>
                <w:webHidden/>
              </w:rPr>
              <w:tab/>
            </w:r>
            <w:r>
              <w:rPr>
                <w:webHidden/>
              </w:rPr>
              <w:fldChar w:fldCharType="begin"/>
            </w:r>
            <w:r>
              <w:rPr>
                <w:webHidden/>
              </w:rPr>
              <w:instrText xml:space="preserve"> PAGEREF _Toc234832902 \h </w:instrText>
            </w:r>
            <w:r>
              <w:rPr>
                <w:webHidden/>
              </w:rPr>
            </w:r>
            <w:r>
              <w:rPr>
                <w:webHidden/>
              </w:rPr>
              <w:fldChar w:fldCharType="separate"/>
            </w:r>
            <w:r>
              <w:rPr>
                <w:webHidden/>
              </w:rPr>
              <w:t>9</w:t>
            </w:r>
            <w:r>
              <w:rPr>
                <w:webHidden/>
              </w:rPr>
              <w:fldChar w:fldCharType="end"/>
            </w:r>
          </w:hyperlink>
        </w:p>
        <w:p w14:paraId="79E171FE" w14:textId="388B1EBD" w:rsidR="00ED39DF" w:rsidRDefault="00ED39D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2903" w:history="1">
            <w:r w:rsidRPr="00A81A5D">
              <w:rPr>
                <w:rStyle w:val="Hyperlink"/>
              </w:rPr>
              <w:t>3.</w:t>
            </w:r>
            <w:r>
              <w:rPr>
                <w:rFonts w:asciiTheme="minorHAnsi" w:eastAsiaTheme="minorEastAsia" w:hAnsiTheme="minorHAnsi" w:cstheme="minorBidi"/>
                <w:kern w:val="2"/>
                <w:szCs w:val="24"/>
                <w:lang w:eastAsia="en-GB" w:bidi="ar-SA"/>
                <w14:ligatures w14:val="standardContextual"/>
              </w:rPr>
              <w:tab/>
            </w:r>
            <w:r w:rsidRPr="00A81A5D">
              <w:rPr>
                <w:rStyle w:val="Hyperlink"/>
              </w:rPr>
              <w:t>Geotechnical numerical modelling and analysis</w:t>
            </w:r>
            <w:r>
              <w:rPr>
                <w:webHidden/>
              </w:rPr>
              <w:tab/>
            </w:r>
            <w:r>
              <w:rPr>
                <w:webHidden/>
              </w:rPr>
              <w:fldChar w:fldCharType="begin"/>
            </w:r>
            <w:r>
              <w:rPr>
                <w:webHidden/>
              </w:rPr>
              <w:instrText xml:space="preserve"> PAGEREF _Toc234832903 \h </w:instrText>
            </w:r>
            <w:r>
              <w:rPr>
                <w:webHidden/>
              </w:rPr>
            </w:r>
            <w:r>
              <w:rPr>
                <w:webHidden/>
              </w:rPr>
              <w:fldChar w:fldCharType="separate"/>
            </w:r>
            <w:r>
              <w:rPr>
                <w:webHidden/>
              </w:rPr>
              <w:t>21</w:t>
            </w:r>
            <w:r>
              <w:rPr>
                <w:webHidden/>
              </w:rPr>
              <w:fldChar w:fldCharType="end"/>
            </w:r>
          </w:hyperlink>
        </w:p>
        <w:p w14:paraId="58DF17DB" w14:textId="0FA7A513" w:rsidR="00ED39DF" w:rsidRDefault="00ED39D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2904" w:history="1">
            <w:r w:rsidRPr="00A81A5D">
              <w:rPr>
                <w:rStyle w:val="Hyperlink"/>
              </w:rPr>
              <w:t>4.</w:t>
            </w:r>
            <w:r>
              <w:rPr>
                <w:rFonts w:asciiTheme="minorHAnsi" w:eastAsiaTheme="minorEastAsia" w:hAnsiTheme="minorHAnsi" w:cstheme="minorBidi"/>
                <w:kern w:val="2"/>
                <w:szCs w:val="24"/>
                <w:lang w:eastAsia="en-GB" w:bidi="ar-SA"/>
                <w14:ligatures w14:val="standardContextual"/>
              </w:rPr>
              <w:tab/>
            </w:r>
            <w:r w:rsidRPr="00A81A5D">
              <w:rPr>
                <w:rStyle w:val="Hyperlink"/>
              </w:rPr>
              <w:t>Foundations and other sub-surface structures</w:t>
            </w:r>
            <w:r>
              <w:rPr>
                <w:webHidden/>
              </w:rPr>
              <w:tab/>
            </w:r>
            <w:r>
              <w:rPr>
                <w:webHidden/>
              </w:rPr>
              <w:fldChar w:fldCharType="begin"/>
            </w:r>
            <w:r>
              <w:rPr>
                <w:webHidden/>
              </w:rPr>
              <w:instrText xml:space="preserve"> PAGEREF _Toc234832904 \h </w:instrText>
            </w:r>
            <w:r>
              <w:rPr>
                <w:webHidden/>
              </w:rPr>
            </w:r>
            <w:r>
              <w:rPr>
                <w:webHidden/>
              </w:rPr>
              <w:fldChar w:fldCharType="separate"/>
            </w:r>
            <w:r>
              <w:rPr>
                <w:webHidden/>
              </w:rPr>
              <w:t>26</w:t>
            </w:r>
            <w:r>
              <w:rPr>
                <w:webHidden/>
              </w:rPr>
              <w:fldChar w:fldCharType="end"/>
            </w:r>
          </w:hyperlink>
        </w:p>
        <w:p w14:paraId="01A30CB2" w14:textId="6AE36DEC" w:rsidR="00ED39DF" w:rsidRDefault="00ED39D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2905" w:history="1">
            <w:r w:rsidRPr="00A81A5D">
              <w:rPr>
                <w:rStyle w:val="Hyperlink"/>
              </w:rPr>
              <w:t>5.</w:t>
            </w:r>
            <w:r>
              <w:rPr>
                <w:rFonts w:asciiTheme="minorHAnsi" w:eastAsiaTheme="minorEastAsia" w:hAnsiTheme="minorHAnsi" w:cstheme="minorBidi"/>
                <w:kern w:val="2"/>
                <w:szCs w:val="24"/>
                <w:lang w:eastAsia="en-GB" w:bidi="ar-SA"/>
                <w14:ligatures w14:val="standardContextual"/>
              </w:rPr>
              <w:tab/>
            </w:r>
            <w:r w:rsidRPr="00A81A5D">
              <w:rPr>
                <w:rStyle w:val="Hyperlink"/>
              </w:rPr>
              <w:t>Relevant standards and good practice</w:t>
            </w:r>
            <w:r>
              <w:rPr>
                <w:webHidden/>
              </w:rPr>
              <w:tab/>
            </w:r>
            <w:r>
              <w:rPr>
                <w:webHidden/>
              </w:rPr>
              <w:fldChar w:fldCharType="begin"/>
            </w:r>
            <w:r>
              <w:rPr>
                <w:webHidden/>
              </w:rPr>
              <w:instrText xml:space="preserve"> PAGEREF _Toc234832905 \h </w:instrText>
            </w:r>
            <w:r>
              <w:rPr>
                <w:webHidden/>
              </w:rPr>
            </w:r>
            <w:r>
              <w:rPr>
                <w:webHidden/>
              </w:rPr>
              <w:fldChar w:fldCharType="separate"/>
            </w:r>
            <w:r>
              <w:rPr>
                <w:webHidden/>
              </w:rPr>
              <w:t>54</w:t>
            </w:r>
            <w:r>
              <w:rPr>
                <w:webHidden/>
              </w:rPr>
              <w:fldChar w:fldCharType="end"/>
            </w:r>
          </w:hyperlink>
        </w:p>
        <w:p w14:paraId="672ABDDC" w14:textId="4F07B90A" w:rsidR="00ED39DF" w:rsidRDefault="00ED39DF">
          <w:pPr>
            <w:pStyle w:val="TOC1"/>
            <w:rPr>
              <w:rFonts w:asciiTheme="minorHAnsi" w:eastAsiaTheme="minorEastAsia" w:hAnsiTheme="minorHAnsi" w:cstheme="minorBidi"/>
              <w:kern w:val="2"/>
              <w:szCs w:val="24"/>
              <w:lang w:eastAsia="en-GB" w:bidi="ar-SA"/>
              <w14:ligatures w14:val="standardContextual"/>
            </w:rPr>
          </w:pPr>
          <w:hyperlink w:anchor="_Toc234832906" w:history="1">
            <w:r w:rsidRPr="00A81A5D">
              <w:rPr>
                <w:rStyle w:val="Hyperlink"/>
              </w:rPr>
              <w:t>References</w:t>
            </w:r>
            <w:r>
              <w:rPr>
                <w:webHidden/>
              </w:rPr>
              <w:tab/>
            </w:r>
            <w:r>
              <w:rPr>
                <w:webHidden/>
              </w:rPr>
              <w:fldChar w:fldCharType="begin"/>
            </w:r>
            <w:r>
              <w:rPr>
                <w:webHidden/>
              </w:rPr>
              <w:instrText xml:space="preserve"> PAGEREF _Toc234832906 \h </w:instrText>
            </w:r>
            <w:r>
              <w:rPr>
                <w:webHidden/>
              </w:rPr>
            </w:r>
            <w:r>
              <w:rPr>
                <w:webHidden/>
              </w:rPr>
              <w:fldChar w:fldCharType="separate"/>
            </w:r>
            <w:r>
              <w:rPr>
                <w:webHidden/>
              </w:rPr>
              <w:t>62</w:t>
            </w:r>
            <w:r>
              <w:rPr>
                <w:webHidden/>
              </w:rPr>
              <w:fldChar w:fldCharType="end"/>
            </w:r>
          </w:hyperlink>
        </w:p>
        <w:p w14:paraId="6DC29FC6" w14:textId="59641BCA" w:rsidR="00ED39DF" w:rsidRDefault="00ED39DF">
          <w:pPr>
            <w:pStyle w:val="TOC1"/>
            <w:rPr>
              <w:rFonts w:asciiTheme="minorHAnsi" w:eastAsiaTheme="minorEastAsia" w:hAnsiTheme="minorHAnsi" w:cstheme="minorBidi"/>
              <w:kern w:val="2"/>
              <w:szCs w:val="24"/>
              <w:lang w:eastAsia="en-GB" w:bidi="ar-SA"/>
              <w14:ligatures w14:val="standardContextual"/>
            </w:rPr>
          </w:pPr>
          <w:hyperlink w:anchor="_Toc234832907" w:history="1">
            <w:r w:rsidRPr="00A81A5D">
              <w:rPr>
                <w:rStyle w:val="Hyperlink"/>
              </w:rPr>
              <w:t>List of acronyms, abbreviations and initialisms</w:t>
            </w:r>
            <w:r>
              <w:rPr>
                <w:webHidden/>
              </w:rPr>
              <w:tab/>
            </w:r>
            <w:r>
              <w:rPr>
                <w:webHidden/>
              </w:rPr>
              <w:fldChar w:fldCharType="begin"/>
            </w:r>
            <w:r>
              <w:rPr>
                <w:webHidden/>
              </w:rPr>
              <w:instrText xml:space="preserve"> PAGEREF _Toc234832907 \h </w:instrText>
            </w:r>
            <w:r>
              <w:rPr>
                <w:webHidden/>
              </w:rPr>
            </w:r>
            <w:r>
              <w:rPr>
                <w:webHidden/>
              </w:rPr>
              <w:fldChar w:fldCharType="separate"/>
            </w:r>
            <w:r>
              <w:rPr>
                <w:webHidden/>
              </w:rPr>
              <w:t>65</w:t>
            </w:r>
            <w:r>
              <w:rPr>
                <w:webHidden/>
              </w:rPr>
              <w:fldChar w:fldCharType="end"/>
            </w:r>
          </w:hyperlink>
        </w:p>
        <w:p w14:paraId="5E786816" w14:textId="1FBBF188" w:rsidR="00ED39DF" w:rsidRDefault="00ED39DF">
          <w:pPr>
            <w:pStyle w:val="TOC1"/>
            <w:rPr>
              <w:rFonts w:asciiTheme="minorHAnsi" w:eastAsiaTheme="minorEastAsia" w:hAnsiTheme="minorHAnsi" w:cstheme="minorBidi"/>
              <w:kern w:val="2"/>
              <w:szCs w:val="24"/>
              <w:lang w:eastAsia="en-GB" w:bidi="ar-SA"/>
              <w14:ligatures w14:val="standardContextual"/>
            </w:rPr>
          </w:pPr>
          <w:hyperlink w:anchor="_Toc234832908" w:history="1">
            <w:r w:rsidRPr="00A81A5D">
              <w:rPr>
                <w:rStyle w:val="Hyperlink"/>
              </w:rPr>
              <w:t>Glossary of terms</w:t>
            </w:r>
            <w:r>
              <w:rPr>
                <w:webHidden/>
              </w:rPr>
              <w:tab/>
            </w:r>
            <w:r>
              <w:rPr>
                <w:webHidden/>
              </w:rPr>
              <w:fldChar w:fldCharType="begin"/>
            </w:r>
            <w:r>
              <w:rPr>
                <w:webHidden/>
              </w:rPr>
              <w:instrText xml:space="preserve"> PAGEREF _Toc234832908 \h </w:instrText>
            </w:r>
            <w:r>
              <w:rPr>
                <w:webHidden/>
              </w:rPr>
            </w:r>
            <w:r>
              <w:rPr>
                <w:webHidden/>
              </w:rPr>
              <w:fldChar w:fldCharType="separate"/>
            </w:r>
            <w:r>
              <w:rPr>
                <w:webHidden/>
              </w:rPr>
              <w:t>66</w:t>
            </w:r>
            <w:r>
              <w:rPr>
                <w:webHidden/>
              </w:rPr>
              <w:fldChar w:fldCharType="end"/>
            </w:r>
          </w:hyperlink>
        </w:p>
        <w:p w14:paraId="4C3E0941" w14:textId="5DB2FE37" w:rsidR="00ED39DF" w:rsidRDefault="00ED39DF">
          <w:pPr>
            <w:pStyle w:val="TOC1"/>
            <w:rPr>
              <w:rFonts w:asciiTheme="minorHAnsi" w:eastAsiaTheme="minorEastAsia" w:hAnsiTheme="minorHAnsi" w:cstheme="minorBidi"/>
              <w:kern w:val="2"/>
              <w:szCs w:val="24"/>
              <w:lang w:eastAsia="en-GB" w:bidi="ar-SA"/>
              <w14:ligatures w14:val="standardContextual"/>
            </w:rPr>
          </w:pPr>
          <w:hyperlink w:anchor="_Toc234832909" w:history="1">
            <w:r w:rsidRPr="00A81A5D">
              <w:rPr>
                <w:rStyle w:val="Hyperlink"/>
                <w:lang w:val="fr-FR"/>
              </w:rPr>
              <w:t>Document control information</w:t>
            </w:r>
            <w:r>
              <w:rPr>
                <w:webHidden/>
              </w:rPr>
              <w:tab/>
            </w:r>
            <w:r>
              <w:rPr>
                <w:webHidden/>
              </w:rPr>
              <w:fldChar w:fldCharType="begin"/>
            </w:r>
            <w:r>
              <w:rPr>
                <w:webHidden/>
              </w:rPr>
              <w:instrText xml:space="preserve"> PAGEREF _Toc234832909 \h </w:instrText>
            </w:r>
            <w:r>
              <w:rPr>
                <w:webHidden/>
              </w:rPr>
            </w:r>
            <w:r>
              <w:rPr>
                <w:webHidden/>
              </w:rPr>
              <w:fldChar w:fldCharType="separate"/>
            </w:r>
            <w:r>
              <w:rPr>
                <w:webHidden/>
              </w:rPr>
              <w:t>67</w:t>
            </w:r>
            <w:r>
              <w:rPr>
                <w:webHidden/>
              </w:rPr>
              <w:fldChar w:fldCharType="end"/>
            </w:r>
          </w:hyperlink>
        </w:p>
        <w:p w14:paraId="01F9645F" w14:textId="02F5E6B9" w:rsidR="00AF1648" w:rsidRPr="00D04502" w:rsidRDefault="007153CA">
          <w:r w:rsidRPr="00D04502">
            <w:rPr>
              <w:noProof/>
            </w:rPr>
            <w:fldChar w:fldCharType="end"/>
          </w:r>
        </w:p>
      </w:sdtContent>
    </w:sdt>
    <w:p w14:paraId="3BC6B9B1" w14:textId="254CF585" w:rsidR="007E7114" w:rsidRPr="00D04502" w:rsidRDefault="00404B0C" w:rsidP="00AB7C1F">
      <w:pPr>
        <w:pStyle w:val="TOC1"/>
        <w:tabs>
          <w:tab w:val="left" w:pos="720"/>
        </w:tabs>
        <w:rPr>
          <w:rFonts w:asciiTheme="minorHAnsi" w:eastAsiaTheme="minorEastAsia" w:hAnsiTheme="minorHAnsi" w:cstheme="minorBidi"/>
          <w:kern w:val="2"/>
          <w:szCs w:val="24"/>
          <w:lang w:eastAsia="en-GB" w:bidi="ar-SA"/>
          <w14:ligatures w14:val="standardContextual"/>
        </w:rPr>
      </w:pPr>
      <w:r w:rsidRPr="00D04502">
        <w:fldChar w:fldCharType="begin"/>
      </w:r>
      <w:r w:rsidRPr="00D04502">
        <w:instrText xml:space="preserve"> TOC \o "1-1" \h \z \u </w:instrText>
      </w:r>
      <w:r w:rsidRPr="00D04502">
        <w:fldChar w:fldCharType="separate"/>
      </w:r>
    </w:p>
    <w:p w14:paraId="0CC4B54A" w14:textId="51CE8FBF" w:rsidR="00267815" w:rsidRPr="00D04502" w:rsidRDefault="00404B0C" w:rsidP="007E7114">
      <w:pPr>
        <w:outlineLvl w:val="0"/>
      </w:pPr>
      <w:r w:rsidRPr="00D04502">
        <w:fldChar w:fldCharType="end"/>
      </w:r>
    </w:p>
    <w:p w14:paraId="716B9A7E" w14:textId="77777777" w:rsidR="003E098E" w:rsidRPr="00D04502" w:rsidRDefault="003E098E" w:rsidP="00267815"/>
    <w:p w14:paraId="4812BFF8" w14:textId="0E9C5297" w:rsidR="003E098E" w:rsidRPr="00D04502" w:rsidRDefault="003E098E" w:rsidP="00267815">
      <w:pPr>
        <w:sectPr w:rsidR="003E098E" w:rsidRPr="00D04502" w:rsidSect="000B2BCD">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5DEDA49A" w:rsidR="008D49A5" w:rsidRPr="00D04502" w:rsidRDefault="008D49A5" w:rsidP="00912484">
      <w:pPr>
        <w:pStyle w:val="Heading1"/>
        <w:numPr>
          <w:ilvl w:val="0"/>
          <w:numId w:val="4"/>
        </w:numPr>
        <w:ind w:left="851" w:hanging="851"/>
      </w:pPr>
      <w:bookmarkStart w:id="1" w:name="_Toc218000539"/>
      <w:bookmarkStart w:id="2" w:name="_Toc234832901"/>
      <w:bookmarkEnd w:id="0"/>
      <w:r w:rsidRPr="00D04502">
        <w:lastRenderedPageBreak/>
        <w:t>Introduction</w:t>
      </w:r>
      <w:bookmarkEnd w:id="1"/>
      <w:bookmarkEnd w:id="2"/>
    </w:p>
    <w:p w14:paraId="1DD31947" w14:textId="5F910815" w:rsidR="00B570AE" w:rsidRPr="00D04502" w:rsidRDefault="00B570AE" w:rsidP="00B570AE">
      <w:pPr>
        <w:pStyle w:val="F9-Paragraph"/>
        <w:ind w:left="851" w:hanging="851"/>
      </w:pPr>
      <w:r w:rsidRPr="00D04502">
        <w:t xml:space="preserve">This annex to </w:t>
      </w:r>
      <w:r w:rsidR="00EB71BE">
        <w:t xml:space="preserve">the </w:t>
      </w:r>
      <w:r w:rsidRPr="00D04502">
        <w:t>Technical Assessment Guide</w:t>
      </w:r>
      <w:r w:rsidR="00EB71BE">
        <w:t xml:space="preserve"> on civil engineering</w:t>
      </w:r>
      <w:r w:rsidRPr="00D04502">
        <w:t xml:space="preserve"> </w:t>
      </w:r>
      <w:sdt>
        <w:sdtPr>
          <w:id w:val="-1220822537"/>
          <w:citation/>
        </w:sdtPr>
        <w:sdtContent>
          <w:r w:rsidR="00EB71BE">
            <w:fldChar w:fldCharType="begin"/>
          </w:r>
          <w:r w:rsidR="00EB71BE">
            <w:instrText xml:space="preserve"> CITATION NST1 \l 2057 </w:instrText>
          </w:r>
          <w:r w:rsidR="00EB71BE">
            <w:fldChar w:fldCharType="separate"/>
          </w:r>
          <w:r w:rsidR="00401277">
            <w:rPr>
              <w:noProof/>
            </w:rPr>
            <w:t>[1]</w:t>
          </w:r>
          <w:r w:rsidR="00EB71BE">
            <w:fldChar w:fldCharType="end"/>
          </w:r>
        </w:sdtContent>
      </w:sdt>
      <w:r w:rsidR="00EB71BE">
        <w:br/>
      </w:r>
      <w:r w:rsidRPr="00D04502">
        <w:t>(</w:t>
      </w:r>
      <w:r w:rsidR="00EB71BE">
        <w:t>‘</w:t>
      </w:r>
      <w:r w:rsidRPr="00D04502">
        <w:t>TAG 17</w:t>
      </w:r>
      <w:r w:rsidR="00EB71BE">
        <w:t>’</w:t>
      </w:r>
      <w:r w:rsidRPr="00D04502">
        <w:t xml:space="preserve">) provides guidance to advise and inform ONR inspectors in the exercise of their regulatory judgement on the topics of </w:t>
      </w:r>
      <w:r w:rsidR="00BF1C08" w:rsidRPr="00D04502">
        <w:t>civil engineering ground investigation, geotechnical engineering and design of underground structures, including foundations</w:t>
      </w:r>
      <w:r w:rsidRPr="00D04502">
        <w:t xml:space="preserve">. It aims to highlight the application of the Safety Assessment Principles (SAPs) </w:t>
      </w:r>
      <w:sdt>
        <w:sdtPr>
          <w:id w:val="-1491406636"/>
          <w:citation/>
        </w:sdtPr>
        <w:sdtEndPr/>
        <w:sdtContent>
          <w:r w:rsidRPr="00D04502">
            <w:fldChar w:fldCharType="begin"/>
          </w:r>
          <w:r w:rsidRPr="00D04502">
            <w:instrText xml:space="preserve"> CITATION ONRSAPs \l 2057 </w:instrText>
          </w:r>
          <w:r w:rsidRPr="00D04502">
            <w:fldChar w:fldCharType="separate"/>
          </w:r>
          <w:r w:rsidR="00401277">
            <w:rPr>
              <w:noProof/>
            </w:rPr>
            <w:t>[2]</w:t>
          </w:r>
          <w:r w:rsidRPr="00D04502">
            <w:fldChar w:fldCharType="end"/>
          </w:r>
        </w:sdtContent>
      </w:sdt>
      <w:r w:rsidR="004972B6" w:rsidRPr="00D04502">
        <w:t xml:space="preserve"> </w:t>
      </w:r>
      <w:r w:rsidRPr="00D04502">
        <w:t xml:space="preserve">to aid the assessment of civil engineering </w:t>
      </w:r>
      <w:r w:rsidR="002E3D90" w:rsidRPr="00D04502">
        <w:t xml:space="preserve">works and structures </w:t>
      </w:r>
      <w:r w:rsidR="007F32A7" w:rsidRPr="00D04502">
        <w:t>for activities during the design phases</w:t>
      </w:r>
      <w:r w:rsidR="006A48C0" w:rsidRPr="00D04502">
        <w:t xml:space="preserve"> </w:t>
      </w:r>
      <w:r w:rsidRPr="00D04502">
        <w:t xml:space="preserve">and signpost links to other relevant good practice. </w:t>
      </w:r>
    </w:p>
    <w:p w14:paraId="0D2C835B" w14:textId="319ED4C7" w:rsidR="006A5B2A" w:rsidRPr="00D04502" w:rsidRDefault="006A5B2A" w:rsidP="002A1DDC">
      <w:pPr>
        <w:pStyle w:val="F9-Paragraph"/>
        <w:ind w:left="851" w:hanging="851"/>
      </w:pPr>
      <w:r w:rsidRPr="00D04502">
        <w:rPr>
          <w:lang w:eastAsia="en-GB"/>
        </w:rPr>
        <w:t xml:space="preserve">The guidance is intended for use in the assessment of both existing and new </w:t>
      </w:r>
      <w:r w:rsidR="00F20129" w:rsidRPr="00D04502">
        <w:rPr>
          <w:lang w:eastAsia="en-GB"/>
        </w:rPr>
        <w:t>structures</w:t>
      </w:r>
      <w:r w:rsidRPr="00D04502">
        <w:rPr>
          <w:lang w:eastAsia="en-GB"/>
        </w:rPr>
        <w:t>.</w:t>
      </w:r>
    </w:p>
    <w:p w14:paraId="38AE41A1" w14:textId="30C720D7" w:rsidR="00E87230" w:rsidRPr="00D04502" w:rsidRDefault="00EE2B7E" w:rsidP="00E87230">
      <w:pPr>
        <w:pStyle w:val="Heading2"/>
        <w:ind w:left="851" w:hanging="851"/>
      </w:pPr>
      <w:r w:rsidRPr="00D04502">
        <w:t xml:space="preserve">Purpose and </w:t>
      </w:r>
      <w:r w:rsidR="00EB71BE">
        <w:t>s</w:t>
      </w:r>
      <w:r w:rsidR="00E87230" w:rsidRPr="00D04502">
        <w:t>cope</w:t>
      </w:r>
    </w:p>
    <w:p w14:paraId="48534DA7" w14:textId="526E5DEA" w:rsidR="005057CB" w:rsidRPr="00D04502" w:rsidRDefault="005057CB" w:rsidP="005057CB">
      <w:pPr>
        <w:pStyle w:val="F9-Paragraph"/>
        <w:ind w:left="851" w:hanging="851"/>
      </w:pPr>
      <w:r w:rsidRPr="00D04502">
        <w:t xml:space="preserve">The purpose of this </w:t>
      </w:r>
      <w:r w:rsidR="001B152A" w:rsidRPr="00D04502">
        <w:t xml:space="preserve">annex </w:t>
      </w:r>
      <w:r w:rsidRPr="00D04502">
        <w:t xml:space="preserve">is to provide </w:t>
      </w:r>
      <w:r w:rsidR="004D594A" w:rsidRPr="00D04502">
        <w:t>inspector</w:t>
      </w:r>
      <w:r w:rsidRPr="00D04502">
        <w:t xml:space="preserve">s with guidance on the interpretation and application of </w:t>
      </w:r>
      <w:r w:rsidR="00EB71BE">
        <w:t>the</w:t>
      </w:r>
      <w:r w:rsidRPr="00D04502">
        <w:t xml:space="preserve"> SAPs </w:t>
      </w:r>
      <w:sdt>
        <w:sdtPr>
          <w:id w:val="-995038715"/>
          <w:citation/>
        </w:sdtPr>
        <w:sdtEndPr/>
        <w:sdtContent>
          <w:r w:rsidRPr="00D04502">
            <w:fldChar w:fldCharType="begin"/>
          </w:r>
          <w:r w:rsidRPr="00D04502">
            <w:instrText xml:space="preserve"> CITATION ONRSAPs \l 2057 </w:instrText>
          </w:r>
          <w:r w:rsidRPr="00D04502">
            <w:fldChar w:fldCharType="separate"/>
          </w:r>
          <w:r w:rsidR="00401277">
            <w:rPr>
              <w:noProof/>
            </w:rPr>
            <w:t>[2]</w:t>
          </w:r>
          <w:r w:rsidRPr="00D04502">
            <w:fldChar w:fldCharType="end"/>
          </w:r>
        </w:sdtContent>
      </w:sdt>
      <w:r w:rsidRPr="00D04502">
        <w:t xml:space="preserve"> that relate to </w:t>
      </w:r>
      <w:r w:rsidR="00F20129" w:rsidRPr="00D04502">
        <w:t>ground engineering, geotechnics and underground structures</w:t>
      </w:r>
      <w:r w:rsidRPr="00D04502">
        <w:t xml:space="preserve">. </w:t>
      </w:r>
      <w:r w:rsidR="001B152A" w:rsidRPr="00D04502">
        <w:t>It contains</w:t>
      </w:r>
      <w:r w:rsidRPr="00D04502">
        <w:t xml:space="preserve"> guidance to advise and inform ONR staff in the exercise of their regulatory judgment.</w:t>
      </w:r>
    </w:p>
    <w:p w14:paraId="0DF8A942" w14:textId="7267AC37" w:rsidR="00AB6C49" w:rsidRPr="00D04502" w:rsidRDefault="00F530D8" w:rsidP="00AB6C49">
      <w:pPr>
        <w:pStyle w:val="F9-Paragraph"/>
        <w:ind w:left="851" w:hanging="851"/>
      </w:pPr>
      <w:r w:rsidRPr="00D04502">
        <w:t xml:space="preserve">Site characterisation studies inform site suitability assessments </w:t>
      </w:r>
      <w:r w:rsidR="00A528BC" w:rsidRPr="00D04502">
        <w:t xml:space="preserve">that demonstrate </w:t>
      </w:r>
      <w:r w:rsidR="00037CE5" w:rsidRPr="00D04502">
        <w:t>the site’s</w:t>
      </w:r>
      <w:r w:rsidR="00A528BC" w:rsidRPr="00D04502">
        <w:t xml:space="preserve"> suitability to support the design, construction and safe nuclear operations</w:t>
      </w:r>
      <w:r w:rsidR="009E67AD" w:rsidRPr="00D04502">
        <w:t xml:space="preserve">. </w:t>
      </w:r>
      <w:r w:rsidR="003C4FE4" w:rsidRPr="00D04502">
        <w:t xml:space="preserve">These assessments </w:t>
      </w:r>
      <w:r w:rsidRPr="00D04502">
        <w:t xml:space="preserve">predominantly focus on external hazards and civil engineering aspects, although in some cases, they may relate to the management of contaminated land or groundwater. </w:t>
      </w:r>
      <w:r w:rsidR="00EB71BE">
        <w:br/>
      </w:r>
      <w:r w:rsidR="006174D6" w:rsidRPr="00D04502">
        <w:t>All structures, systems, and components (SSCs) at a nuclear facility rely on the ground for support, making it essential to demonstrate that the ground can adequately sustain these loads in the civil engineering safety case. Ground investigation and geotechnical engineering are crucial inputs for both civil engineering assessments and</w:t>
      </w:r>
      <w:r w:rsidR="007452F3" w:rsidRPr="00D04502">
        <w:t xml:space="preserve"> some</w:t>
      </w:r>
      <w:r w:rsidR="006174D6" w:rsidRPr="00D04502">
        <w:t xml:space="preserve"> external hazards analyses, particularly those involving seismic risks. Inspectors should refer to </w:t>
      </w:r>
      <w:r w:rsidR="00EB71BE">
        <w:t xml:space="preserve">the TAG on external hazards </w:t>
      </w:r>
      <w:r w:rsidR="006174D6" w:rsidRPr="00D04502">
        <w:t>for guidance on seismic hazards</w:t>
      </w:r>
      <w:r w:rsidR="00EB71BE">
        <w:t xml:space="preserve"> </w:t>
      </w:r>
      <w:sdt>
        <w:sdtPr>
          <w:id w:val="234755383"/>
          <w:citation/>
        </w:sdtPr>
        <w:sdtContent>
          <w:r w:rsidR="00EB71BE">
            <w:fldChar w:fldCharType="begin"/>
          </w:r>
          <w:r w:rsidR="00EB71BE">
            <w:instrText xml:space="preserve"> CITATION ONR82 \l 2057 </w:instrText>
          </w:r>
          <w:r w:rsidR="00EB71BE">
            <w:fldChar w:fldCharType="separate"/>
          </w:r>
          <w:r w:rsidR="00401277">
            <w:rPr>
              <w:noProof/>
            </w:rPr>
            <w:t>[3]</w:t>
          </w:r>
          <w:r w:rsidR="00EB71BE">
            <w:fldChar w:fldCharType="end"/>
          </w:r>
        </w:sdtContent>
      </w:sdt>
      <w:r w:rsidR="006174D6" w:rsidRPr="00D04502">
        <w:t>. For example, developing a dynamic ground model is necessary for site response analysis, typically undertaken as part of probabilistic seismic hazard analysis (PSHA). Inspectors should also consider how data from early geotechnical investigations—used to inform PSHA and define seismic hazards—remains relevant to later, more detailed analyses and the design of civil engineering structures to withstand such hazards.</w:t>
      </w:r>
    </w:p>
    <w:p w14:paraId="48283A88" w14:textId="0C0DF18F" w:rsidR="007012C9" w:rsidRPr="00D04502" w:rsidRDefault="007012C9" w:rsidP="00AB6C49">
      <w:pPr>
        <w:pStyle w:val="F9-Paragraph"/>
        <w:ind w:left="851" w:hanging="851"/>
      </w:pPr>
      <w:r w:rsidRPr="00D04502">
        <w:t>The design, execution and interpretation of site geotechnical investigations define the parameters and models for SSC design, making this a safety-critical area. Inspectors should recognise that geotechnical analysis is often closely linked to a facility’s structural characteristics.</w:t>
      </w:r>
    </w:p>
    <w:p w14:paraId="4A5A4DFF" w14:textId="249E29EB" w:rsidR="007012C9" w:rsidRPr="00D04502" w:rsidRDefault="007012C9" w:rsidP="00EB4F50">
      <w:pPr>
        <w:pStyle w:val="F9-Paragraph"/>
        <w:ind w:left="851" w:hanging="851"/>
      </w:pPr>
      <w:r w:rsidRPr="00D04502">
        <w:t xml:space="preserve">Relevant good practice (RGP) for ground investigation and geotechnical engineering is largely non-prescriptive due to the site-specific nature of the materials to be characterised. Consequently, this </w:t>
      </w:r>
      <w:r w:rsidR="00EB71BE">
        <w:t>a</w:t>
      </w:r>
      <w:r w:rsidRPr="00D04502">
        <w:t xml:space="preserve">nnex provides principles for the Inspector to consider whilst undertaking assessments. </w:t>
      </w:r>
    </w:p>
    <w:p w14:paraId="4EAF6E24" w14:textId="77777777" w:rsidR="00CA71C8" w:rsidRPr="00D04502" w:rsidRDefault="00CA71C8" w:rsidP="00CA71C8">
      <w:pPr>
        <w:pStyle w:val="Heading2"/>
        <w:ind w:left="851" w:hanging="851"/>
      </w:pPr>
      <w:bookmarkStart w:id="3" w:name="_Toc173225667"/>
      <w:r w:rsidRPr="00D04502">
        <w:lastRenderedPageBreak/>
        <w:t>Structure of this annex</w:t>
      </w:r>
      <w:bookmarkEnd w:id="3"/>
    </w:p>
    <w:p w14:paraId="3F45FC12" w14:textId="77777777" w:rsidR="008E1956" w:rsidRPr="00D04502" w:rsidRDefault="008E1956" w:rsidP="008E1956">
      <w:pPr>
        <w:pStyle w:val="F9-Paragraph"/>
        <w:ind w:left="851" w:hanging="851"/>
      </w:pPr>
      <w:r w:rsidRPr="00D04502">
        <w:t xml:space="preserve">This annex identifies the relevant and applicable principles for assessment of the process of sub-surface structure design. </w:t>
      </w:r>
    </w:p>
    <w:p w14:paraId="1D3A1F62" w14:textId="0511BB5D" w:rsidR="008E1956" w:rsidRPr="00D04502" w:rsidRDefault="008E1956" w:rsidP="008E1956">
      <w:pPr>
        <w:pStyle w:val="F9-Paragraph"/>
        <w:ind w:left="851" w:hanging="851"/>
      </w:pPr>
      <w:r w:rsidRPr="00D04502">
        <w:t>The key phases within sub-surface structure design are:</w:t>
      </w:r>
    </w:p>
    <w:p w14:paraId="59D2C399" w14:textId="60A5295C" w:rsidR="008E1956" w:rsidRPr="00D04502" w:rsidRDefault="008E1956" w:rsidP="00BD6595">
      <w:pPr>
        <w:pStyle w:val="Bulletlist1"/>
        <w:ind w:left="1418" w:hanging="357"/>
      </w:pPr>
      <w:r w:rsidRPr="00D04502">
        <w:t>desk studies</w:t>
      </w:r>
      <w:r w:rsidR="00BD6595" w:rsidRPr="00D04502">
        <w:t>,</w:t>
      </w:r>
    </w:p>
    <w:p w14:paraId="05A6ABFD" w14:textId="77777777" w:rsidR="008E1956" w:rsidRPr="00D04502" w:rsidRDefault="008E1956" w:rsidP="00BD6595">
      <w:pPr>
        <w:pStyle w:val="Bulletlist1"/>
        <w:ind w:left="1418" w:hanging="357"/>
      </w:pPr>
      <w:r w:rsidRPr="00D04502">
        <w:t>site reconnaissance,</w:t>
      </w:r>
    </w:p>
    <w:p w14:paraId="6620AF7F" w14:textId="77777777" w:rsidR="008E1956" w:rsidRPr="00D04502" w:rsidRDefault="008E1956" w:rsidP="00BD6595">
      <w:pPr>
        <w:pStyle w:val="Bulletlist1"/>
        <w:ind w:left="1418" w:hanging="357"/>
      </w:pPr>
      <w:r w:rsidRPr="00D04502">
        <w:t>ground investigation design,</w:t>
      </w:r>
    </w:p>
    <w:p w14:paraId="0EF989E2" w14:textId="7A7BE965" w:rsidR="008E1956" w:rsidRPr="00D04502" w:rsidRDefault="008E1956" w:rsidP="00BD6595">
      <w:pPr>
        <w:pStyle w:val="Bulletlist1"/>
        <w:ind w:left="1418" w:hanging="357"/>
      </w:pPr>
      <w:r w:rsidRPr="00D04502">
        <w:t xml:space="preserve">ground investigation </w:t>
      </w:r>
      <w:r w:rsidR="00007D18" w:rsidRPr="00D04502">
        <w:t>oversight</w:t>
      </w:r>
      <w:r w:rsidRPr="00D04502">
        <w:t>,</w:t>
      </w:r>
    </w:p>
    <w:p w14:paraId="162B686A" w14:textId="77777777" w:rsidR="008E1956" w:rsidRPr="00D04502" w:rsidRDefault="008E1956" w:rsidP="00BD6595">
      <w:pPr>
        <w:pStyle w:val="Bulletlist1"/>
        <w:ind w:left="1418" w:hanging="357"/>
      </w:pPr>
      <w:r w:rsidRPr="00D04502">
        <w:t>analysis and reporting,</w:t>
      </w:r>
    </w:p>
    <w:p w14:paraId="1A515EA9" w14:textId="77777777" w:rsidR="008E1956" w:rsidRPr="00D04502" w:rsidRDefault="008E1956" w:rsidP="00BD6595">
      <w:pPr>
        <w:pStyle w:val="Bulletlist1"/>
        <w:ind w:left="1418" w:hanging="357"/>
      </w:pPr>
      <w:r w:rsidRPr="00D04502">
        <w:t>foundation or structure design,</w:t>
      </w:r>
    </w:p>
    <w:p w14:paraId="3EA93D0E" w14:textId="77777777" w:rsidR="008E1956" w:rsidRPr="00D04502" w:rsidRDefault="008E1956" w:rsidP="00BD6595">
      <w:pPr>
        <w:pStyle w:val="Bulletlist1"/>
        <w:ind w:left="1418" w:hanging="357"/>
      </w:pPr>
      <w:r w:rsidRPr="00D04502">
        <w:t>confirmation of founding level / formation level / base of excavation,</w:t>
      </w:r>
    </w:p>
    <w:p w14:paraId="7D981CBF" w14:textId="77777777" w:rsidR="008E1956" w:rsidRPr="00D04502" w:rsidRDefault="008E1956" w:rsidP="00BD6595">
      <w:pPr>
        <w:pStyle w:val="Bulletlist1"/>
        <w:ind w:left="1418" w:hanging="357"/>
      </w:pPr>
      <w:r w:rsidRPr="00D04502">
        <w:t>foundation and sub-surface structure construction.</w:t>
      </w:r>
    </w:p>
    <w:p w14:paraId="4F93C359" w14:textId="2E8FB995" w:rsidR="008E1956" w:rsidRPr="00D04502" w:rsidRDefault="008E1956" w:rsidP="00331E2B">
      <w:pPr>
        <w:pStyle w:val="F9-Paragraph"/>
        <w:ind w:left="851" w:hanging="851"/>
      </w:pPr>
      <w:r w:rsidRPr="00D04502">
        <w:t>This phased sequence forms the basis of ‘geotechnical continuity’, starting with the site investigation (</w:t>
      </w:r>
      <w:r w:rsidR="002A1E13" w:rsidRPr="00D04502">
        <w:t>first five bullet point</w:t>
      </w:r>
      <w:r w:rsidRPr="00D04502">
        <w:t>) followed by the foundation design and construction (</w:t>
      </w:r>
      <w:r w:rsidR="009026A2" w:rsidRPr="00D04502">
        <w:t>remaining bullet points</w:t>
      </w:r>
      <w:r w:rsidRPr="00D04502">
        <w:t>). BS 5930</w:t>
      </w:r>
      <w:r w:rsidR="00CF5CD7" w:rsidRPr="00D04502">
        <w:t>:2015</w:t>
      </w:r>
      <w:r w:rsidRPr="00D04502">
        <w:t xml:space="preserve"> suggests such a phased approach through generating the parameters for use in design</w:t>
      </w:r>
      <w:r w:rsidR="00EB71BE" w:rsidRPr="00EB71BE">
        <w:t xml:space="preserve"> </w:t>
      </w:r>
      <w:sdt>
        <w:sdtPr>
          <w:id w:val="1855372723"/>
          <w:citation/>
        </w:sdtPr>
        <w:sdtContent>
          <w:r w:rsidR="00EB71BE" w:rsidRPr="00D04502">
            <w:fldChar w:fldCharType="begin"/>
          </w:r>
          <w:r w:rsidR="00EB71BE" w:rsidRPr="00D04502">
            <w:instrText xml:space="preserve"> CITATION BSI4 \l 2057 </w:instrText>
          </w:r>
          <w:r w:rsidR="00EB71BE" w:rsidRPr="00D04502">
            <w:fldChar w:fldCharType="separate"/>
          </w:r>
          <w:r w:rsidR="00401277">
            <w:rPr>
              <w:noProof/>
            </w:rPr>
            <w:t>[4]</w:t>
          </w:r>
          <w:r w:rsidR="00EB71BE" w:rsidRPr="00D04502">
            <w:fldChar w:fldCharType="end"/>
          </w:r>
        </w:sdtContent>
      </w:sdt>
      <w:r w:rsidRPr="00D04502">
        <w:t xml:space="preserve">. </w:t>
      </w:r>
    </w:p>
    <w:p w14:paraId="72B9FFD3" w14:textId="77777777" w:rsidR="008E1956" w:rsidRPr="00D04502" w:rsidRDefault="008E1956" w:rsidP="00331E2B">
      <w:pPr>
        <w:pStyle w:val="F9-Paragraph"/>
        <w:ind w:left="851" w:hanging="851"/>
      </w:pPr>
      <w:r w:rsidRPr="00D04502">
        <w:t>The annex is structured in a way that maps on to these phases:</w:t>
      </w:r>
    </w:p>
    <w:p w14:paraId="64984154" w14:textId="77777777" w:rsidR="008E1956" w:rsidRPr="00D04502" w:rsidRDefault="008E1956" w:rsidP="00B41371">
      <w:pPr>
        <w:pStyle w:val="Bulletlist1"/>
        <w:ind w:left="1418" w:hanging="357"/>
      </w:pPr>
      <w:r w:rsidRPr="00D04502">
        <w:t>Section 2 for civil engineering principles regarding the first five (ground investigation, interpretation and reporting) phases,</w:t>
      </w:r>
    </w:p>
    <w:p w14:paraId="400F2123" w14:textId="77777777" w:rsidR="008E1956" w:rsidRPr="00D04502" w:rsidRDefault="008E1956" w:rsidP="00B41371">
      <w:pPr>
        <w:pStyle w:val="Bulletlist1"/>
        <w:ind w:left="1418" w:hanging="357"/>
      </w:pPr>
      <w:r w:rsidRPr="00D04502">
        <w:t>Section 3 for civil engineering principles regarding the numerical analysis (used to develop the proposed design solution),</w:t>
      </w:r>
    </w:p>
    <w:p w14:paraId="1F770B97" w14:textId="3C9964EE" w:rsidR="008E1956" w:rsidRPr="00D04502" w:rsidRDefault="008E1956" w:rsidP="00B41371">
      <w:pPr>
        <w:pStyle w:val="Bulletlist1"/>
        <w:ind w:left="1418" w:hanging="357"/>
      </w:pPr>
      <w:r w:rsidRPr="00D04502">
        <w:t>Section 4 for civil engineering principles regarding the last three (detailed design and construction</w:t>
      </w:r>
      <w:r w:rsidR="00161939" w:rsidRPr="00D04502">
        <w:t>)</w:t>
      </w:r>
      <w:r w:rsidRPr="00D04502">
        <w:t xml:space="preserve"> phases,</w:t>
      </w:r>
    </w:p>
    <w:p w14:paraId="35046B76" w14:textId="77777777" w:rsidR="008E1956" w:rsidRPr="00D04502" w:rsidRDefault="008E1956" w:rsidP="00B41371">
      <w:pPr>
        <w:pStyle w:val="Bulletlist1"/>
        <w:ind w:left="1418" w:hanging="357"/>
      </w:pPr>
      <w:r w:rsidRPr="00D04502">
        <w:t>Section 5 for civil engineering relevant guidance,</w:t>
      </w:r>
    </w:p>
    <w:p w14:paraId="43C5E9ED" w14:textId="6E6DB56E" w:rsidR="00133663" w:rsidRPr="00D04502" w:rsidRDefault="008E1956" w:rsidP="00B93373">
      <w:pPr>
        <w:pStyle w:val="Bulletlist1"/>
        <w:ind w:left="1418" w:hanging="357"/>
      </w:pPr>
      <w:r w:rsidRPr="00D04502">
        <w:t>Section 6 for references made in this annex</w:t>
      </w:r>
      <w:r w:rsidR="00E43135">
        <w:t>.</w:t>
      </w:r>
    </w:p>
    <w:p w14:paraId="47BE0493" w14:textId="77777777" w:rsidR="00E43135" w:rsidRDefault="00E43135" w:rsidP="00695E8A">
      <w:pPr>
        <w:pStyle w:val="Heading2"/>
        <w:ind w:left="851" w:hanging="851"/>
        <w:sectPr w:rsidR="00E43135">
          <w:headerReference w:type="even" r:id="rId21"/>
          <w:headerReference w:type="default" r:id="rId22"/>
          <w:footerReference w:type="even" r:id="rId23"/>
          <w:pgSz w:w="11906" w:h="16838"/>
          <w:pgMar w:top="1440" w:right="1440" w:bottom="1440" w:left="1440" w:header="708" w:footer="708" w:gutter="0"/>
          <w:cols w:space="708"/>
          <w:docGrid w:linePitch="360"/>
        </w:sectPr>
      </w:pPr>
      <w:bookmarkStart w:id="4" w:name="_Toc45178847"/>
      <w:bookmarkStart w:id="5" w:name="_Toc173225668"/>
    </w:p>
    <w:p w14:paraId="109B73E8" w14:textId="77777777" w:rsidR="00695E8A" w:rsidRPr="00D04502" w:rsidRDefault="00695E8A" w:rsidP="00695E8A">
      <w:pPr>
        <w:pStyle w:val="Heading2"/>
        <w:ind w:left="851" w:hanging="851"/>
      </w:pPr>
      <w:r w:rsidRPr="00D04502">
        <w:lastRenderedPageBreak/>
        <w:t>Applicable SAPs to this annex</w:t>
      </w:r>
      <w:bookmarkEnd w:id="4"/>
      <w:bookmarkEnd w:id="5"/>
    </w:p>
    <w:p w14:paraId="44D87902" w14:textId="1A20111E" w:rsidR="00A44077" w:rsidRPr="00D04502" w:rsidRDefault="00A44077" w:rsidP="00F116DC">
      <w:pPr>
        <w:pStyle w:val="F9-Paragraph"/>
        <w:ind w:left="851" w:hanging="851"/>
      </w:pPr>
      <w:r w:rsidRPr="00D04502">
        <w:t>It is expected that</w:t>
      </w:r>
      <w:r w:rsidR="00BE0331" w:rsidRPr="00D04502">
        <w:t xml:space="preserve"> geotechnical</w:t>
      </w:r>
      <w:r w:rsidRPr="00D04502">
        <w:t xml:space="preserve"> design </w:t>
      </w:r>
      <w:r w:rsidR="00F116DC" w:rsidRPr="00D04502">
        <w:t xml:space="preserve">is informed by and </w:t>
      </w:r>
      <w:r w:rsidRPr="00D04502">
        <w:t>meets the expectations of the SAPs</w:t>
      </w:r>
      <w:r w:rsidR="00D57863" w:rsidRPr="00D04502">
        <w:t xml:space="preserve"> </w:t>
      </w:r>
      <w:sdt>
        <w:sdtPr>
          <w:id w:val="-1129008167"/>
          <w:citation/>
        </w:sdtPr>
        <w:sdtEndPr/>
        <w:sdtContent>
          <w:r w:rsidR="00D57863" w:rsidRPr="00D04502">
            <w:fldChar w:fldCharType="begin"/>
          </w:r>
          <w:r w:rsidR="00D57863" w:rsidRPr="00D04502">
            <w:instrText xml:space="preserve"> CITATION ONRSAPs \l 2057 </w:instrText>
          </w:r>
          <w:r w:rsidR="00D57863" w:rsidRPr="00D04502">
            <w:fldChar w:fldCharType="separate"/>
          </w:r>
          <w:r w:rsidR="00401277">
            <w:rPr>
              <w:noProof/>
            </w:rPr>
            <w:t>[2]</w:t>
          </w:r>
          <w:r w:rsidR="00D57863" w:rsidRPr="00D04502">
            <w:fldChar w:fldCharType="end"/>
          </w:r>
        </w:sdtContent>
      </w:sdt>
      <w:r w:rsidRPr="00D04502">
        <w:t xml:space="preserve">. In particular for this annex, the </w:t>
      </w:r>
      <w:r w:rsidR="00F116DC" w:rsidRPr="00D04502">
        <w:t xml:space="preserve">following SAPs are </w:t>
      </w:r>
      <w:r w:rsidRPr="00D04502">
        <w:t>relevant</w:t>
      </w:r>
      <w:r w:rsidR="00F116DC" w:rsidRPr="00D04502">
        <w:t>:</w:t>
      </w:r>
    </w:p>
    <w:p w14:paraId="76CC62E5" w14:textId="77777777" w:rsidR="00F116DC" w:rsidRPr="00D04502" w:rsidRDefault="00F116DC" w:rsidP="003560B7">
      <w:pPr>
        <w:pStyle w:val="Bulletlist1"/>
        <w:ind w:left="1418" w:hanging="357"/>
      </w:pPr>
      <w:r w:rsidRPr="00D04502">
        <w:t>SAPs ECE.1 and ECE.5 and ECE.6 regarding upstream references to schedules and safety functional requirements,</w:t>
      </w:r>
    </w:p>
    <w:p w14:paraId="19FAF510" w14:textId="77777777" w:rsidR="00F116DC" w:rsidRPr="00D04502" w:rsidRDefault="00F116DC" w:rsidP="003560B7">
      <w:pPr>
        <w:pStyle w:val="Bulletlist1"/>
        <w:ind w:left="1418" w:hanging="357"/>
      </w:pPr>
      <w:r w:rsidRPr="00D04502">
        <w:t>ECE.7 states the expectation that foundations and sub-surface structures should be designed to meet their safety functional requirements specified for normal operation and fault conditions with an absence of cliff edge effects beyond the design basis,</w:t>
      </w:r>
    </w:p>
    <w:p w14:paraId="4B9822AE" w14:textId="77777777" w:rsidR="00F116DC" w:rsidRPr="00D04502" w:rsidRDefault="00F116DC" w:rsidP="003560B7">
      <w:pPr>
        <w:pStyle w:val="Bulletlist1"/>
        <w:ind w:left="1418" w:hanging="357"/>
      </w:pPr>
      <w:r w:rsidRPr="00D04502">
        <w:t>ST.4 identifies the need for assessment of the suitability of a site to support safe nuclear operations, prior to a new site licence being granted,</w:t>
      </w:r>
    </w:p>
    <w:p w14:paraId="26774C12" w14:textId="77777777" w:rsidR="00F116DC" w:rsidRPr="00D04502" w:rsidRDefault="00F116DC" w:rsidP="003560B7">
      <w:pPr>
        <w:pStyle w:val="Bulletlist1"/>
        <w:ind w:left="1418" w:hanging="357"/>
      </w:pPr>
      <w:r w:rsidRPr="00D04502">
        <w:t>ECE.4 and ECE.5 identify the need to demonstrate stability of the soil and rock which provide support for the foundations and superstructure of a nuclear facility. To determine the suitability of these materials site investigations are undertaken,</w:t>
      </w:r>
    </w:p>
    <w:p w14:paraId="49AE26BB" w14:textId="77777777" w:rsidR="00F116DC" w:rsidRPr="00D04502" w:rsidRDefault="00F116DC" w:rsidP="003560B7">
      <w:pPr>
        <w:pStyle w:val="Bulletlist1"/>
        <w:ind w:left="1418" w:hanging="357"/>
      </w:pPr>
      <w:r w:rsidRPr="00D04502">
        <w:t>ECE.8 establishes the expectation that load bearing elements will be inspected and maintained,</w:t>
      </w:r>
    </w:p>
    <w:p w14:paraId="3910A5C2" w14:textId="77777777" w:rsidR="00F116DC" w:rsidRPr="00D04502" w:rsidRDefault="00F116DC" w:rsidP="003560B7">
      <w:pPr>
        <w:pStyle w:val="Bulletlist1"/>
        <w:ind w:left="1418" w:hanging="357"/>
      </w:pPr>
      <w:r w:rsidRPr="00D04502">
        <w:t xml:space="preserve">ECE.9 and ECE.10 confirm that earthworks and groundwater designs should be designed to be stable and not compromise safety, </w:t>
      </w:r>
    </w:p>
    <w:p w14:paraId="4EB3C470" w14:textId="77777777" w:rsidR="00F116DC" w:rsidRPr="00D04502" w:rsidRDefault="00F116DC" w:rsidP="003560B7">
      <w:pPr>
        <w:pStyle w:val="Bulletlist1"/>
        <w:ind w:left="1418" w:hanging="357"/>
      </w:pPr>
      <w:r w:rsidRPr="00D04502">
        <w:t>ECE.11 states that the design should take account of the possible presence of naturally occurring explosive, asphyxiant or toxic gases or vapours in underground structures such as tunnels, trenches and basements.</w:t>
      </w:r>
    </w:p>
    <w:p w14:paraId="6183E908" w14:textId="77777777" w:rsidR="00F116DC" w:rsidRPr="00D04502" w:rsidRDefault="00F116DC" w:rsidP="003560B7">
      <w:pPr>
        <w:pStyle w:val="Bulletlist1"/>
        <w:ind w:left="1418" w:hanging="357"/>
      </w:pPr>
      <w:r w:rsidRPr="00D04502">
        <w:t>ECE.12, ECE.13 and ECE.14 refer to the expectations around the structural analysis and model testing to demonstrate the structure can meet the safety functional requirements (SFRs) over the full range of loading for the lifetime of the facility, with the appropriate use of data and sensitivity studies to demonstrate this,</w:t>
      </w:r>
    </w:p>
    <w:p w14:paraId="1C8FCAC6" w14:textId="77777777" w:rsidR="00F116DC" w:rsidRPr="00D04502" w:rsidRDefault="00F116DC" w:rsidP="003560B7">
      <w:pPr>
        <w:pStyle w:val="Bulletlist1"/>
        <w:ind w:left="1418" w:hanging="357"/>
      </w:pPr>
      <w:r w:rsidRPr="00D04502">
        <w:t>ECE.15 refers to the expectations around the validation of the methods used in the structural analysis and models used,</w:t>
      </w:r>
    </w:p>
    <w:p w14:paraId="5362D2DD" w14:textId="77777777" w:rsidR="00F116DC" w:rsidRPr="00D04502" w:rsidRDefault="00F116DC" w:rsidP="003560B7">
      <w:pPr>
        <w:pStyle w:val="Bulletlist1"/>
        <w:ind w:left="1418" w:hanging="357"/>
      </w:pPr>
      <w:r w:rsidRPr="00D04502">
        <w:t>ECE.16 suitability of materials used on site,</w:t>
      </w:r>
    </w:p>
    <w:p w14:paraId="11404653" w14:textId="77777777" w:rsidR="00F116DC" w:rsidRPr="00D04502" w:rsidRDefault="00F116DC" w:rsidP="003560B7">
      <w:pPr>
        <w:pStyle w:val="Bulletlist1"/>
        <w:ind w:left="1418" w:hanging="357"/>
      </w:pPr>
      <w:r w:rsidRPr="00D04502">
        <w:t>ECE.18 refers to the considerations of inspection during construction,</w:t>
      </w:r>
    </w:p>
    <w:p w14:paraId="333F77F8" w14:textId="77777777" w:rsidR="00EB71BE" w:rsidRDefault="00EB71BE" w:rsidP="003560B7">
      <w:pPr>
        <w:pStyle w:val="Bulletlist1"/>
        <w:ind w:left="1418" w:hanging="357"/>
        <w:sectPr w:rsidR="00EB71BE">
          <w:pgSz w:w="11906" w:h="16838"/>
          <w:pgMar w:top="1440" w:right="1440" w:bottom="1440" w:left="1440" w:header="708" w:footer="708" w:gutter="0"/>
          <w:cols w:space="708"/>
          <w:docGrid w:linePitch="360"/>
        </w:sectPr>
      </w:pPr>
    </w:p>
    <w:p w14:paraId="69D6900D" w14:textId="77777777" w:rsidR="00F116DC" w:rsidRPr="00D04502" w:rsidRDefault="00F116DC" w:rsidP="003560B7">
      <w:pPr>
        <w:pStyle w:val="Bulletlist1"/>
        <w:ind w:left="1418" w:hanging="357"/>
      </w:pPr>
      <w:r w:rsidRPr="00D04502">
        <w:lastRenderedPageBreak/>
        <w:t>EHA.18 and EHA.7 explain beyond design basis events and ‘cliff-edge’ effects and how a small change in design basis fault or event assumptions should not lead to a disproportionate increase in radiological consequences,</w:t>
      </w:r>
    </w:p>
    <w:p w14:paraId="676141E0" w14:textId="77777777" w:rsidR="00F116DC" w:rsidRPr="00D04502" w:rsidRDefault="00F116DC" w:rsidP="003560B7">
      <w:pPr>
        <w:pStyle w:val="Bulletlist1"/>
        <w:ind w:left="1418" w:hanging="357"/>
      </w:pPr>
      <w:r w:rsidRPr="00D04502">
        <w:t>ECE.20 sets the expectations regarding examination, inspection, maintenance and testing,</w:t>
      </w:r>
    </w:p>
    <w:p w14:paraId="19291195" w14:textId="77777777" w:rsidR="00F116DC" w:rsidRPr="00D04502" w:rsidRDefault="00F116DC" w:rsidP="003560B7">
      <w:pPr>
        <w:pStyle w:val="Bulletlist1"/>
        <w:ind w:left="1418" w:hanging="357"/>
      </w:pPr>
      <w:r w:rsidRPr="00D04502">
        <w:t>ECE.24 refers to the expectations around the monitoring of settlement during and after construction, to check the validity of the design,</w:t>
      </w:r>
    </w:p>
    <w:p w14:paraId="5794477C" w14:textId="77777777" w:rsidR="00F116DC" w:rsidRPr="00D04502" w:rsidRDefault="00F116DC" w:rsidP="003560B7">
      <w:pPr>
        <w:pStyle w:val="Bulletlist1"/>
        <w:ind w:left="1418" w:hanging="357"/>
      </w:pPr>
      <w:r w:rsidRPr="00D04502">
        <w:t>ECE.25 states the expectation that designs for structures important to safety will be designed so that they can be constructed in accordance with established processes that ensure the required level of safety, considering adjacent SSCs,</w:t>
      </w:r>
    </w:p>
    <w:p w14:paraId="6E874F63" w14:textId="77777777" w:rsidR="00F116DC" w:rsidRPr="00D04502" w:rsidRDefault="00F116DC" w:rsidP="003560B7">
      <w:pPr>
        <w:pStyle w:val="Bulletlist1"/>
        <w:ind w:left="1418" w:hanging="357"/>
      </w:pPr>
      <w:r w:rsidRPr="00D04502">
        <w:t>EHA.9 identifies the need for the evaluation of the seismology and geology of the area around the site and the geology and hydrogeology of the site in order to derive a design basis earthquake,</w:t>
      </w:r>
    </w:p>
    <w:p w14:paraId="57FD8605" w14:textId="77777777" w:rsidR="00F116DC" w:rsidRPr="00D04502" w:rsidRDefault="00F116DC" w:rsidP="003560B7">
      <w:pPr>
        <w:pStyle w:val="Bulletlist1"/>
        <w:ind w:left="1418" w:hanging="357"/>
      </w:pPr>
      <w:r w:rsidRPr="00D04502">
        <w:t>EDR.1 refers to the expectation that designs will be designed to be inherently safe or to fail in a safe manner, identifying potential failure modes,</w:t>
      </w:r>
    </w:p>
    <w:p w14:paraId="340B4DCD" w14:textId="77777777" w:rsidR="00F116DC" w:rsidRPr="00D04502" w:rsidRDefault="00F116DC" w:rsidP="003560B7">
      <w:pPr>
        <w:pStyle w:val="Bulletlist1"/>
        <w:ind w:left="1418" w:hanging="357"/>
      </w:pPr>
      <w:r w:rsidRPr="00D04502">
        <w:t>ERL.1 refers to the expectations around reliability of civil engineering SSCs,</w:t>
      </w:r>
    </w:p>
    <w:p w14:paraId="30B47F1A" w14:textId="77777777" w:rsidR="00F116DC" w:rsidRPr="00D04502" w:rsidRDefault="00F116DC" w:rsidP="003560B7">
      <w:pPr>
        <w:pStyle w:val="Bulletlist1"/>
        <w:ind w:left="1418" w:hanging="357"/>
      </w:pPr>
      <w:r w:rsidRPr="00D04502">
        <w:t>EQU.1 states the expectations regarding processes for qualification to demonstrate SSCs will perform the intended function for the required duration,</w:t>
      </w:r>
    </w:p>
    <w:p w14:paraId="177CC2D1" w14:textId="77777777" w:rsidR="00F116DC" w:rsidRPr="00D04502" w:rsidRDefault="00F116DC" w:rsidP="003560B7">
      <w:pPr>
        <w:pStyle w:val="Bulletlist1"/>
        <w:ind w:left="1418" w:hanging="357"/>
      </w:pPr>
      <w:r w:rsidRPr="00D04502">
        <w:t xml:space="preserve">ECS.1 sets the expectation that SSCs will be categorised appropriately, </w:t>
      </w:r>
    </w:p>
    <w:p w14:paraId="284A9283" w14:textId="77777777" w:rsidR="00F116DC" w:rsidRPr="00D04502" w:rsidRDefault="00F116DC" w:rsidP="003560B7">
      <w:pPr>
        <w:pStyle w:val="Bulletlist1"/>
        <w:ind w:left="1418" w:hanging="357"/>
      </w:pPr>
      <w:r w:rsidRPr="00D04502">
        <w:t>ECS.3, ECS.4 and ECS.5 set the expectations of code use,</w:t>
      </w:r>
    </w:p>
    <w:p w14:paraId="4FE3631C" w14:textId="77777777" w:rsidR="00F116DC" w:rsidRPr="00D04502" w:rsidRDefault="00F116DC" w:rsidP="003560B7">
      <w:pPr>
        <w:pStyle w:val="Bulletlist1"/>
        <w:ind w:left="1418" w:hanging="357"/>
      </w:pPr>
      <w:r w:rsidRPr="00D04502">
        <w:t>SC.5, ERL.4 and EAD.2 sets the expectations regarding optimism, uncertainty and conservatism and the associated margins across the required life of the SSC,</w:t>
      </w:r>
    </w:p>
    <w:p w14:paraId="615E19DD" w14:textId="77777777" w:rsidR="00F116DC" w:rsidRPr="00D04502" w:rsidRDefault="00F116DC" w:rsidP="003560B7">
      <w:pPr>
        <w:pStyle w:val="Bulletlist1"/>
        <w:ind w:left="1418" w:hanging="357"/>
      </w:pPr>
      <w:r w:rsidRPr="00D04502">
        <w:t>AV.1 and AV.2 state the expectations that theoretical models and the calculation methods will adequately represent the site and the physical processes that will take place,</w:t>
      </w:r>
    </w:p>
    <w:p w14:paraId="72131451" w14:textId="77777777" w:rsidR="00F116DC" w:rsidRPr="00D04502" w:rsidRDefault="00F116DC" w:rsidP="003560B7">
      <w:pPr>
        <w:pStyle w:val="Bulletlist1"/>
        <w:ind w:left="1418" w:hanging="357"/>
      </w:pPr>
      <w:r w:rsidRPr="00D04502">
        <w:t>AV.3, AV.4 and AV.5 refers to the expectations around the use of data, the computer modes used to process the data and the documentation of the analysis,</w:t>
      </w:r>
    </w:p>
    <w:p w14:paraId="60FF49E1" w14:textId="77777777" w:rsidR="00F116DC" w:rsidRPr="00D04502" w:rsidRDefault="00F116DC" w:rsidP="003560B7">
      <w:pPr>
        <w:pStyle w:val="Bulletlist1"/>
        <w:ind w:left="1418" w:hanging="357"/>
      </w:pPr>
      <w:r w:rsidRPr="00D04502">
        <w:t>AV.6 refers to the expectations around sensitivity analysis,</w:t>
      </w:r>
    </w:p>
    <w:p w14:paraId="49844E03" w14:textId="77777777" w:rsidR="00EB71BE" w:rsidRDefault="00EB71BE" w:rsidP="003560B7">
      <w:pPr>
        <w:pStyle w:val="Bulletlist1"/>
        <w:ind w:left="1418" w:hanging="357"/>
        <w:sectPr w:rsidR="00EB71BE">
          <w:pgSz w:w="11906" w:h="16838"/>
          <w:pgMar w:top="1440" w:right="1440" w:bottom="1440" w:left="1440" w:header="708" w:footer="708" w:gutter="0"/>
          <w:cols w:space="708"/>
          <w:docGrid w:linePitch="360"/>
        </w:sectPr>
      </w:pPr>
    </w:p>
    <w:p w14:paraId="3CC230A7" w14:textId="77777777" w:rsidR="00F116DC" w:rsidRPr="00D04502" w:rsidRDefault="00F116DC" w:rsidP="003560B7">
      <w:pPr>
        <w:pStyle w:val="Bulletlist1"/>
        <w:ind w:left="1418" w:hanging="357"/>
      </w:pPr>
      <w:r w:rsidRPr="00D04502">
        <w:lastRenderedPageBreak/>
        <w:t>AV.7 and AV.8 refer to the expectations around the collation of data through the life of the facility to check and update the safety analysis, with analysis reviewed and updated where necessary and reviewed periodically,</w:t>
      </w:r>
    </w:p>
    <w:p w14:paraId="00D15070" w14:textId="77777777" w:rsidR="00F116DC" w:rsidRPr="00D04502" w:rsidRDefault="00F116DC" w:rsidP="003560B7">
      <w:pPr>
        <w:pStyle w:val="Bulletlist1"/>
        <w:ind w:left="1418" w:hanging="357"/>
      </w:pPr>
      <w:r w:rsidRPr="00D04502">
        <w:t>RL.5 and RL.8 are related to ground investigations associated with contamination,</w:t>
      </w:r>
    </w:p>
    <w:p w14:paraId="79077D06" w14:textId="77777777" w:rsidR="00F116DC" w:rsidRPr="00D04502" w:rsidRDefault="00F116DC" w:rsidP="003560B7">
      <w:pPr>
        <w:pStyle w:val="Bulletlist1"/>
        <w:ind w:left="1418" w:hanging="357"/>
      </w:pPr>
      <w:r w:rsidRPr="00D04502">
        <w:t>MS.2 outlines the expectation that there is adequate human resources and that the organisation has the capability to secure and maintain the safety of its undertakings,</w:t>
      </w:r>
    </w:p>
    <w:p w14:paraId="2F54530E" w14:textId="77777777" w:rsidR="00F116DC" w:rsidRPr="00D04502" w:rsidRDefault="00F116DC" w:rsidP="003560B7">
      <w:pPr>
        <w:pStyle w:val="Bulletlist1"/>
        <w:ind w:left="1418" w:hanging="357"/>
      </w:pPr>
      <w:r w:rsidRPr="00D04502">
        <w:t>DC.6 states that documents and records that may be required for decommissioning purposes should be identified, prepares, updated, retained and owned so that they will be available when needed.</w:t>
      </w:r>
    </w:p>
    <w:p w14:paraId="038F3E27" w14:textId="77777777" w:rsidR="00A2050E" w:rsidRPr="00D04502" w:rsidRDefault="00A2050E" w:rsidP="003560B7">
      <w:pPr>
        <w:pStyle w:val="F9-Paragraph"/>
        <w:ind w:left="851" w:hanging="851"/>
      </w:pPr>
      <w:r w:rsidRPr="00D04502">
        <w:t>Further SAPs are referenced in the following annexes of TAG 17 when considering the wider civil engineering considerations of design, construction and decommissioning:</w:t>
      </w:r>
    </w:p>
    <w:p w14:paraId="29500894" w14:textId="126267E0" w:rsidR="00A2050E" w:rsidRPr="00D04502" w:rsidRDefault="00A2050E" w:rsidP="003560B7">
      <w:pPr>
        <w:pStyle w:val="Bulletlist1"/>
        <w:ind w:left="1418" w:hanging="357"/>
      </w:pPr>
      <w:r w:rsidRPr="00D04502">
        <w:t>Annex 1, ’Civil Engineering - Design’</w:t>
      </w:r>
      <w:r w:rsidR="00EB71BE">
        <w:t xml:space="preserve"> </w:t>
      </w:r>
      <w:sdt>
        <w:sdtPr>
          <w:id w:val="1046103123"/>
          <w:citation/>
        </w:sdtPr>
        <w:sdtContent>
          <w:r w:rsidR="00EB71BE">
            <w:fldChar w:fldCharType="begin"/>
          </w:r>
          <w:r w:rsidR="00EB71BE">
            <w:instrText xml:space="preserve"> CITATION ONR161 \l 2057 </w:instrText>
          </w:r>
          <w:r w:rsidR="00EB71BE">
            <w:fldChar w:fldCharType="separate"/>
          </w:r>
          <w:r w:rsidR="00401277" w:rsidRPr="00401277">
            <w:t>[5]</w:t>
          </w:r>
          <w:r w:rsidR="00EB71BE">
            <w:fldChar w:fldCharType="end"/>
          </w:r>
        </w:sdtContent>
      </w:sdt>
    </w:p>
    <w:p w14:paraId="7E65E842" w14:textId="65F51228" w:rsidR="00A2050E" w:rsidRPr="00D04502" w:rsidRDefault="00A2050E" w:rsidP="003560B7">
      <w:pPr>
        <w:pStyle w:val="Bulletlist1"/>
        <w:ind w:left="1418" w:hanging="357"/>
      </w:pPr>
      <w:r w:rsidRPr="00D04502">
        <w:t>TAG 17 Annex 4, ‘Civil Engineering - Construction Assurance’</w:t>
      </w:r>
      <w:r w:rsidR="00EB71BE">
        <w:t xml:space="preserve"> </w:t>
      </w:r>
      <w:sdt>
        <w:sdtPr>
          <w:id w:val="-1561013536"/>
          <w:citation/>
        </w:sdtPr>
        <w:sdtContent>
          <w:r w:rsidR="00EB71BE">
            <w:fldChar w:fldCharType="begin"/>
          </w:r>
          <w:r w:rsidR="00EB71BE">
            <w:instrText xml:space="preserve"> CITATION ONR162 \l 2057 </w:instrText>
          </w:r>
          <w:r w:rsidR="00EB71BE">
            <w:fldChar w:fldCharType="separate"/>
          </w:r>
          <w:r w:rsidR="00401277" w:rsidRPr="00401277">
            <w:t>[6]</w:t>
          </w:r>
          <w:r w:rsidR="00EB71BE">
            <w:fldChar w:fldCharType="end"/>
          </w:r>
        </w:sdtContent>
      </w:sdt>
    </w:p>
    <w:p w14:paraId="268C2BA8" w14:textId="74FCD933" w:rsidR="00A2050E" w:rsidRPr="00D04502" w:rsidRDefault="00A2050E" w:rsidP="003560B7">
      <w:pPr>
        <w:pStyle w:val="Bulletlist1"/>
        <w:ind w:left="1418" w:hanging="357"/>
      </w:pPr>
      <w:r w:rsidRPr="00D04502">
        <w:t>TAG 17 Annex 6, ‘Civil Engineering - Post operation’</w:t>
      </w:r>
      <w:r w:rsidR="00EB71BE">
        <w:t xml:space="preserve"> </w:t>
      </w:r>
      <w:sdt>
        <w:sdtPr>
          <w:id w:val="-1608107830"/>
          <w:citation/>
        </w:sdtPr>
        <w:sdtContent>
          <w:r w:rsidR="00EB71BE">
            <w:fldChar w:fldCharType="begin"/>
          </w:r>
          <w:r w:rsidR="00EB71BE">
            <w:instrText xml:space="preserve"> CITATION ONR166 \l 2057 </w:instrText>
          </w:r>
          <w:r w:rsidR="00EB71BE">
            <w:fldChar w:fldCharType="separate"/>
          </w:r>
          <w:r w:rsidR="00401277" w:rsidRPr="00401277">
            <w:t>[7]</w:t>
          </w:r>
          <w:r w:rsidR="00EB71BE">
            <w:fldChar w:fldCharType="end"/>
          </w:r>
        </w:sdtContent>
      </w:sdt>
    </w:p>
    <w:p w14:paraId="3B215E03" w14:textId="2C302C00" w:rsidR="00A2050E" w:rsidRPr="00D04502" w:rsidRDefault="00A2050E" w:rsidP="003560B7">
      <w:pPr>
        <w:pStyle w:val="F9-Paragraph"/>
        <w:ind w:left="851" w:hanging="851"/>
      </w:pPr>
      <w:r w:rsidRPr="00D04502">
        <w:t>The Inspector should be cognisant of the broad intent of the SAPs; namely that the important issue is not the level of conservatism assigned to one element of the civil engineering analysis and design process (in this case the geotechnical aspects), but the (overall) level of conservatism, applied to the process as a whole.</w:t>
      </w:r>
    </w:p>
    <w:p w14:paraId="0E14CB2F" w14:textId="53B7EDFE" w:rsidR="00E87D38" w:rsidRPr="00D04502" w:rsidRDefault="00E87D38" w:rsidP="00E87D38">
      <w:pPr>
        <w:pStyle w:val="Heading2"/>
        <w:ind w:left="851" w:hanging="851"/>
      </w:pPr>
      <w:r w:rsidRPr="00D04502">
        <w:t>Exemptions</w:t>
      </w:r>
    </w:p>
    <w:p w14:paraId="192A5419" w14:textId="77777777" w:rsidR="00EB71BE" w:rsidRDefault="009113C8" w:rsidP="000D3D0D">
      <w:pPr>
        <w:pStyle w:val="F9-Paragraph"/>
        <w:ind w:left="851" w:hanging="851"/>
      </w:pPr>
      <w:r w:rsidRPr="00D04502">
        <w:t xml:space="preserve">This annex refers to drainage pipework that is buried. This is not to be confused with pipework used in pressurised systems which are assessed by either structural integrity or mechanical engineering specialist inspectors. </w:t>
      </w:r>
    </w:p>
    <w:p w14:paraId="2AEBD9A8" w14:textId="0F57E3BE" w:rsidR="009113C8" w:rsidRPr="00D04502" w:rsidRDefault="009113C8" w:rsidP="000D3D0D">
      <w:pPr>
        <w:pStyle w:val="F9-Paragraph"/>
        <w:ind w:left="851" w:hanging="851"/>
      </w:pPr>
      <w:r w:rsidRPr="00D04502">
        <w:t xml:space="preserve">Section 2 of this document is based primarily on guidance for the assessment of ground investigations for new build sites rather than existing sites, but similar principles apply to existing sites. For the current operational or decommissioning sites in the UK, the consideration of geotechnical aspects was more limited at the time of their construction, but this should have been rectified to a degree during </w:t>
      </w:r>
      <w:r w:rsidRPr="00EB71BE">
        <w:t>subsequent</w:t>
      </w:r>
      <w:r w:rsidRPr="00D04502">
        <w:t xml:space="preserve"> Periodic Reviews of Safety. Therefore, for new facilities on existing sites, the Inspector should appreciate that the geotechnical aspects should not be examined in isolation from the totality of the safety case. The Inspector may wish to seek assurance that the dutyholder has demonstrated the risks associated with the civil engineering works have been assessed in line with the ALARP principles. For ONR guidance on ALARP </w:t>
      </w:r>
      <w:r w:rsidR="00EB71BE">
        <w:t xml:space="preserve">refer to the associated TAG </w:t>
      </w:r>
      <w:sdt>
        <w:sdtPr>
          <w:id w:val="-61413253"/>
          <w:citation/>
        </w:sdtPr>
        <w:sdtContent>
          <w:r w:rsidR="00EB71BE">
            <w:fldChar w:fldCharType="begin"/>
          </w:r>
          <w:r w:rsidR="00EB71BE">
            <w:instrText xml:space="preserve"> CITATION ONR100 \l 2057 </w:instrText>
          </w:r>
          <w:r w:rsidR="00EB71BE">
            <w:fldChar w:fldCharType="separate"/>
          </w:r>
          <w:r w:rsidR="00401277">
            <w:rPr>
              <w:noProof/>
            </w:rPr>
            <w:t>[8]</w:t>
          </w:r>
          <w:r w:rsidR="00EB71BE">
            <w:fldChar w:fldCharType="end"/>
          </w:r>
        </w:sdtContent>
      </w:sdt>
      <w:r w:rsidR="00EB71BE">
        <w:t>.</w:t>
      </w:r>
    </w:p>
    <w:p w14:paraId="3509C23F" w14:textId="41F6C41A" w:rsidR="009113C8" w:rsidRPr="00D04502" w:rsidRDefault="009113C8" w:rsidP="0057682D">
      <w:pPr>
        <w:pStyle w:val="F9-Paragraph"/>
        <w:ind w:left="851" w:hanging="851"/>
      </w:pPr>
      <w:r w:rsidRPr="00D04502">
        <w:lastRenderedPageBreak/>
        <w:t xml:space="preserve">This annex does not cover sampling for contaminated land. For more information about land contamination, </w:t>
      </w:r>
      <w:r w:rsidR="00EB71BE">
        <w:t>refer to</w:t>
      </w:r>
      <w:r w:rsidRPr="00D04502">
        <w:t xml:space="preserve"> section 5.7.1 of TAG 17</w:t>
      </w:r>
      <w:r w:rsidR="00EB71BE">
        <w:t xml:space="preserve"> </w:t>
      </w:r>
      <w:sdt>
        <w:sdtPr>
          <w:id w:val="848137851"/>
          <w:citation/>
        </w:sdtPr>
        <w:sdtContent>
          <w:r w:rsidR="00EB71BE">
            <w:fldChar w:fldCharType="begin"/>
          </w:r>
          <w:r w:rsidR="00EB71BE">
            <w:instrText xml:space="preserve"> CITATION NST1 \l 2057 </w:instrText>
          </w:r>
          <w:r w:rsidR="00EB71BE">
            <w:fldChar w:fldCharType="separate"/>
          </w:r>
          <w:r w:rsidR="00401277">
            <w:rPr>
              <w:noProof/>
            </w:rPr>
            <w:t>[1]</w:t>
          </w:r>
          <w:r w:rsidR="00EB71BE">
            <w:fldChar w:fldCharType="end"/>
          </w:r>
        </w:sdtContent>
      </w:sdt>
      <w:r w:rsidRPr="00D04502">
        <w:t xml:space="preserve">. </w:t>
      </w:r>
    </w:p>
    <w:p w14:paraId="045AE621" w14:textId="77777777" w:rsidR="00EB71BE" w:rsidRDefault="00EB71BE" w:rsidP="003855EF">
      <w:pPr>
        <w:pStyle w:val="Heading1"/>
        <w:numPr>
          <w:ilvl w:val="0"/>
          <w:numId w:val="4"/>
        </w:numPr>
        <w:ind w:left="851" w:hanging="851"/>
        <w:sectPr w:rsidR="00EB71BE">
          <w:pgSz w:w="11906" w:h="16838"/>
          <w:pgMar w:top="1440" w:right="1440" w:bottom="1440" w:left="1440" w:header="708" w:footer="708" w:gutter="0"/>
          <w:cols w:space="708"/>
          <w:docGrid w:linePitch="360"/>
        </w:sectPr>
      </w:pPr>
      <w:bookmarkStart w:id="6" w:name="_Toc218000540"/>
      <w:bookmarkStart w:id="7" w:name="_Toc473642919"/>
      <w:bookmarkStart w:id="8" w:name="_Ref485108197"/>
      <w:bookmarkStart w:id="9" w:name="_Ref485112275"/>
      <w:bookmarkStart w:id="10" w:name="_Toc519072432"/>
      <w:bookmarkStart w:id="11" w:name="_Toc521510829"/>
      <w:bookmarkStart w:id="12" w:name="_Toc141358369"/>
    </w:p>
    <w:p w14:paraId="5869A4F7" w14:textId="6DAAC30F" w:rsidR="003855EF" w:rsidRPr="00D04502" w:rsidRDefault="009F33E9" w:rsidP="003855EF">
      <w:pPr>
        <w:pStyle w:val="Heading1"/>
        <w:numPr>
          <w:ilvl w:val="0"/>
          <w:numId w:val="4"/>
        </w:numPr>
        <w:ind w:left="851" w:hanging="851"/>
      </w:pPr>
      <w:bookmarkStart w:id="13" w:name="_Toc234832902"/>
      <w:r w:rsidRPr="00D04502">
        <w:lastRenderedPageBreak/>
        <w:t xml:space="preserve">Ground </w:t>
      </w:r>
      <w:r w:rsidR="00EB71BE">
        <w:t>i</w:t>
      </w:r>
      <w:r w:rsidR="00B33E63" w:rsidRPr="00D04502">
        <w:t>nvestigation</w:t>
      </w:r>
      <w:r w:rsidR="003F4B21" w:rsidRPr="00D04502">
        <w:t xml:space="preserve">, </w:t>
      </w:r>
      <w:r w:rsidR="00EB71BE">
        <w:t>i</w:t>
      </w:r>
      <w:r w:rsidR="003F4B21" w:rsidRPr="00D04502">
        <w:t xml:space="preserve">nterpretation </w:t>
      </w:r>
      <w:r w:rsidR="003A4795" w:rsidRPr="00D04502">
        <w:t xml:space="preserve">and </w:t>
      </w:r>
      <w:r w:rsidR="00EB71BE">
        <w:t>r</w:t>
      </w:r>
      <w:r w:rsidR="003A4795" w:rsidRPr="00D04502">
        <w:t>eporting</w:t>
      </w:r>
      <w:bookmarkEnd w:id="6"/>
      <w:bookmarkEnd w:id="13"/>
    </w:p>
    <w:p w14:paraId="5CEAF195" w14:textId="740387A7" w:rsidR="00241CA6" w:rsidRPr="00D04502" w:rsidRDefault="003A4795" w:rsidP="00241CA6">
      <w:pPr>
        <w:pStyle w:val="Heading2"/>
        <w:ind w:left="851" w:hanging="851"/>
      </w:pPr>
      <w:r w:rsidRPr="00D04502">
        <w:t>Purpose</w:t>
      </w:r>
    </w:p>
    <w:p w14:paraId="5317CAFA" w14:textId="5B30EC24" w:rsidR="00A522C5" w:rsidRPr="00D04502" w:rsidRDefault="00A522C5" w:rsidP="00A522C5">
      <w:pPr>
        <w:pStyle w:val="F9-Paragraph"/>
        <w:ind w:left="851" w:hanging="851"/>
      </w:pPr>
      <w:r w:rsidRPr="00D04502">
        <w:t>The purpose of a ground investigation is to determine the ground conditions at a particular site. G</w:t>
      </w:r>
      <w:r w:rsidR="00AC0AFA" w:rsidRPr="00D04502">
        <w:t>round investigation</w:t>
      </w:r>
      <w:r w:rsidRPr="00D04502">
        <w:t xml:space="preserve"> may be implemented in the siting phase, which should be in line with the expectations of SAP ST.4. Where the </w:t>
      </w:r>
      <w:r w:rsidR="002D6562" w:rsidRPr="00D04502">
        <w:t>site-specific</w:t>
      </w:r>
      <w:r w:rsidRPr="00D04502">
        <w:t xml:space="preserve"> ground conditions are considered in the licensing phase, the Inspector should note that these early ground investigations will likely provide the data to inform the various parameters, models and analyses used to design SSCs, including the foundations for all civil structures. </w:t>
      </w:r>
      <w:r w:rsidR="00EB71BE">
        <w:br/>
      </w:r>
      <w:r w:rsidRPr="00D04502">
        <w:t xml:space="preserve">There is also an interface with external hazards, as the early </w:t>
      </w:r>
      <w:r w:rsidR="00AC0AFA" w:rsidRPr="00D04502">
        <w:t>ground investigation</w:t>
      </w:r>
      <w:r w:rsidRPr="00D04502">
        <w:t xml:space="preserve"> are an input to the PSHA works (SAP EHA.9). </w:t>
      </w:r>
    </w:p>
    <w:p w14:paraId="572311A2" w14:textId="0D337F2C" w:rsidR="0069702C" w:rsidRPr="00D04502" w:rsidRDefault="00091B99" w:rsidP="0069702C">
      <w:pPr>
        <w:pStyle w:val="F9-Paragraph"/>
        <w:ind w:left="851" w:hanging="851"/>
      </w:pPr>
      <w:r w:rsidRPr="00D04502">
        <w:t>Ground investigations should also identify and characterise a</w:t>
      </w:r>
      <w:r w:rsidR="00291E98" w:rsidRPr="00D04502">
        <w:t>ll</w:t>
      </w:r>
      <w:r w:rsidRPr="00D04502">
        <w:t xml:space="preserve"> </w:t>
      </w:r>
      <w:r w:rsidR="00E37E10" w:rsidRPr="00D04502">
        <w:t>hazards</w:t>
      </w:r>
      <w:r w:rsidR="00E05A3D" w:rsidRPr="00D04502">
        <w:t xml:space="preserve"> such as</w:t>
      </w:r>
      <w:r w:rsidR="002E7E91" w:rsidRPr="00D04502">
        <w:t xml:space="preserve"> but not limited to</w:t>
      </w:r>
      <w:r w:rsidR="00E05A3D" w:rsidRPr="00D04502">
        <w:t xml:space="preserve"> liquifiable materials, voids, ground gases, </w:t>
      </w:r>
      <w:r w:rsidR="00250354" w:rsidRPr="00D04502">
        <w:t>groundwater level and variability</w:t>
      </w:r>
      <w:r w:rsidR="003E1D55" w:rsidRPr="00D04502">
        <w:t xml:space="preserve">, </w:t>
      </w:r>
      <w:r w:rsidR="00673F6F" w:rsidRPr="00D04502">
        <w:t>unexploded ordn</w:t>
      </w:r>
      <w:r w:rsidR="00F7549C" w:rsidRPr="00D04502">
        <w:t>ance (</w:t>
      </w:r>
      <w:r w:rsidR="00E05A3D" w:rsidRPr="00D04502">
        <w:t>UXOs</w:t>
      </w:r>
      <w:r w:rsidR="00F7549C" w:rsidRPr="00D04502">
        <w:t>)</w:t>
      </w:r>
      <w:r w:rsidR="006C5C05" w:rsidRPr="00D04502">
        <w:t>, buried services</w:t>
      </w:r>
      <w:r w:rsidR="00B63D86" w:rsidRPr="00D04502">
        <w:t xml:space="preserve"> and</w:t>
      </w:r>
      <w:r w:rsidRPr="00D04502">
        <w:t xml:space="preserve"> subsurface contamination, whether radiological or conventional, at the site. These investigations </w:t>
      </w:r>
      <w:r w:rsidR="006471B5" w:rsidRPr="00D04502">
        <w:t>should provide</w:t>
      </w:r>
      <w:r w:rsidRPr="00D04502">
        <w:t xml:space="preserve"> sufficient data to inform suitable protection or remediation measures, aligning with the requirements set out in </w:t>
      </w:r>
      <w:r w:rsidR="00514066" w:rsidRPr="00D04502">
        <w:t xml:space="preserve">SAPs </w:t>
      </w:r>
      <w:r w:rsidRPr="00D04502">
        <w:t>RL.5 and RL.8 for contaminated land.</w:t>
      </w:r>
    </w:p>
    <w:p w14:paraId="6031DACF" w14:textId="1EB4302F" w:rsidR="00A522C5" w:rsidRPr="00D04502" w:rsidRDefault="00514066" w:rsidP="0069702C">
      <w:pPr>
        <w:pStyle w:val="F9-Paragraph"/>
        <w:ind w:left="851" w:hanging="851"/>
      </w:pPr>
      <w:r w:rsidRPr="00D04502">
        <w:t xml:space="preserve">Ground investigations may also aim to identify and assess any underground services on site. If electrical services are found, Inspectors </w:t>
      </w:r>
      <w:r w:rsidR="008775A4" w:rsidRPr="00D04502">
        <w:t xml:space="preserve">may wish to </w:t>
      </w:r>
      <w:r w:rsidRPr="00D04502">
        <w:t xml:space="preserve">review the dutyholder’s </w:t>
      </w:r>
      <w:r w:rsidR="008775A4" w:rsidRPr="00D04502">
        <w:t>arrangements</w:t>
      </w:r>
      <w:r w:rsidRPr="00D04502">
        <w:t xml:space="preserve"> to protect workers, as outlined in HSG47 ‘Avoiding danger from underground services’</w:t>
      </w:r>
      <w:r w:rsidR="008775A4" w:rsidRPr="00D04502">
        <w:t xml:space="preserve"> </w:t>
      </w:r>
      <w:sdt>
        <w:sdtPr>
          <w:id w:val="1109403052"/>
          <w:citation/>
        </w:sdtPr>
        <w:sdtEndPr/>
        <w:sdtContent>
          <w:r w:rsidR="0069702C" w:rsidRPr="00D04502">
            <w:fldChar w:fldCharType="begin"/>
          </w:r>
          <w:r w:rsidR="0069702C" w:rsidRPr="00D04502">
            <w:instrText xml:space="preserve"> CITATION HSE141 \l 2057 </w:instrText>
          </w:r>
          <w:r w:rsidR="0069702C" w:rsidRPr="00D04502">
            <w:fldChar w:fldCharType="separate"/>
          </w:r>
          <w:r w:rsidR="00401277">
            <w:rPr>
              <w:noProof/>
            </w:rPr>
            <w:t>[9]</w:t>
          </w:r>
          <w:r w:rsidR="0069702C" w:rsidRPr="00D04502">
            <w:fldChar w:fldCharType="end"/>
          </w:r>
        </w:sdtContent>
      </w:sdt>
      <w:r w:rsidRPr="00D04502">
        <w:t>.</w:t>
      </w:r>
    </w:p>
    <w:p w14:paraId="7F506AC9" w14:textId="6CCCF852" w:rsidR="007371D7" w:rsidRPr="00D04502" w:rsidRDefault="007371D7" w:rsidP="007371D7">
      <w:pPr>
        <w:pStyle w:val="Heading2"/>
        <w:ind w:left="851" w:hanging="851"/>
      </w:pPr>
      <w:r w:rsidRPr="00D04502">
        <w:t xml:space="preserve">Desk </w:t>
      </w:r>
      <w:r w:rsidR="00EB71BE">
        <w:t>s</w:t>
      </w:r>
      <w:r w:rsidRPr="00D04502">
        <w:t>tudies</w:t>
      </w:r>
    </w:p>
    <w:p w14:paraId="07C09562" w14:textId="77777777" w:rsidR="000517A3" w:rsidRPr="00D04502" w:rsidRDefault="000517A3" w:rsidP="000517A3">
      <w:pPr>
        <w:pStyle w:val="F9-Paragraph"/>
        <w:ind w:left="851" w:hanging="851"/>
      </w:pPr>
      <w:r w:rsidRPr="00D04502">
        <w:t>The purpose of a desk study is to develop an initial understanding of the site’s geology and structure prior to the development of the programme of ground investigation. When assessing desk studies, the Inspector may wish to look to these two key outputs:</w:t>
      </w:r>
    </w:p>
    <w:p w14:paraId="022F89A0" w14:textId="77777777" w:rsidR="000517A3" w:rsidRPr="00D04502" w:rsidRDefault="000517A3" w:rsidP="000517A3">
      <w:pPr>
        <w:pStyle w:val="Bulletlist1"/>
        <w:ind w:left="1418" w:hanging="357"/>
      </w:pPr>
      <w:r w:rsidRPr="00D04502">
        <w:t>an initial ground model,</w:t>
      </w:r>
    </w:p>
    <w:p w14:paraId="74BF7B5D" w14:textId="77777777" w:rsidR="000517A3" w:rsidRPr="00D04502" w:rsidRDefault="000517A3" w:rsidP="000517A3">
      <w:pPr>
        <w:pStyle w:val="Bulletlist1"/>
        <w:ind w:left="1418" w:hanging="357"/>
      </w:pPr>
      <w:r w:rsidRPr="00D04502">
        <w:t xml:space="preserve">geotechnical risk register for the site. </w:t>
      </w:r>
    </w:p>
    <w:p w14:paraId="70ECA07C" w14:textId="7FFBD984" w:rsidR="000517A3" w:rsidRPr="00D04502" w:rsidRDefault="00E72A56" w:rsidP="00E72A56">
      <w:pPr>
        <w:pStyle w:val="F9-Paragraph"/>
        <w:ind w:left="851" w:hanging="851"/>
      </w:pPr>
      <w:r w:rsidRPr="00D04502">
        <w:t>The Inspector may wish to seek assurance that the dutyholder has identified existing ground conditions, associated risks, and key uncertainties to be addressed through ground investigation. The Inspector should also confirm that the preliminary ground model and geotechnical risk register are updated with new information as the project advances.</w:t>
      </w:r>
    </w:p>
    <w:p w14:paraId="5E5B13EB" w14:textId="77777777" w:rsidR="00EB71BE" w:rsidRDefault="00EB71BE" w:rsidP="00E72A56">
      <w:pPr>
        <w:pStyle w:val="F9-Paragraph"/>
        <w:ind w:left="851" w:hanging="851"/>
        <w:sectPr w:rsidR="00EB71BE">
          <w:pgSz w:w="11906" w:h="16838"/>
          <w:pgMar w:top="1440" w:right="1440" w:bottom="1440" w:left="1440" w:header="708" w:footer="708" w:gutter="0"/>
          <w:cols w:space="708"/>
          <w:docGrid w:linePitch="360"/>
        </w:sectPr>
      </w:pPr>
    </w:p>
    <w:p w14:paraId="40D5B600" w14:textId="77777777" w:rsidR="000517A3" w:rsidRPr="00D04502" w:rsidRDefault="000517A3" w:rsidP="00E72A56">
      <w:pPr>
        <w:pStyle w:val="F9-Paragraph"/>
        <w:ind w:left="851" w:hanging="851"/>
      </w:pPr>
      <w:r w:rsidRPr="00D04502">
        <w:lastRenderedPageBreak/>
        <w:t xml:space="preserve">The Inspector may assure themselves that the desk study has taken into account a range of data sources, making use of recent and historical information at regional, local and site-scales. Examples of such data sources are: </w:t>
      </w:r>
    </w:p>
    <w:p w14:paraId="61B3E8B4" w14:textId="77777777" w:rsidR="000517A3" w:rsidRPr="00D04502" w:rsidRDefault="000517A3" w:rsidP="00E72A56">
      <w:pPr>
        <w:pStyle w:val="Bulletlist1"/>
        <w:ind w:left="1418" w:hanging="357"/>
      </w:pPr>
      <w:r w:rsidRPr="00D04502">
        <w:t>recent and historical ground investigation data for the site,</w:t>
      </w:r>
    </w:p>
    <w:p w14:paraId="4DF31EE7" w14:textId="77777777" w:rsidR="000517A3" w:rsidRPr="00D04502" w:rsidRDefault="000517A3" w:rsidP="00E72A56">
      <w:pPr>
        <w:pStyle w:val="Bulletlist1"/>
        <w:ind w:left="1418" w:hanging="357"/>
      </w:pPr>
      <w:r w:rsidRPr="00D04502">
        <w:t>recent and historical data for the surrounding region,</w:t>
      </w:r>
    </w:p>
    <w:p w14:paraId="02F551C6" w14:textId="77777777" w:rsidR="000517A3" w:rsidRPr="00D04502" w:rsidRDefault="000517A3" w:rsidP="00E72A56">
      <w:pPr>
        <w:pStyle w:val="Bulletlist1"/>
        <w:ind w:left="1418" w:hanging="357"/>
      </w:pPr>
      <w:r w:rsidRPr="00D04502">
        <w:t>data for analogous geological deposits and/or terranes,</w:t>
      </w:r>
    </w:p>
    <w:p w14:paraId="184EC1D8" w14:textId="77777777" w:rsidR="000517A3" w:rsidRPr="00D04502" w:rsidRDefault="000517A3" w:rsidP="00E72A56">
      <w:pPr>
        <w:pStyle w:val="Bulletlist1"/>
        <w:ind w:left="1418" w:hanging="357"/>
      </w:pPr>
      <w:r w:rsidRPr="00D04502">
        <w:t>published literature,</w:t>
      </w:r>
    </w:p>
    <w:p w14:paraId="206F35B1" w14:textId="77777777" w:rsidR="000517A3" w:rsidRPr="00D04502" w:rsidRDefault="000517A3" w:rsidP="00E72A56">
      <w:pPr>
        <w:pStyle w:val="Bulletlist1"/>
        <w:ind w:left="1418" w:hanging="357"/>
      </w:pPr>
      <w:r w:rsidRPr="00D04502">
        <w:t>geological maps and section,</w:t>
      </w:r>
    </w:p>
    <w:p w14:paraId="656B96F3" w14:textId="77777777" w:rsidR="000517A3" w:rsidRPr="00D04502" w:rsidRDefault="000517A3" w:rsidP="00E72A56">
      <w:pPr>
        <w:pStyle w:val="Bulletlist1"/>
        <w:ind w:left="1418" w:hanging="357"/>
      </w:pPr>
      <w:r w:rsidRPr="00D04502">
        <w:t>geophysical and remote sensing data,</w:t>
      </w:r>
    </w:p>
    <w:p w14:paraId="6B8AC556" w14:textId="77777777" w:rsidR="000517A3" w:rsidRPr="00D04502" w:rsidRDefault="000517A3" w:rsidP="00E72A56">
      <w:pPr>
        <w:pStyle w:val="Bulletlist1"/>
        <w:ind w:left="1418" w:hanging="357"/>
      </w:pPr>
      <w:r w:rsidRPr="00D04502">
        <w:t>British Geological Survey (BGS) records.</w:t>
      </w:r>
    </w:p>
    <w:p w14:paraId="45C16502" w14:textId="67180F10" w:rsidR="000517A3" w:rsidRPr="00D04502" w:rsidRDefault="00544C34" w:rsidP="00544C34">
      <w:pPr>
        <w:pStyle w:val="F9-Paragraph"/>
        <w:ind w:left="851" w:hanging="851"/>
      </w:pPr>
      <w:r w:rsidRPr="00D04502">
        <w:t xml:space="preserve">When using such data sources, the Inspector may wish to consider their origin, reliability, quality, and the suitability of data collection methods. </w:t>
      </w:r>
      <w:r w:rsidR="00EB71BE">
        <w:br/>
      </w:r>
      <w:r w:rsidRPr="00D04502">
        <w:t>The desk study should enable the dutyholder to determine the necessary intrusive sampling and testing, and support all parties in interpreting and understanding the site and its context for ground investigations.</w:t>
      </w:r>
    </w:p>
    <w:p w14:paraId="274CE5CE" w14:textId="2078357C" w:rsidR="000517A3" w:rsidRPr="00D04502" w:rsidRDefault="000517A3" w:rsidP="00885CD6">
      <w:pPr>
        <w:pStyle w:val="F9-Paragraph"/>
        <w:ind w:left="851" w:hanging="851"/>
      </w:pPr>
      <w:r w:rsidRPr="00D04502">
        <w:t>The Inspector may wish to consider whether there are any imposed constraints on ground investigation activities including those attributable to topographical, archaeological, environmental and ecological considerations</w:t>
      </w:r>
      <w:r w:rsidR="00B44CF3" w:rsidRPr="00D04502">
        <w:t xml:space="preserve"> noting that many nuclear sites</w:t>
      </w:r>
      <w:r w:rsidR="008B40E4" w:rsidRPr="00D04502">
        <w:t xml:space="preserve"> have seen previous use</w:t>
      </w:r>
      <w:r w:rsidRPr="00D04502">
        <w:t xml:space="preserve">. Information collected during the desk study could include, but not be limited to: </w:t>
      </w:r>
    </w:p>
    <w:p w14:paraId="4C18CEC6" w14:textId="77777777" w:rsidR="000517A3" w:rsidRPr="00D04502" w:rsidRDefault="000517A3" w:rsidP="00885CD6">
      <w:pPr>
        <w:pStyle w:val="Bulletlist1"/>
        <w:ind w:left="1418" w:hanging="357"/>
      </w:pPr>
      <w:r w:rsidRPr="00D04502">
        <w:t xml:space="preserve">topographic features, </w:t>
      </w:r>
    </w:p>
    <w:p w14:paraId="6EC171F2" w14:textId="77777777" w:rsidR="000517A3" w:rsidRPr="00D04502" w:rsidRDefault="000517A3" w:rsidP="00885CD6">
      <w:pPr>
        <w:pStyle w:val="Bulletlist1"/>
        <w:ind w:left="1418" w:hanging="357"/>
      </w:pPr>
      <w:r w:rsidRPr="00D04502">
        <w:t xml:space="preserve">surface water features, </w:t>
      </w:r>
    </w:p>
    <w:p w14:paraId="0E3D3FF6" w14:textId="77777777" w:rsidR="000517A3" w:rsidRPr="00D04502" w:rsidRDefault="000517A3" w:rsidP="00885CD6">
      <w:pPr>
        <w:pStyle w:val="Bulletlist1"/>
        <w:ind w:left="1418" w:hanging="357"/>
      </w:pPr>
      <w:r w:rsidRPr="00D04502">
        <w:t xml:space="preserve">access routes, </w:t>
      </w:r>
    </w:p>
    <w:p w14:paraId="5ECB7B56" w14:textId="77777777" w:rsidR="000517A3" w:rsidRPr="00D04502" w:rsidRDefault="000517A3" w:rsidP="00885CD6">
      <w:pPr>
        <w:pStyle w:val="Bulletlist1"/>
        <w:ind w:left="1418" w:hanging="357"/>
      </w:pPr>
      <w:r w:rsidRPr="00D04502">
        <w:t xml:space="preserve">existing and historical land-use, </w:t>
      </w:r>
    </w:p>
    <w:p w14:paraId="3F476A35" w14:textId="77777777" w:rsidR="000517A3" w:rsidRPr="00D04502" w:rsidRDefault="000517A3" w:rsidP="00885CD6">
      <w:pPr>
        <w:pStyle w:val="Bulletlist1"/>
        <w:ind w:left="1418" w:hanging="357"/>
      </w:pPr>
      <w:r w:rsidRPr="00D04502">
        <w:t xml:space="preserve">gases within the ground, </w:t>
      </w:r>
    </w:p>
    <w:p w14:paraId="31C25689" w14:textId="77777777" w:rsidR="000517A3" w:rsidRPr="00D04502" w:rsidRDefault="000517A3" w:rsidP="00885CD6">
      <w:pPr>
        <w:pStyle w:val="Bulletlist1"/>
        <w:ind w:left="1418" w:hanging="357"/>
      </w:pPr>
      <w:r w:rsidRPr="00D04502">
        <w:t xml:space="preserve">potential for voids, </w:t>
      </w:r>
    </w:p>
    <w:p w14:paraId="077E9319" w14:textId="77777777" w:rsidR="000517A3" w:rsidRPr="00D04502" w:rsidRDefault="000517A3" w:rsidP="00885CD6">
      <w:pPr>
        <w:pStyle w:val="Bulletlist1"/>
        <w:ind w:left="1418" w:hanging="357"/>
      </w:pPr>
      <w:r w:rsidRPr="00D04502">
        <w:t>faults or other geological features,</w:t>
      </w:r>
    </w:p>
    <w:p w14:paraId="1DDDEAF2" w14:textId="77777777" w:rsidR="000517A3" w:rsidRPr="00D04502" w:rsidRDefault="000517A3" w:rsidP="00885CD6">
      <w:pPr>
        <w:pStyle w:val="Bulletlist1"/>
        <w:ind w:left="1418" w:hanging="357"/>
      </w:pPr>
      <w:r w:rsidRPr="00D04502">
        <w:t xml:space="preserve">existing structures and developments, </w:t>
      </w:r>
    </w:p>
    <w:p w14:paraId="658AF69E" w14:textId="4C19D14F" w:rsidR="000517A3" w:rsidRPr="00D04502" w:rsidRDefault="000517A3" w:rsidP="00885CD6">
      <w:pPr>
        <w:pStyle w:val="Bulletlist1"/>
        <w:ind w:left="1418" w:hanging="357"/>
        <w:rPr>
          <w:lang w:val="fr-FR"/>
        </w:rPr>
      </w:pPr>
      <w:r w:rsidRPr="00D04502">
        <w:rPr>
          <w:lang w:val="fr-FR"/>
        </w:rPr>
        <w:t xml:space="preserve">chemicals </w:t>
      </w:r>
      <w:r w:rsidR="003F2F30">
        <w:rPr>
          <w:lang w:val="fr-FR"/>
        </w:rPr>
        <w:t>(for example,</w:t>
      </w:r>
      <w:r w:rsidRPr="00D04502">
        <w:rPr>
          <w:lang w:val="fr-FR"/>
        </w:rPr>
        <w:t xml:space="preserve"> non-aqueous phase liquids), </w:t>
      </w:r>
    </w:p>
    <w:p w14:paraId="1F23E7CA" w14:textId="5DE5109F" w:rsidR="000517A3" w:rsidRPr="00D04502" w:rsidRDefault="000517A3" w:rsidP="00885CD6">
      <w:pPr>
        <w:pStyle w:val="Bulletlist1"/>
        <w:ind w:left="1418" w:hanging="357"/>
      </w:pPr>
      <w:r w:rsidRPr="00D04502">
        <w:t xml:space="preserve">radiation, hazardous and man-made materials </w:t>
      </w:r>
      <w:r w:rsidR="003F2F30">
        <w:t>(for example,</w:t>
      </w:r>
      <w:r w:rsidRPr="00D04502">
        <w:t xml:space="preserve"> asbestos), </w:t>
      </w:r>
    </w:p>
    <w:p w14:paraId="3F7FE26F" w14:textId="77777777" w:rsidR="000517A3" w:rsidRPr="00D04502" w:rsidRDefault="000517A3" w:rsidP="00885CD6">
      <w:pPr>
        <w:pStyle w:val="Bulletlist1"/>
        <w:ind w:left="1418" w:hanging="357"/>
      </w:pPr>
      <w:r w:rsidRPr="00D04502">
        <w:lastRenderedPageBreak/>
        <w:t>potential for underground services or unexploded ordinance.</w:t>
      </w:r>
    </w:p>
    <w:p w14:paraId="281EA30D" w14:textId="42ECE3D3" w:rsidR="000517A3" w:rsidRPr="00D04502" w:rsidRDefault="00885CD6" w:rsidP="00A80CC1">
      <w:pPr>
        <w:pStyle w:val="F9-Paragraph"/>
        <w:ind w:left="851" w:hanging="851"/>
      </w:pPr>
      <w:r w:rsidRPr="00D04502">
        <w:t xml:space="preserve">The Inspector </w:t>
      </w:r>
      <w:r w:rsidR="00A80CC1" w:rsidRPr="00D04502">
        <w:t xml:space="preserve">may wish to seek evidence </w:t>
      </w:r>
      <w:r w:rsidRPr="00D04502">
        <w:t xml:space="preserve">that historic and current land use, as well as utility records, have been reviewed during the desk study to identify risks and constraints for ground investigation. Dutyholders are expected to assess the potential for buried structures, underground services, and contamination, and retain information on privately owned services. Where relevant, the risk of unexploded ordnance </w:t>
      </w:r>
      <w:r w:rsidR="00A80CC1" w:rsidRPr="00D04502">
        <w:t>should</w:t>
      </w:r>
      <w:r w:rsidRPr="00D04502">
        <w:t xml:space="preserve"> be investigated before any intrusive ground works commence.</w:t>
      </w:r>
    </w:p>
    <w:p w14:paraId="3A6204B0" w14:textId="322B17A2" w:rsidR="000517A3" w:rsidRPr="00D04502" w:rsidRDefault="00A80CC1" w:rsidP="009F563D">
      <w:pPr>
        <w:pStyle w:val="F9-Paragraph"/>
        <w:ind w:left="851" w:hanging="851"/>
      </w:pPr>
      <w:r w:rsidRPr="00D04502">
        <w:rPr>
          <w:rFonts w:eastAsia="Calibri"/>
        </w:rPr>
        <w:t>For new or expanded facilities on an existing site, the Inspector may seek confirmation that thorough optioneering has been conducted as part of ALARP site assessments. The Inspector may also check that these studies consider the ground investigation required to support the facility’s design.</w:t>
      </w:r>
    </w:p>
    <w:p w14:paraId="45A33686" w14:textId="1A1475ED" w:rsidR="002C16A7" w:rsidRPr="00D04502" w:rsidRDefault="002C16A7" w:rsidP="002C16A7">
      <w:pPr>
        <w:pStyle w:val="Heading2"/>
        <w:ind w:left="851" w:hanging="851"/>
      </w:pPr>
      <w:r w:rsidRPr="00D04502">
        <w:t xml:space="preserve">Site </w:t>
      </w:r>
      <w:r w:rsidR="00EB71BE">
        <w:t>r</w:t>
      </w:r>
      <w:r w:rsidRPr="00D04502">
        <w:t>econnaissance</w:t>
      </w:r>
    </w:p>
    <w:p w14:paraId="187E6F31" w14:textId="68D3CD5E" w:rsidR="00863B71" w:rsidRPr="00D04502" w:rsidRDefault="00863B71" w:rsidP="00AB7C1F">
      <w:pPr>
        <w:pStyle w:val="F9-Paragraph"/>
        <w:ind w:left="851" w:hanging="851"/>
      </w:pPr>
      <w:r w:rsidRPr="00D04502">
        <w:t>The Inspector may require evidence that the dutyholder has carried out a site reconnaissance survey</w:t>
      </w:r>
      <w:r w:rsidR="00775F9D" w:rsidRPr="00D04502">
        <w:t xml:space="preserve"> which in essence bridges the gap between desk study and intrusive investigation</w:t>
      </w:r>
      <w:r w:rsidRPr="00D04502">
        <w:t>. This survey should be conducted to gain an early and holistic understanding of the site, allowing for the identification of all ground-related health and safety risks before any intrusive ground investigation is designed or undertaken. It is essential that suitable arrangements are in place to effectively manage these risks, ensuring the safety and integrity of the investigation process.</w:t>
      </w:r>
    </w:p>
    <w:p w14:paraId="5147F984" w14:textId="77777777" w:rsidR="008059DA" w:rsidRPr="00D04502" w:rsidRDefault="008059DA" w:rsidP="004E6C5B">
      <w:pPr>
        <w:pStyle w:val="F9-Paragraph"/>
        <w:ind w:left="851" w:hanging="851"/>
      </w:pPr>
      <w:r w:rsidRPr="00D04502">
        <w:t xml:space="preserve">Site reconnaissance can be useful for appreciation of the adjacent facilities and working area, including identification of services that are not in accordance with drawings. </w:t>
      </w:r>
    </w:p>
    <w:p w14:paraId="513C2660" w14:textId="77777777" w:rsidR="008059DA" w:rsidRPr="00D04502" w:rsidRDefault="008059DA" w:rsidP="004E6C5B">
      <w:pPr>
        <w:pStyle w:val="F9-Paragraph"/>
        <w:ind w:left="851" w:hanging="851"/>
      </w:pPr>
      <w:r w:rsidRPr="00D04502">
        <w:t>If the desk study identifies a risk of unexploded ordnance on the site, then the Inspector may seek assurance that appropriate measures are taken to mitigate the risk.</w:t>
      </w:r>
    </w:p>
    <w:p w14:paraId="0B992086" w14:textId="7BC88CF7" w:rsidR="008059DA" w:rsidRPr="00D04502" w:rsidRDefault="004E6C5B" w:rsidP="00D31E68">
      <w:pPr>
        <w:pStyle w:val="F9-Paragraph"/>
        <w:ind w:left="851" w:hanging="851"/>
      </w:pPr>
      <w:r w:rsidRPr="00D04502">
        <w:rPr>
          <w:rFonts w:eastAsia="Calibri"/>
        </w:rPr>
        <w:t xml:space="preserve">For both new and existing sites where </w:t>
      </w:r>
      <w:r w:rsidR="00C062F2" w:rsidRPr="00D04502">
        <w:t xml:space="preserve">below </w:t>
      </w:r>
      <w:r w:rsidRPr="00D04502">
        <w:rPr>
          <w:rFonts w:eastAsia="Calibri"/>
        </w:rPr>
        <w:t xml:space="preserve">ground services are expected, Inspectors should ensure that service locations are verified by site survey rather than relying solely on drawings or records, as these may be inaccurate. It is unacceptable to presume services follow straight paths between two points, as deviations can occur during installation. Reliance on buried marker tapes or tracer wires is also inadequate, as their positioning may be incorrect. Work around electrical services </w:t>
      </w:r>
      <w:r w:rsidR="00D31E68" w:rsidRPr="00D04502">
        <w:t>should be inline with</w:t>
      </w:r>
      <w:r w:rsidRPr="00D04502">
        <w:rPr>
          <w:rFonts w:eastAsia="Calibri"/>
        </w:rPr>
        <w:t xml:space="preserve"> HSE guidelines.</w:t>
      </w:r>
    </w:p>
    <w:p w14:paraId="34F0E310" w14:textId="77777777" w:rsidR="00EB71BE" w:rsidRDefault="00EB71BE" w:rsidP="00DD0B18">
      <w:pPr>
        <w:pStyle w:val="Heading2"/>
        <w:ind w:left="851" w:hanging="851"/>
        <w:sectPr w:rsidR="00EB71BE">
          <w:pgSz w:w="11906" w:h="16838"/>
          <w:pgMar w:top="1440" w:right="1440" w:bottom="1440" w:left="1440" w:header="708" w:footer="708" w:gutter="0"/>
          <w:cols w:space="708"/>
          <w:docGrid w:linePitch="360"/>
        </w:sectPr>
      </w:pPr>
    </w:p>
    <w:p w14:paraId="53281164" w14:textId="07244455" w:rsidR="00DD0B18" w:rsidRPr="00D04502" w:rsidRDefault="00DD0B18" w:rsidP="00DD0B18">
      <w:pPr>
        <w:pStyle w:val="Heading2"/>
        <w:ind w:left="851" w:hanging="851"/>
      </w:pPr>
      <w:r w:rsidRPr="00D04502">
        <w:lastRenderedPageBreak/>
        <w:t xml:space="preserve">Ground </w:t>
      </w:r>
      <w:r w:rsidR="00EB71BE">
        <w:t>i</w:t>
      </w:r>
      <w:r w:rsidRPr="00D04502">
        <w:t>nvestigation</w:t>
      </w:r>
    </w:p>
    <w:p w14:paraId="2606F9EC" w14:textId="6FE6110E" w:rsidR="00BC31BB" w:rsidRPr="00D04502" w:rsidRDefault="00BC31BB" w:rsidP="00BC31BB">
      <w:pPr>
        <w:pStyle w:val="F9-Paragraph"/>
        <w:ind w:left="851" w:hanging="851"/>
        <w:rPr>
          <w:rFonts w:eastAsia="Calibri"/>
        </w:rPr>
      </w:pPr>
      <w:r w:rsidRPr="00D04502">
        <w:rPr>
          <w:rFonts w:eastAsia="Calibri"/>
        </w:rPr>
        <w:t xml:space="preserve">The ONR expectation is for a ground investigation rationale document to be developed for new reactor sites or major nuclear developments. </w:t>
      </w:r>
      <w:r w:rsidR="00EB71BE">
        <w:rPr>
          <w:rFonts w:eastAsia="Calibri"/>
        </w:rPr>
        <w:br/>
      </w:r>
      <w:r w:rsidRPr="00D04502">
        <w:rPr>
          <w:rFonts w:eastAsia="Calibri"/>
        </w:rPr>
        <w:t xml:space="preserve">The purpose of the ground investigation rationale document is to: </w:t>
      </w:r>
    </w:p>
    <w:p w14:paraId="74AEA17B" w14:textId="77777777" w:rsidR="00BC31BB" w:rsidRPr="00D04502" w:rsidRDefault="00BC31BB" w:rsidP="00BC31BB">
      <w:pPr>
        <w:pStyle w:val="Bulletlist1"/>
        <w:ind w:left="1418" w:hanging="357"/>
      </w:pPr>
      <w:r w:rsidRPr="00D04502">
        <w:t>identify the need for the ground investigation including geotechnical risks to be addressed,</w:t>
      </w:r>
    </w:p>
    <w:p w14:paraId="6A75E836" w14:textId="77777777" w:rsidR="00BC31BB" w:rsidRPr="00D04502" w:rsidRDefault="00BC31BB" w:rsidP="00BC31BB">
      <w:pPr>
        <w:pStyle w:val="Bulletlist1"/>
        <w:ind w:left="1418" w:hanging="357"/>
      </w:pPr>
      <w:r w:rsidRPr="00D04502">
        <w:t>outline the scope of the ground investigation,</w:t>
      </w:r>
    </w:p>
    <w:p w14:paraId="485A5BA0" w14:textId="77777777" w:rsidR="00BC31BB" w:rsidRPr="00D04502" w:rsidRDefault="00BC31BB" w:rsidP="00BC31BB">
      <w:pPr>
        <w:pStyle w:val="Bulletlist1"/>
        <w:ind w:left="1418" w:hanging="357"/>
      </w:pPr>
      <w:r w:rsidRPr="00D04502">
        <w:t>describe the ground investigation requirements,</w:t>
      </w:r>
    </w:p>
    <w:p w14:paraId="4D79D434" w14:textId="77777777" w:rsidR="00BC31BB" w:rsidRPr="00D04502" w:rsidRDefault="00BC31BB" w:rsidP="00BC31BB">
      <w:pPr>
        <w:pStyle w:val="Bulletlist1"/>
        <w:ind w:left="1418" w:hanging="357"/>
      </w:pPr>
      <w:r w:rsidRPr="00D04502">
        <w:t>specify the data to be collected,</w:t>
      </w:r>
    </w:p>
    <w:p w14:paraId="55CEA8E1" w14:textId="77777777" w:rsidR="00BC31BB" w:rsidRPr="00D04502" w:rsidRDefault="00BC31BB" w:rsidP="00BC31BB">
      <w:pPr>
        <w:pStyle w:val="Bulletlist1"/>
        <w:ind w:left="1418" w:hanging="357"/>
      </w:pPr>
      <w:r w:rsidRPr="00D04502">
        <w:t>justify the adequacy of the ground investigation to meet its requirements,</w:t>
      </w:r>
    </w:p>
    <w:p w14:paraId="74319F58" w14:textId="4C82B1C8" w:rsidR="00BC31BB" w:rsidRPr="00D04502" w:rsidRDefault="00BC31BB" w:rsidP="00BC31BB">
      <w:pPr>
        <w:pStyle w:val="Bulletlist1"/>
        <w:ind w:left="1418" w:hanging="357"/>
      </w:pPr>
      <w:r w:rsidRPr="00D04502">
        <w:t xml:space="preserve">review process once </w:t>
      </w:r>
      <w:r w:rsidR="00AC0AFA" w:rsidRPr="00D04502">
        <w:t>ground investigation</w:t>
      </w:r>
      <w:r w:rsidRPr="00D04502">
        <w:t xml:space="preserve"> has been completed, to check if the ground conditions will meet the requirements proposed to be placed upon it, with further work undertaken as required.</w:t>
      </w:r>
    </w:p>
    <w:p w14:paraId="2EBAEA7B" w14:textId="68293CD8" w:rsidR="00BC31BB" w:rsidRPr="00D04502" w:rsidRDefault="007952C5" w:rsidP="00EC330D">
      <w:pPr>
        <w:pStyle w:val="F9-Paragraph"/>
        <w:ind w:left="851" w:hanging="851"/>
        <w:rPr>
          <w:rFonts w:eastAsia="Calibri"/>
        </w:rPr>
      </w:pPr>
      <w:r w:rsidRPr="00D04502">
        <w:t xml:space="preserve">The Inspector </w:t>
      </w:r>
      <w:r w:rsidR="00102C1F" w:rsidRPr="00D04502">
        <w:t xml:space="preserve">may wish to </w:t>
      </w:r>
      <w:r w:rsidRPr="00D04502">
        <w:t xml:space="preserve">assess whether the rationale clearly states the necessity for ground investigation, as this determines its scope, requirements, and data collection. The need may range from confirming site suitability for a nuclear facility to supporting minor modifications. </w:t>
      </w:r>
      <w:r w:rsidR="00EB71BE">
        <w:br/>
      </w:r>
      <w:r w:rsidRPr="00D04502">
        <w:t xml:space="preserve">The Inspector </w:t>
      </w:r>
      <w:r w:rsidR="00EC330D" w:rsidRPr="00D04502">
        <w:t>may wish to</w:t>
      </w:r>
      <w:r w:rsidRPr="00D04502">
        <w:t xml:space="preserve"> ensure the rationale’s scope and detail are appropriate to the level of risk or uncertainty at this stage.</w:t>
      </w:r>
    </w:p>
    <w:p w14:paraId="53C23FBB" w14:textId="09BF6A0C" w:rsidR="00BC31BB" w:rsidRPr="00D04502" w:rsidRDefault="00EC330D" w:rsidP="00997E05">
      <w:pPr>
        <w:pStyle w:val="F9-Paragraph"/>
        <w:ind w:left="851" w:hanging="851"/>
      </w:pPr>
      <w:r w:rsidRPr="00D04502">
        <w:rPr>
          <w:rFonts w:eastAsia="Calibri"/>
        </w:rPr>
        <w:t xml:space="preserve">Inspectors </w:t>
      </w:r>
      <w:r w:rsidR="00653FE3" w:rsidRPr="00D04502">
        <w:t xml:space="preserve">may wish to </w:t>
      </w:r>
      <w:r w:rsidRPr="00D04502">
        <w:rPr>
          <w:rFonts w:eastAsia="Calibri"/>
        </w:rPr>
        <w:t xml:space="preserve">verify that the rationale document clearly defines the scope of ground investigation, including identification of the necessary analysis streams requiring ground investigation data. </w:t>
      </w:r>
      <w:r w:rsidR="00653FE3" w:rsidRPr="00D04502">
        <w:t xml:space="preserve">The inspectors may wish to </w:t>
      </w:r>
      <w:r w:rsidRPr="00D04502">
        <w:rPr>
          <w:rFonts w:eastAsia="Calibri"/>
        </w:rPr>
        <w:t>ensure that the dutyholder has recognised any gaps or uncertainties in the geological knowledge, as highlighted by the desk study, and that these are reflected in the ground model and geotechnical risk register. Requirements for each analysis stream should be developed with input from relevant end users, who may include but are not limited to:</w:t>
      </w:r>
    </w:p>
    <w:p w14:paraId="5E13DAF9" w14:textId="77777777" w:rsidR="00BC31BB" w:rsidRPr="00D04502" w:rsidRDefault="00BC31BB" w:rsidP="00EC330D">
      <w:pPr>
        <w:pStyle w:val="Bulletlist1"/>
        <w:ind w:left="1418" w:hanging="357"/>
      </w:pPr>
      <w:r w:rsidRPr="00D04502">
        <w:t xml:space="preserve">civil engineering, </w:t>
      </w:r>
    </w:p>
    <w:p w14:paraId="3AC46DD4" w14:textId="77777777" w:rsidR="00BC31BB" w:rsidRPr="00D04502" w:rsidRDefault="00BC31BB" w:rsidP="00EC330D">
      <w:pPr>
        <w:pStyle w:val="Bulletlist1"/>
        <w:ind w:left="1418" w:hanging="357"/>
      </w:pPr>
      <w:r w:rsidRPr="00D04502">
        <w:t>geotechnical engineering,</w:t>
      </w:r>
    </w:p>
    <w:p w14:paraId="1CB64305" w14:textId="77777777" w:rsidR="00BC31BB" w:rsidRPr="00D04502" w:rsidRDefault="00BC31BB" w:rsidP="00EC330D">
      <w:pPr>
        <w:pStyle w:val="Bulletlist1"/>
        <w:ind w:left="1418" w:hanging="357"/>
      </w:pPr>
      <w:r w:rsidRPr="00D04502">
        <w:t>hazard studies, including Probabilistic Seismic Hazard Analysis (PSHA) and Capable Faulting Study (CFS),</w:t>
      </w:r>
    </w:p>
    <w:p w14:paraId="0A83B889" w14:textId="77777777" w:rsidR="00BC31BB" w:rsidRPr="00D04502" w:rsidRDefault="00BC31BB" w:rsidP="00EC330D">
      <w:pPr>
        <w:pStyle w:val="Bulletlist1"/>
        <w:ind w:left="1418" w:hanging="357"/>
      </w:pPr>
      <w:r w:rsidRPr="00D04502">
        <w:t>liabilities management, if there is residual or extant contamination to manage.</w:t>
      </w:r>
    </w:p>
    <w:p w14:paraId="6FD23FCA" w14:textId="77777777" w:rsidR="00EB71BE" w:rsidRDefault="00EB71BE" w:rsidP="001D132D">
      <w:pPr>
        <w:pStyle w:val="F9-Paragraph"/>
        <w:ind w:left="851" w:hanging="851"/>
        <w:rPr>
          <w:rFonts w:eastAsia="Calibri"/>
        </w:rPr>
        <w:sectPr w:rsidR="00EB71BE">
          <w:pgSz w:w="11906" w:h="16838"/>
          <w:pgMar w:top="1440" w:right="1440" w:bottom="1440" w:left="1440" w:header="708" w:footer="708" w:gutter="0"/>
          <w:cols w:space="708"/>
          <w:docGrid w:linePitch="360"/>
        </w:sectPr>
      </w:pPr>
    </w:p>
    <w:p w14:paraId="7A4B1916" w14:textId="24F54225" w:rsidR="00BC31BB" w:rsidRPr="00D04502" w:rsidRDefault="00997E05" w:rsidP="001D132D">
      <w:pPr>
        <w:pStyle w:val="F9-Paragraph"/>
        <w:ind w:left="851" w:hanging="851"/>
        <w:rPr>
          <w:rFonts w:eastAsia="Calibri"/>
        </w:rPr>
      </w:pPr>
      <w:r w:rsidRPr="00D04502">
        <w:rPr>
          <w:rFonts w:eastAsia="Calibri"/>
        </w:rPr>
        <w:lastRenderedPageBreak/>
        <w:t>The Inspector should confirm that a ground investigation specification has been created to meet the stated requirements. Assurance may be sought regarding whether the specification adequately covers both intrusive and non-intrusive investigations, laboratory testing, surveying, monitoring, and further desk studies. This includes ensuring the specification details the location, quantity, and type of boreholes, tests, and measurements necessary to satisfy end user needs and support the ground model.</w:t>
      </w:r>
    </w:p>
    <w:p w14:paraId="7D566793" w14:textId="1198B4EC" w:rsidR="003637B6" w:rsidRPr="00E43135" w:rsidRDefault="003637B6" w:rsidP="00E43135">
      <w:pPr>
        <w:pStyle w:val="Heading3"/>
      </w:pPr>
      <w:r w:rsidRPr="00E43135">
        <w:t xml:space="preserve">Scope of </w:t>
      </w:r>
      <w:r w:rsidR="00EB71BE" w:rsidRPr="00E43135">
        <w:t>g</w:t>
      </w:r>
      <w:r w:rsidRPr="00E43135">
        <w:t xml:space="preserve">round </w:t>
      </w:r>
      <w:r w:rsidR="00EB71BE" w:rsidRPr="00E43135">
        <w:t>i</w:t>
      </w:r>
      <w:r w:rsidRPr="00E43135">
        <w:t>nvestigations</w:t>
      </w:r>
    </w:p>
    <w:p w14:paraId="1C958C2E" w14:textId="701C7EF0" w:rsidR="00D1065E" w:rsidRPr="00D04502" w:rsidRDefault="00D1065E" w:rsidP="003B6F38">
      <w:pPr>
        <w:pStyle w:val="F9-Paragraph"/>
        <w:ind w:left="851" w:hanging="851"/>
        <w:rPr>
          <w:rFonts w:eastAsia="Calibri"/>
        </w:rPr>
      </w:pPr>
      <w:r w:rsidRPr="00D04502">
        <w:t xml:space="preserve">The ground investigation scope should match the project's scale, identified risks, and geological complexity. The Inspector </w:t>
      </w:r>
      <w:r w:rsidR="003B6F38" w:rsidRPr="00D04502">
        <w:t xml:space="preserve">may wish to </w:t>
      </w:r>
      <w:r w:rsidRPr="00D04502">
        <w:t>ensure the scope covers geology, geotechnics, hydrology, and hydrogeology, and require the dutyholder to justify its adequacy in the rationale document.</w:t>
      </w:r>
    </w:p>
    <w:p w14:paraId="302F7B02" w14:textId="72E5AC85" w:rsidR="00D1065E" w:rsidRPr="00D04502" w:rsidRDefault="00D1065E" w:rsidP="003B6F38">
      <w:pPr>
        <w:pStyle w:val="F9-Paragraph"/>
        <w:ind w:left="851" w:hanging="851"/>
      </w:pPr>
      <w:r w:rsidRPr="00D04502">
        <w:t xml:space="preserve">In determining the adequacy of the ground investigations, the Inspector may wish to consider </w:t>
      </w:r>
      <w:r w:rsidR="00487784" w:rsidRPr="00D04502">
        <w:t xml:space="preserve">existing </w:t>
      </w:r>
      <w:r w:rsidR="00182338" w:rsidRPr="00D04502">
        <w:t xml:space="preserve">good practice </w:t>
      </w:r>
      <w:r w:rsidRPr="00D04502">
        <w:t>when assessing the developing scope of the ground investigation, such as Eurocode 7</w:t>
      </w:r>
      <w:r w:rsidR="00AF437C" w:rsidRPr="00D04502">
        <w:t xml:space="preserve"> </w:t>
      </w:r>
      <w:sdt>
        <w:sdtPr>
          <w:id w:val="-1673336875"/>
          <w:citation/>
        </w:sdtPr>
        <w:sdtEndPr/>
        <w:sdtContent>
          <w:r w:rsidR="00E14AE0" w:rsidRPr="00D04502">
            <w:fldChar w:fldCharType="begin"/>
          </w:r>
          <w:r w:rsidR="00E14AE0" w:rsidRPr="00D04502">
            <w:instrText xml:space="preserve"> CITATION BSI5 \l 2057 </w:instrText>
          </w:r>
          <w:r w:rsidR="00E14AE0" w:rsidRPr="00D04502">
            <w:fldChar w:fldCharType="separate"/>
          </w:r>
          <w:r w:rsidR="00401277">
            <w:rPr>
              <w:noProof/>
            </w:rPr>
            <w:t>[10]</w:t>
          </w:r>
          <w:r w:rsidR="00E14AE0" w:rsidRPr="00D04502">
            <w:fldChar w:fldCharType="end"/>
          </w:r>
        </w:sdtContent>
      </w:sdt>
      <w:r w:rsidRPr="00D04502">
        <w:t xml:space="preserve"> and British Standard (BS) 5930</w:t>
      </w:r>
      <w:r w:rsidR="00DA456C" w:rsidRPr="00D04502">
        <w:t xml:space="preserve"> </w:t>
      </w:r>
      <w:sdt>
        <w:sdtPr>
          <w:id w:val="1969629713"/>
          <w:citation/>
        </w:sdtPr>
        <w:sdtEndPr/>
        <w:sdtContent>
          <w:r w:rsidR="00FB2802" w:rsidRPr="00D04502">
            <w:fldChar w:fldCharType="begin"/>
          </w:r>
          <w:r w:rsidR="00FB2802" w:rsidRPr="00D04502">
            <w:instrText xml:space="preserve"> CITATION BSI4 \l 2057 </w:instrText>
          </w:r>
          <w:r w:rsidR="00FB2802" w:rsidRPr="00D04502">
            <w:fldChar w:fldCharType="separate"/>
          </w:r>
          <w:r w:rsidR="00401277">
            <w:rPr>
              <w:noProof/>
            </w:rPr>
            <w:t>[4]</w:t>
          </w:r>
          <w:r w:rsidR="00FB2802" w:rsidRPr="00D04502">
            <w:fldChar w:fldCharType="end"/>
          </w:r>
        </w:sdtContent>
      </w:sdt>
      <w:r w:rsidRPr="00D04502">
        <w:t xml:space="preserve">. </w:t>
      </w:r>
      <w:r w:rsidR="00E508CC" w:rsidRPr="00D04502">
        <w:t xml:space="preserve">Good practice </w:t>
      </w:r>
      <w:r w:rsidRPr="00D04502">
        <w:t xml:space="preserve">for ground investigation is generally non-prescriptive and developed for non-nuclear projects. Therefore, the </w:t>
      </w:r>
      <w:r w:rsidR="00E508CC" w:rsidRPr="00D04502">
        <w:t xml:space="preserve">good practice </w:t>
      </w:r>
      <w:r w:rsidRPr="00D04502">
        <w:t xml:space="preserve">P mentioned represents a starting point for the works, and the Inspector may wish to examine the dutyholders’ expert judgement used regarding developing the specification and the scope of the ground investigation. The Inspector should be aware that there is IAEA guidance that is nuclear specific for undertaking geotechnical work and ground investigations </w:t>
      </w:r>
      <w:sdt>
        <w:sdtPr>
          <w:id w:val="-2129841602"/>
          <w:citation/>
        </w:sdtPr>
        <w:sdtEndPr/>
        <w:sdtContent>
          <w:r w:rsidR="00AB29E0" w:rsidRPr="00D04502">
            <w:fldChar w:fldCharType="begin"/>
          </w:r>
          <w:r w:rsidR="00AB29E0" w:rsidRPr="00D04502">
            <w:instrText xml:space="preserve"> CITATION IAE04 \l 2057 </w:instrText>
          </w:r>
          <w:r w:rsidR="00AB29E0" w:rsidRPr="00D04502">
            <w:fldChar w:fldCharType="separate"/>
          </w:r>
          <w:r w:rsidR="00401277">
            <w:rPr>
              <w:noProof/>
            </w:rPr>
            <w:t>[11]</w:t>
          </w:r>
          <w:r w:rsidR="00AB29E0" w:rsidRPr="00D04502">
            <w:fldChar w:fldCharType="end"/>
          </w:r>
        </w:sdtContent>
      </w:sdt>
      <w:r w:rsidR="00AB29E0" w:rsidRPr="00D04502">
        <w:t xml:space="preserve"> and </w:t>
      </w:r>
      <w:sdt>
        <w:sdtPr>
          <w:id w:val="-244180137"/>
          <w:citation/>
        </w:sdtPr>
        <w:sdtEndPr/>
        <w:sdtContent>
          <w:r w:rsidR="009253F4" w:rsidRPr="00D04502">
            <w:fldChar w:fldCharType="begin"/>
          </w:r>
          <w:r w:rsidR="009253F4" w:rsidRPr="00D04502">
            <w:instrText xml:space="preserve"> CITATION IAE151 \l 2057 </w:instrText>
          </w:r>
          <w:r w:rsidR="009253F4" w:rsidRPr="00D04502">
            <w:fldChar w:fldCharType="separate"/>
          </w:r>
          <w:r w:rsidR="00401277">
            <w:rPr>
              <w:noProof/>
            </w:rPr>
            <w:t>[12]</w:t>
          </w:r>
          <w:r w:rsidR="009253F4" w:rsidRPr="00D04502">
            <w:fldChar w:fldCharType="end"/>
          </w:r>
        </w:sdtContent>
      </w:sdt>
      <w:r w:rsidRPr="00D04502">
        <w:t>.</w:t>
      </w:r>
    </w:p>
    <w:p w14:paraId="288EBB58" w14:textId="1D492DE8" w:rsidR="00D1065E" w:rsidRPr="00D04502" w:rsidRDefault="00CF00BD" w:rsidP="00C94CE7">
      <w:pPr>
        <w:pStyle w:val="F9-Paragraph"/>
        <w:ind w:left="851" w:hanging="851"/>
      </w:pPr>
      <w:r w:rsidRPr="00D04502">
        <w:t xml:space="preserve">The Inspector </w:t>
      </w:r>
      <w:r w:rsidR="00C94CE7" w:rsidRPr="00D04502">
        <w:t xml:space="preserve">may seek assurance </w:t>
      </w:r>
      <w:r w:rsidRPr="00D04502">
        <w:t>that the dutyholder has justified the use of relevant codes and standards, such as Eurocodes, in light of their limitations and applicability to nuclear facilities. Additionally, the Inspector should confirm that the scope and specification of the ground investigation are suitable for the design requirements and that the investigation adequately fulfils the specification.</w:t>
      </w:r>
    </w:p>
    <w:p w14:paraId="06B5DA9E" w14:textId="4AE7CB50" w:rsidR="00D1065E" w:rsidRPr="00D04502" w:rsidRDefault="00C94CE7" w:rsidP="00192CD4">
      <w:pPr>
        <w:pStyle w:val="F9-Paragraph"/>
        <w:ind w:left="851" w:hanging="851"/>
      </w:pPr>
      <w:r w:rsidRPr="00D04502">
        <w:t xml:space="preserve">The Inspector </w:t>
      </w:r>
      <w:r w:rsidR="00F01BAD" w:rsidRPr="00D04502">
        <w:t xml:space="preserve">may wish to seek assurance that </w:t>
      </w:r>
      <w:r w:rsidRPr="00D04502">
        <w:t xml:space="preserve">the ground investigation is sufficiently comprehensive both laterally and vertically, and, where necessary, covers onshore and offshore areas. The assessment should confirm the investigation is designed to characterise parameters essential for design, prioritising interpolation over extrapolation of test data. This may involve large-scale site tests, such as those assessing ground consolidation characteristics. Ultimately, the Inspector </w:t>
      </w:r>
      <w:r w:rsidR="00FA12D7" w:rsidRPr="00D04502">
        <w:t xml:space="preserve">should </w:t>
      </w:r>
      <w:r w:rsidR="00F01BAD" w:rsidRPr="00D04502">
        <w:t xml:space="preserve">seek assurance </w:t>
      </w:r>
      <w:r w:rsidRPr="00D04502">
        <w:t>that the ground investigation is suitable and sufficient to support analysis of ground conditions, structural design, and evaluation of beyond design basis fault scenarios.</w:t>
      </w:r>
    </w:p>
    <w:p w14:paraId="3FF7F463" w14:textId="77777777" w:rsidR="00EB71BE" w:rsidRDefault="00EB71BE" w:rsidP="00192CD4">
      <w:pPr>
        <w:pStyle w:val="F9-Paragraph"/>
        <w:ind w:left="851" w:hanging="851"/>
        <w:sectPr w:rsidR="00EB71BE">
          <w:pgSz w:w="11906" w:h="16838"/>
          <w:pgMar w:top="1440" w:right="1440" w:bottom="1440" w:left="1440" w:header="708" w:footer="708" w:gutter="0"/>
          <w:cols w:space="708"/>
          <w:docGrid w:linePitch="360"/>
        </w:sectPr>
      </w:pPr>
    </w:p>
    <w:p w14:paraId="099082FE" w14:textId="1578B6E6" w:rsidR="00D1065E" w:rsidRPr="00D04502" w:rsidRDefault="00192CD4" w:rsidP="00192CD4">
      <w:pPr>
        <w:pStyle w:val="F9-Paragraph"/>
        <w:ind w:left="851" w:hanging="851"/>
      </w:pPr>
      <w:r w:rsidRPr="00D04502">
        <w:lastRenderedPageBreak/>
        <w:t xml:space="preserve">For new build sites, the Inspector </w:t>
      </w:r>
      <w:r w:rsidR="00FA12D7" w:rsidRPr="00D04502">
        <w:t>could</w:t>
      </w:r>
      <w:r w:rsidRPr="00D04502">
        <w:t xml:space="preserve"> seek assurance that the dutyholder uses a plot plan to guide the selection of ground investigation locations. Although the plot plan may only be indicative at this stage, it should show the proposed positions and footprints of main structures and buildings. </w:t>
      </w:r>
      <w:r w:rsidR="00EB71BE">
        <w:br/>
      </w:r>
      <w:r w:rsidRPr="00D04502">
        <w:t xml:space="preserve">Existing and planned investigation sites can be mapped onto this plan. If the plot plan changes during the project, additional ground investigation may be needed to assess conditions under new or relocated structures. </w:t>
      </w:r>
      <w:r w:rsidR="00EB71BE">
        <w:br/>
      </w:r>
      <w:r w:rsidRPr="00D04502">
        <w:t xml:space="preserve">The Inspector </w:t>
      </w:r>
      <w:r w:rsidR="00FA12D7" w:rsidRPr="00D04502">
        <w:t>could</w:t>
      </w:r>
      <w:r w:rsidRPr="00D04502">
        <w:t xml:space="preserve"> consider whether the combination of existing and new data sufficiently meets the design specification requirements.</w:t>
      </w:r>
    </w:p>
    <w:p w14:paraId="07FE0878" w14:textId="40D41CC6" w:rsidR="00D1065E" w:rsidRPr="00D04502" w:rsidRDefault="0015262F" w:rsidP="007F481B">
      <w:pPr>
        <w:pStyle w:val="F9-Paragraph"/>
        <w:ind w:left="851" w:hanging="851"/>
      </w:pPr>
      <w:r w:rsidRPr="00D04502">
        <w:t xml:space="preserve">To ensure the ground investigation is adequate, the Inspector may check for an appropriate level of independent technical review. Given the multi-disciplinary nature of such investigations, ONR expects independent peer review throughout, as required by SAP SC.1, since the findings inform the site safety case. This review should cover the development of the rationale and specification, as well as the investigation and reporting stages, and involve independent subject matter experts or suitably qualified and experienced personnel, including end users where appropriate. </w:t>
      </w:r>
      <w:r w:rsidR="00EB71BE">
        <w:br/>
      </w:r>
      <w:r w:rsidRPr="00D04502">
        <w:t xml:space="preserve">The Inspector </w:t>
      </w:r>
      <w:r w:rsidR="007F481B" w:rsidRPr="00D04502">
        <w:t>may</w:t>
      </w:r>
      <w:r w:rsidRPr="00D04502">
        <w:t xml:space="preserve"> also verify the independence and adequacy of this review in relation to the project's scale and complexity, and its suitability for informing subsequent design.</w:t>
      </w:r>
    </w:p>
    <w:p w14:paraId="37978DEE" w14:textId="4A161946" w:rsidR="00D1065E" w:rsidRPr="00D04502" w:rsidRDefault="00247CA6" w:rsidP="007E2757">
      <w:pPr>
        <w:pStyle w:val="F9-Paragraph"/>
        <w:ind w:left="851" w:hanging="851"/>
      </w:pPr>
      <w:r w:rsidRPr="00D04502">
        <w:rPr>
          <w:rFonts w:eastAsia="Calibri"/>
        </w:rPr>
        <w:t>The Inspector should ensure the project programme allows sufficient time for the desk study, ground investigation specification, phased investigations, and reporting to inform design. If not, the Inspector should confirm the dutyholder recognises the associated risks of proceeding with design work prematurely.</w:t>
      </w:r>
    </w:p>
    <w:p w14:paraId="22094120" w14:textId="7F48F1CE" w:rsidR="001730CB" w:rsidRPr="00D04502" w:rsidRDefault="00DC51F3" w:rsidP="00E43135">
      <w:pPr>
        <w:pStyle w:val="Heading3"/>
      </w:pPr>
      <w:r w:rsidRPr="00D04502">
        <w:t xml:space="preserve">Ground </w:t>
      </w:r>
      <w:r w:rsidR="00EB71BE">
        <w:t>m</w:t>
      </w:r>
      <w:r w:rsidRPr="00D04502">
        <w:t xml:space="preserve">odel and </w:t>
      </w:r>
      <w:r w:rsidR="00EB71BE">
        <w:t>g</w:t>
      </w:r>
      <w:r w:rsidRPr="00D04502">
        <w:t xml:space="preserve">eotechnical </w:t>
      </w:r>
      <w:r w:rsidR="00EB71BE">
        <w:t>r</w:t>
      </w:r>
      <w:r w:rsidRPr="00D04502">
        <w:t xml:space="preserve">isk </w:t>
      </w:r>
      <w:r w:rsidR="00EB71BE">
        <w:t>r</w:t>
      </w:r>
      <w:r w:rsidRPr="00D04502">
        <w:t>egister</w:t>
      </w:r>
    </w:p>
    <w:p w14:paraId="55052990" w14:textId="530D5073" w:rsidR="00931DDC" w:rsidRPr="00D04502" w:rsidRDefault="00606301" w:rsidP="002B1555">
      <w:pPr>
        <w:pStyle w:val="F9-Paragraph"/>
        <w:ind w:left="851" w:hanging="851"/>
        <w:rPr>
          <w:rFonts w:eastAsia="Calibri"/>
        </w:rPr>
      </w:pPr>
      <w:r w:rsidRPr="00D04502">
        <w:t xml:space="preserve">The ground model summarises the current understanding of site conditions. While its format may differ, the Inspector </w:t>
      </w:r>
      <w:r w:rsidR="000C5081" w:rsidRPr="00D04502">
        <w:t>may wish to seek assurance that</w:t>
      </w:r>
      <w:r w:rsidRPr="00D04502">
        <w:t xml:space="preserve"> it adequately incorporates all relevant geological, geotechnical, geophysical, hydrological, and hydrogeological data. The model should clearly identify ground condition parameters, their spatial distribution, and any remaining risks or uncertainties, such as existing services or contamination. </w:t>
      </w:r>
      <w:r w:rsidR="00EB71BE">
        <w:br/>
      </w:r>
      <w:r w:rsidRPr="00D04502">
        <w:t>The Inspector should also note that SAPs AV.7 and AV.8 require ongoing data collection and regular reviews to keep the safety analysis current throughout the facility’s life.</w:t>
      </w:r>
    </w:p>
    <w:p w14:paraId="42184E22" w14:textId="31D45F8D" w:rsidR="00931DDC" w:rsidRPr="00D04502" w:rsidRDefault="00CC58D0" w:rsidP="006E65A6">
      <w:pPr>
        <w:pStyle w:val="F9-Paragraph"/>
        <w:ind w:left="851" w:hanging="851"/>
      </w:pPr>
      <w:r w:rsidRPr="00D04502">
        <w:t>Geotechnical risks are typically documented in a geotechnical risk register. The requirements for such a register are detailed in Appendix B of Highways England's CD 622 ‘Managing geotechnical risk’</w:t>
      </w:r>
      <w:r w:rsidR="006E65A6" w:rsidRPr="00D04502">
        <w:t xml:space="preserve"> </w:t>
      </w:r>
      <w:sdt>
        <w:sdtPr>
          <w:id w:val="43565337"/>
          <w:citation/>
        </w:sdtPr>
        <w:sdtEndPr/>
        <w:sdtContent>
          <w:r w:rsidR="00AC692E" w:rsidRPr="00D04502">
            <w:fldChar w:fldCharType="begin"/>
          </w:r>
          <w:r w:rsidR="00AC692E" w:rsidRPr="00D04502">
            <w:instrText xml:space="preserve">CITATION HIg \l 2057 </w:instrText>
          </w:r>
          <w:r w:rsidR="00AC692E" w:rsidRPr="00D04502">
            <w:fldChar w:fldCharType="separate"/>
          </w:r>
          <w:r w:rsidR="00401277">
            <w:rPr>
              <w:noProof/>
            </w:rPr>
            <w:t>[13]</w:t>
          </w:r>
          <w:r w:rsidR="00AC692E" w:rsidRPr="00D04502">
            <w:fldChar w:fldCharType="end"/>
          </w:r>
        </w:sdtContent>
      </w:sdt>
      <w:r w:rsidRPr="00D04502">
        <w:t>, with further guidance available in Sections 3 and 4 and Appendices C–G of the same document.</w:t>
      </w:r>
    </w:p>
    <w:p w14:paraId="6D67AF20" w14:textId="77777777" w:rsidR="00AC4908" w:rsidRDefault="00AC4908" w:rsidP="00AC692E">
      <w:pPr>
        <w:pStyle w:val="F9-Paragraph"/>
        <w:ind w:left="851" w:hanging="851"/>
        <w:sectPr w:rsidR="00AC4908">
          <w:pgSz w:w="11906" w:h="16838"/>
          <w:pgMar w:top="1440" w:right="1440" w:bottom="1440" w:left="1440" w:header="708" w:footer="708" w:gutter="0"/>
          <w:cols w:space="708"/>
          <w:docGrid w:linePitch="360"/>
        </w:sectPr>
      </w:pPr>
    </w:p>
    <w:p w14:paraId="397A3981" w14:textId="3DBFCF5C" w:rsidR="00931DDC" w:rsidRPr="00D04502" w:rsidRDefault="00AC692E" w:rsidP="00AC692E">
      <w:pPr>
        <w:pStyle w:val="F9-Paragraph"/>
        <w:ind w:left="851" w:hanging="851"/>
      </w:pPr>
      <w:r w:rsidRPr="00D04502">
        <w:lastRenderedPageBreak/>
        <w:t>The ground model and geotechnical interpretation must align with those used in design analysis to substantiate the safety case. Consistency and validation should be demonstrated using geotechnical data from various sources. The Inspector may seek assurance that the model is managed appropriately, particularly whether changes to initial desk study assumptions affect the design analysis.</w:t>
      </w:r>
    </w:p>
    <w:p w14:paraId="20FCEAD3" w14:textId="5C3249F0" w:rsidR="00931DDC" w:rsidRPr="00D04502" w:rsidRDefault="00760017" w:rsidP="00760017">
      <w:pPr>
        <w:pStyle w:val="F9-Paragraph"/>
        <w:ind w:left="851" w:hanging="851"/>
      </w:pPr>
      <w:r w:rsidRPr="00D04502">
        <w:t>The Inspector may seek assurance that the dutyholder has arrangements to regularly update and refine the ground model and geotechnical risk register as works progress through the ground investigation and construction phases.</w:t>
      </w:r>
    </w:p>
    <w:p w14:paraId="6DC49461" w14:textId="29DDBA54" w:rsidR="00D67F94" w:rsidRPr="00D04502" w:rsidRDefault="00D9422E" w:rsidP="0089604E">
      <w:pPr>
        <w:pStyle w:val="F9-Paragraph"/>
        <w:ind w:left="851" w:hanging="851"/>
      </w:pPr>
      <w:r w:rsidRPr="00D04502">
        <w:rPr>
          <w:rFonts w:eastAsia="Calibri"/>
        </w:rPr>
        <w:t>While the ground model should capture the site's three-dimensional variability, a full 3D block model is not always required. If a 3D model or its data (such as surfaces) is used, the Inspector may assess whether incorporating this information into project BIM is suitable for managing future ground risks and maintenance.</w:t>
      </w:r>
    </w:p>
    <w:p w14:paraId="35446AA9" w14:textId="316FCF25" w:rsidR="004940F8" w:rsidRPr="00D04502" w:rsidRDefault="004940F8" w:rsidP="00E43135">
      <w:pPr>
        <w:pStyle w:val="Heading3"/>
      </w:pPr>
      <w:r w:rsidRPr="00D04502">
        <w:t xml:space="preserve">Ground </w:t>
      </w:r>
      <w:r w:rsidR="00AC4908">
        <w:t>i</w:t>
      </w:r>
      <w:r w:rsidRPr="00D04502">
        <w:t xml:space="preserve">nvestigation </w:t>
      </w:r>
      <w:r w:rsidR="00AC4908">
        <w:t>p</w:t>
      </w:r>
      <w:r w:rsidRPr="00D04502">
        <w:t xml:space="preserve">hasing and </w:t>
      </w:r>
      <w:r w:rsidR="00AC4908">
        <w:t>i</w:t>
      </w:r>
      <w:r w:rsidR="00124963" w:rsidRPr="00D04502">
        <w:t xml:space="preserve">terative </w:t>
      </w:r>
      <w:r w:rsidR="00AC4908">
        <w:t>r</w:t>
      </w:r>
      <w:r w:rsidR="00124963" w:rsidRPr="00D04502">
        <w:t>eview</w:t>
      </w:r>
    </w:p>
    <w:p w14:paraId="2789E995" w14:textId="2A67331A" w:rsidR="0021468F" w:rsidRPr="00D04502" w:rsidRDefault="0021468F" w:rsidP="000C7366">
      <w:pPr>
        <w:pStyle w:val="F9-Paragraph"/>
        <w:ind w:left="851" w:hanging="851"/>
        <w:rPr>
          <w:rFonts w:eastAsia="Calibri"/>
        </w:rPr>
      </w:pPr>
      <w:r w:rsidRPr="00D04502">
        <w:rPr>
          <w:rFonts w:eastAsia="Calibri"/>
        </w:rPr>
        <w:t>The Inspector should expect a systematic, phased ground investigation approach proportionate to the project’s scale. For large new builds, at least two phases—preliminary and detailed design investigations—are typically required, although this may not be necessary for new facilities on existing sites.</w:t>
      </w:r>
    </w:p>
    <w:p w14:paraId="0BCC3879" w14:textId="6233C900" w:rsidR="00667DDA" w:rsidRPr="00D04502" w:rsidRDefault="00667DDA" w:rsidP="00667DDA">
      <w:pPr>
        <w:pStyle w:val="F9-Paragraph"/>
        <w:ind w:left="851" w:hanging="851"/>
        <w:rPr>
          <w:rFonts w:eastAsia="Calibri"/>
        </w:rPr>
      </w:pPr>
      <w:r w:rsidRPr="00D04502">
        <w:rPr>
          <w:rFonts w:eastAsia="Calibri"/>
        </w:rPr>
        <w:t xml:space="preserve">The Inspector </w:t>
      </w:r>
      <w:r w:rsidRPr="00D04502">
        <w:t xml:space="preserve">may wish to encourage </w:t>
      </w:r>
      <w:r w:rsidRPr="00D04502">
        <w:rPr>
          <w:rFonts w:eastAsia="Calibri"/>
        </w:rPr>
        <w:t>relevant end user input when updating the ground model and geotechnical risk register after each investigation phase and review. This ensures subsequent investigations are appropriately scaled and specified in light of new findings and uncertainties in ground and groundwater conditions.</w:t>
      </w:r>
    </w:p>
    <w:p w14:paraId="5B081C55" w14:textId="72E79945" w:rsidR="00D74FE5" w:rsidRPr="00D04502" w:rsidRDefault="00D74FE5" w:rsidP="00D74FE5">
      <w:pPr>
        <w:pStyle w:val="F9-Paragraph"/>
        <w:ind w:left="851" w:hanging="851"/>
        <w:rPr>
          <w:rFonts w:eastAsia="Calibri"/>
        </w:rPr>
      </w:pPr>
      <w:r w:rsidRPr="00D04502">
        <w:t>The Inspector should pay particular attention to any changes, especially reductions, in the ground investigation scope and ensure clear justification is provided. They should also consider whether design or layout changes require further data to support the revised design.</w:t>
      </w:r>
    </w:p>
    <w:p w14:paraId="7DA074C8" w14:textId="7DC7051E" w:rsidR="00D74FE5" w:rsidRPr="00D04502" w:rsidRDefault="00D74FE5" w:rsidP="00D74FE5">
      <w:pPr>
        <w:pStyle w:val="F9-Paragraph"/>
        <w:ind w:left="851" w:hanging="851"/>
      </w:pPr>
      <w:r w:rsidRPr="00D04502">
        <w:t xml:space="preserve">In line with SAP MS.4, which states the need for lessons to be learned from internal sources, the Inspector may wish to confirm that the dutyholder has suitable arrangements to continue to collect and monitor ground conditions during the construction phase and that this information is fed into updates of both the ground model and risk register. The Inspector may wish to consider whether sufficient information has been collected to confirm that the assumptions made, or data used, in the design are appropriate. </w:t>
      </w:r>
      <w:r w:rsidR="00AC4908">
        <w:br/>
      </w:r>
      <w:r w:rsidRPr="00D04502">
        <w:t xml:space="preserve">The Inspector may seek assurance that that the dutyholder is undertaking sufficient construction assurance during the construction period, reconciling the information gleaned from the construction with the design assumptions. </w:t>
      </w:r>
    </w:p>
    <w:p w14:paraId="0CC0D6A1" w14:textId="77777777" w:rsidR="00AC4908" w:rsidRDefault="00AC4908" w:rsidP="00390743">
      <w:pPr>
        <w:pStyle w:val="F9-Paragraph"/>
        <w:ind w:left="851" w:hanging="851"/>
        <w:sectPr w:rsidR="00AC4908">
          <w:pgSz w:w="11906" w:h="16838"/>
          <w:pgMar w:top="1440" w:right="1440" w:bottom="1440" w:left="1440" w:header="708" w:footer="708" w:gutter="0"/>
          <w:cols w:space="708"/>
          <w:docGrid w:linePitch="360"/>
        </w:sectPr>
      </w:pPr>
    </w:p>
    <w:p w14:paraId="6133D1DA" w14:textId="571C580B" w:rsidR="00D74FE5" w:rsidRPr="00D04502" w:rsidRDefault="00D74FE5" w:rsidP="00390743">
      <w:pPr>
        <w:pStyle w:val="F9-Paragraph"/>
        <w:ind w:left="851" w:hanging="851"/>
      </w:pPr>
      <w:r w:rsidRPr="00D04502">
        <w:lastRenderedPageBreak/>
        <w:t xml:space="preserve">In accordance with SAP MS.4, which requires learning from internal sources, the Inspector </w:t>
      </w:r>
      <w:r w:rsidR="00173C28" w:rsidRPr="00D04502">
        <w:t xml:space="preserve">may wish to confirm </w:t>
      </w:r>
      <w:r w:rsidRPr="00D04502">
        <w:t xml:space="preserve">that the dutyholder has effective arrangements to monitor and record ground conditions throughout construction, updating the ground model and risk register as needed. </w:t>
      </w:r>
      <w:r w:rsidR="00AC4908">
        <w:br/>
      </w:r>
      <w:r w:rsidRPr="00D04502">
        <w:t xml:space="preserve">The Inspector </w:t>
      </w:r>
      <w:r w:rsidR="00173C28" w:rsidRPr="00D04502">
        <w:t xml:space="preserve">may wish to consider that </w:t>
      </w:r>
      <w:r w:rsidRPr="00D04502">
        <w:t>sufficient information has been gathered to confirm the design's assumptions and data remain valid, and that construction assurance processes are robust in reconciling construction findings with design expectations.</w:t>
      </w:r>
    </w:p>
    <w:p w14:paraId="1F1C2BA8" w14:textId="77777777" w:rsidR="00AC4908" w:rsidRDefault="00865E19" w:rsidP="00AC4908">
      <w:pPr>
        <w:pStyle w:val="F9-Paragraph"/>
        <w:ind w:left="851" w:hanging="851"/>
      </w:pPr>
      <w:r w:rsidRPr="00D04502">
        <w:t xml:space="preserve">A </w:t>
      </w:r>
      <w:r w:rsidR="00CB21F9" w:rsidRPr="00D04502">
        <w:t>updated</w:t>
      </w:r>
      <w:r w:rsidRPr="00D04502">
        <w:t xml:space="preserve"> ground model and geotechnical risk register are essential outcomes of ground investigations. During construction, these may be updated based on formation levels and strata revealed in excavations. If the actual strata differ from expectations, the model </w:t>
      </w:r>
      <w:r w:rsidR="0088355C" w:rsidRPr="00D04502">
        <w:t>should</w:t>
      </w:r>
      <w:r w:rsidRPr="00D04502">
        <w:t xml:space="preserve"> be amended to reflect true site conditions, as this information becomes inaccessible once earthworks are finished.</w:t>
      </w:r>
    </w:p>
    <w:p w14:paraId="7CD83F73" w14:textId="38727087" w:rsidR="00D74FE5" w:rsidRPr="00D04502" w:rsidRDefault="00D74FE5" w:rsidP="00AC4908">
      <w:pPr>
        <w:pStyle w:val="F9-Paragraph"/>
        <w:ind w:left="851" w:hanging="851"/>
      </w:pPr>
      <w:r w:rsidRPr="00D04502">
        <w:t xml:space="preserve">The Inspector may request demonstration of the as-built ground model as part of the commissioning assessment, to seek evidence that the as-built records accurately capture the information that was made available during construction. This is in line with the expectations of Licence Condition </w:t>
      </w:r>
      <w:r w:rsidR="00AC4908">
        <w:t xml:space="preserve">(LC) </w:t>
      </w:r>
      <w:r w:rsidRPr="00D04502">
        <w:t xml:space="preserve">6 and SAP MS.2 which states that records relevant to safety should be retrievable for the whole life of the facility, along with SAP DC.6 that sets the expectation that as-built records will inform decommissioning planning. </w:t>
      </w:r>
      <w:r w:rsidR="00AC4908">
        <w:br/>
      </w:r>
      <w:r w:rsidRPr="00D04502">
        <w:t xml:space="preserve">For more information, </w:t>
      </w:r>
      <w:r w:rsidR="00AC4908">
        <w:t xml:space="preserve">refer to </w:t>
      </w:r>
      <w:sdt>
        <w:sdtPr>
          <w:id w:val="1511724073"/>
          <w:citation/>
        </w:sdtPr>
        <w:sdtContent>
          <w:r w:rsidR="00AC4908">
            <w:fldChar w:fldCharType="begin"/>
          </w:r>
          <w:r w:rsidR="00AC4908">
            <w:instrText xml:space="preserve"> CITATION ONR162 \l 2057 </w:instrText>
          </w:r>
          <w:r w:rsidR="00AC4908">
            <w:fldChar w:fldCharType="separate"/>
          </w:r>
          <w:r w:rsidR="00401277">
            <w:rPr>
              <w:noProof/>
            </w:rPr>
            <w:t>[6]</w:t>
          </w:r>
          <w:r w:rsidR="00AC4908">
            <w:fldChar w:fldCharType="end"/>
          </w:r>
        </w:sdtContent>
      </w:sdt>
      <w:r w:rsidR="00AC4908">
        <w:t>.</w:t>
      </w:r>
      <w:r w:rsidRPr="00D04502">
        <w:t xml:space="preserve"> </w:t>
      </w:r>
    </w:p>
    <w:p w14:paraId="04C65B6D" w14:textId="1E5880FD" w:rsidR="00B00D22" w:rsidRPr="00D04502" w:rsidRDefault="00B00D22" w:rsidP="00E43135">
      <w:pPr>
        <w:pStyle w:val="Heading3"/>
      </w:pPr>
      <w:r w:rsidRPr="00D04502">
        <w:t xml:space="preserve">Ground </w:t>
      </w:r>
      <w:r w:rsidR="00AC4908">
        <w:t>i</w:t>
      </w:r>
      <w:r w:rsidRPr="00D04502">
        <w:t xml:space="preserve">nvestigation </w:t>
      </w:r>
      <w:r w:rsidR="00AC4908">
        <w:t>o</w:t>
      </w:r>
      <w:r w:rsidR="00342FB8" w:rsidRPr="00D04502">
        <w:t>versight</w:t>
      </w:r>
    </w:p>
    <w:p w14:paraId="2B45AA18" w14:textId="3A13C8C7" w:rsidR="00100BB2" w:rsidRPr="00D04502" w:rsidRDefault="00100BB2" w:rsidP="00100BB2">
      <w:pPr>
        <w:pStyle w:val="F9-Paragraph"/>
        <w:ind w:left="851" w:hanging="851"/>
      </w:pPr>
      <w:r w:rsidRPr="00D04502">
        <w:t xml:space="preserve">In line with the requirements of LC10 and SAP MS.2, the ONR expectation is for Suitably Qualified and Experienced Persons (SQEP) to be responsible for managing and specifying the ground investigation and its safety. </w:t>
      </w:r>
      <w:r w:rsidR="00AC4908">
        <w:br/>
      </w:r>
      <w:r w:rsidRPr="00D04502">
        <w:t>Regarding the safety of the ground investigation, this is to mean the future safety of the nuclear site, should the ground investigation works be ill-conceived or executed.</w:t>
      </w:r>
    </w:p>
    <w:p w14:paraId="2A9B20DA" w14:textId="5BB878F8" w:rsidR="00100BB2" w:rsidRPr="00D04502" w:rsidRDefault="00100BB2" w:rsidP="00100BB2">
      <w:pPr>
        <w:pStyle w:val="F9-Paragraph"/>
        <w:ind w:left="851" w:hanging="851"/>
      </w:pPr>
      <w:r w:rsidRPr="00D04502">
        <w:t xml:space="preserve">Often the specification and scope of ground investigation works are undertaken by a specialist contractor, as is the ground investigation work itself and the subsequent analysis. Where this is the case, the Inspector may wish to seek assurance that the dutyholder has sufficient SQEP resource to fulfil the Intelligent Customer (IC) role through a Design Authority (DA) function. Regarding assessment of competence, </w:t>
      </w:r>
      <w:r w:rsidR="00AC4908">
        <w:t xml:space="preserve">refer to the guidance </w:t>
      </w:r>
      <w:r w:rsidRPr="00D04502">
        <w:t>in:</w:t>
      </w:r>
    </w:p>
    <w:p w14:paraId="1C4825A3" w14:textId="100CB7E3" w:rsidR="00100BB2" w:rsidRPr="00D04502" w:rsidRDefault="00100BB2" w:rsidP="00100BB2">
      <w:pPr>
        <w:pStyle w:val="Bulletlist1"/>
        <w:ind w:left="1418" w:hanging="357"/>
      </w:pPr>
      <w:r w:rsidRPr="00D04502">
        <w:t>NS-TAST-GD-027 ‘Training and Assuring Personnel Competence’</w:t>
      </w:r>
      <w:r w:rsidR="00AC4908">
        <w:t xml:space="preserve"> </w:t>
      </w:r>
      <w:sdt>
        <w:sdtPr>
          <w:id w:val="1786618091"/>
          <w:citation/>
        </w:sdtPr>
        <w:sdtContent>
          <w:r w:rsidR="00AC4908">
            <w:fldChar w:fldCharType="begin"/>
          </w:r>
          <w:r w:rsidR="00AC4908">
            <w:instrText xml:space="preserve"> CITATION ONR51 \l 2057 </w:instrText>
          </w:r>
          <w:r w:rsidR="00AC4908">
            <w:fldChar w:fldCharType="separate"/>
          </w:r>
          <w:r w:rsidR="00401277" w:rsidRPr="00401277">
            <w:t>[14]</w:t>
          </w:r>
          <w:r w:rsidR="00AC4908">
            <w:fldChar w:fldCharType="end"/>
          </w:r>
        </w:sdtContent>
      </w:sdt>
    </w:p>
    <w:p w14:paraId="16D89AE9" w14:textId="51CB8675" w:rsidR="00100BB2" w:rsidRPr="00D04502" w:rsidRDefault="00100BB2" w:rsidP="00100BB2">
      <w:pPr>
        <w:pStyle w:val="Bulletlist1"/>
        <w:ind w:left="1418" w:hanging="357"/>
      </w:pPr>
      <w:r w:rsidRPr="00D04502">
        <w:t>NS-TAST-GD-049 ‘Licensee Core Safety and Intelligent Customer Capabilities’</w:t>
      </w:r>
      <w:r w:rsidR="00E06633" w:rsidRPr="00D04502">
        <w:t xml:space="preserve"> </w:t>
      </w:r>
      <w:sdt>
        <w:sdtPr>
          <w:id w:val="461159807"/>
          <w:citation/>
        </w:sdtPr>
        <w:sdtContent>
          <w:r w:rsidR="00AC4908">
            <w:fldChar w:fldCharType="begin"/>
          </w:r>
          <w:r w:rsidR="00AC4908">
            <w:instrText xml:space="preserve"> CITATION ONR143 \l 2057 </w:instrText>
          </w:r>
          <w:r w:rsidR="00AC4908">
            <w:fldChar w:fldCharType="separate"/>
          </w:r>
          <w:r w:rsidR="00401277" w:rsidRPr="00401277">
            <w:t>[15]</w:t>
          </w:r>
          <w:r w:rsidR="00AC4908">
            <w:fldChar w:fldCharType="end"/>
          </w:r>
        </w:sdtContent>
      </w:sdt>
    </w:p>
    <w:p w14:paraId="0EBB9512" w14:textId="001A722C" w:rsidR="00100BB2" w:rsidRPr="00D04502" w:rsidRDefault="00100BB2" w:rsidP="00100BB2">
      <w:pPr>
        <w:pStyle w:val="Bulletlist1"/>
        <w:ind w:left="1418" w:hanging="357"/>
      </w:pPr>
      <w:r w:rsidRPr="00D04502">
        <w:t>NS-TAST-GD-079 ‘Licensee Design Authority Capability’</w:t>
      </w:r>
      <w:r w:rsidR="006B78B2" w:rsidRPr="00D04502">
        <w:t xml:space="preserve"> </w:t>
      </w:r>
      <w:sdt>
        <w:sdtPr>
          <w:id w:val="1408416333"/>
          <w:citation/>
        </w:sdtPr>
        <w:sdtContent>
          <w:r w:rsidR="00AC4908">
            <w:fldChar w:fldCharType="begin"/>
          </w:r>
          <w:r w:rsidR="00AC4908">
            <w:instrText xml:space="preserve"> CITATION ONR102 \l 2057 </w:instrText>
          </w:r>
          <w:r w:rsidR="00AC4908">
            <w:fldChar w:fldCharType="separate"/>
          </w:r>
          <w:r w:rsidR="00401277" w:rsidRPr="00401277">
            <w:t>[16]</w:t>
          </w:r>
          <w:r w:rsidR="00AC4908">
            <w:fldChar w:fldCharType="end"/>
          </w:r>
        </w:sdtContent>
      </w:sdt>
    </w:p>
    <w:p w14:paraId="4D527E66" w14:textId="4BACA679" w:rsidR="00100BB2" w:rsidRPr="00D04502" w:rsidRDefault="00100BB2" w:rsidP="00100BB2">
      <w:pPr>
        <w:pStyle w:val="Bulletlist1"/>
        <w:ind w:left="1418" w:hanging="357"/>
      </w:pPr>
      <w:r w:rsidRPr="00D04502">
        <w:t>NS-INSP-GD-010 ‘Licence Condition 10 – Training’</w:t>
      </w:r>
      <w:r w:rsidR="006B78B2" w:rsidRPr="00D04502">
        <w:t xml:space="preserve"> </w:t>
      </w:r>
      <w:sdt>
        <w:sdtPr>
          <w:id w:val="-2114114502"/>
          <w:citation/>
        </w:sdtPr>
        <w:sdtContent>
          <w:r w:rsidR="00AC4908">
            <w:fldChar w:fldCharType="begin"/>
          </w:r>
          <w:r w:rsidR="00AC4908">
            <w:instrText xml:space="preserve"> CITATION ONR131 \l 2057 </w:instrText>
          </w:r>
          <w:r w:rsidR="00AC4908">
            <w:fldChar w:fldCharType="separate"/>
          </w:r>
          <w:r w:rsidR="00401277" w:rsidRPr="00401277">
            <w:t>[17]</w:t>
          </w:r>
          <w:r w:rsidR="00AC4908">
            <w:fldChar w:fldCharType="end"/>
          </w:r>
        </w:sdtContent>
      </w:sdt>
    </w:p>
    <w:p w14:paraId="2F0BC061" w14:textId="6511633B" w:rsidR="008059CF" w:rsidRPr="00D04502" w:rsidRDefault="008059CF" w:rsidP="00E43135">
      <w:pPr>
        <w:pStyle w:val="Heading3"/>
      </w:pPr>
      <w:r w:rsidRPr="00D04502">
        <w:lastRenderedPageBreak/>
        <w:t xml:space="preserve">Test </w:t>
      </w:r>
      <w:r w:rsidR="00AC4908">
        <w:t>t</w:t>
      </w:r>
      <w:r w:rsidRPr="00D04502">
        <w:t xml:space="preserve">echniques and </w:t>
      </w:r>
      <w:r w:rsidR="00AC4908">
        <w:t>p</w:t>
      </w:r>
      <w:r w:rsidR="0049758C" w:rsidRPr="00D04502">
        <w:t>arameters</w:t>
      </w:r>
    </w:p>
    <w:p w14:paraId="03870FEB" w14:textId="05D5910B" w:rsidR="0049758C" w:rsidRPr="00D04502" w:rsidRDefault="00DA08CE" w:rsidP="00143540">
      <w:pPr>
        <w:pStyle w:val="F9-Paragraph"/>
        <w:ind w:left="851" w:hanging="851"/>
      </w:pPr>
      <w:r w:rsidRPr="00D04502">
        <w:rPr>
          <w:rFonts w:eastAsia="Calibri"/>
        </w:rPr>
        <w:t xml:space="preserve">Ground investigations are inherently site-specific, with technique and parameter selection largely determined by the site's geology. The type of soil or rock influences the suitability and effectiveness of methods used. </w:t>
      </w:r>
      <w:r w:rsidR="003F2F30">
        <w:rPr>
          <w:rFonts w:eastAsia="Calibri"/>
        </w:rPr>
        <w:br/>
      </w:r>
      <w:r w:rsidRPr="00D04502">
        <w:rPr>
          <w:rFonts w:eastAsia="Calibri"/>
        </w:rPr>
        <w:t>While some techniques and parameters are commonly applied to characterise sites, the scope of testing should be proportionate to the ground investigation’s purpose, and the Inspector may seek assurance that the rationale for this is well-defined.</w:t>
      </w:r>
    </w:p>
    <w:p w14:paraId="17DD8805" w14:textId="55FFC373" w:rsidR="00E35A64" w:rsidRPr="00D04502" w:rsidRDefault="00AF448C" w:rsidP="00AF6D83">
      <w:pPr>
        <w:pStyle w:val="F9-Paragraph"/>
        <w:ind w:left="851" w:hanging="851"/>
        <w:rPr>
          <w:rFonts w:eastAsia="Calibri"/>
        </w:rPr>
      </w:pPr>
      <w:r w:rsidRPr="00D04502">
        <w:rPr>
          <w:rFonts w:eastAsia="Calibri"/>
        </w:rPr>
        <w:t xml:space="preserve">The Inspector should ensure in-situ tests are cross-correlated rather than reviewed independently. It is important to confirm the dutyholder has considered both static and dynamic site characteristics, as both are required for different analyses, such as settlement and site response. Static and dynamic values should also be consistent. For more on dynamic site characteristics, </w:t>
      </w:r>
      <w:r w:rsidR="003F2F30">
        <w:rPr>
          <w:rFonts w:eastAsia="Calibri"/>
        </w:rPr>
        <w:t xml:space="preserve">refer to Annex 1 of the TAG on external hazards </w:t>
      </w:r>
      <w:sdt>
        <w:sdtPr>
          <w:rPr>
            <w:rFonts w:eastAsia="Calibri"/>
          </w:rPr>
          <w:id w:val="-1143809556"/>
          <w:citation/>
        </w:sdtPr>
        <w:sdtContent>
          <w:r w:rsidR="003F2F30">
            <w:rPr>
              <w:rFonts w:eastAsia="Calibri"/>
            </w:rPr>
            <w:fldChar w:fldCharType="begin"/>
          </w:r>
          <w:r w:rsidR="003F2F30">
            <w:rPr>
              <w:rFonts w:eastAsia="Calibri"/>
            </w:rPr>
            <w:instrText xml:space="preserve"> CITATION TAG13 \l 2057 </w:instrText>
          </w:r>
          <w:r w:rsidR="003F2F30">
            <w:rPr>
              <w:rFonts w:eastAsia="Calibri"/>
            </w:rPr>
            <w:fldChar w:fldCharType="separate"/>
          </w:r>
          <w:r w:rsidR="00401277" w:rsidRPr="00401277">
            <w:rPr>
              <w:rFonts w:eastAsia="Calibri"/>
              <w:noProof/>
            </w:rPr>
            <w:t>[18]</w:t>
          </w:r>
          <w:r w:rsidR="003F2F30">
            <w:rPr>
              <w:rFonts w:eastAsia="Calibri"/>
            </w:rPr>
            <w:fldChar w:fldCharType="end"/>
          </w:r>
        </w:sdtContent>
      </w:sdt>
      <w:r w:rsidR="003F2F30">
        <w:rPr>
          <w:rFonts w:eastAsia="Calibri"/>
        </w:rPr>
        <w:t>.</w:t>
      </w:r>
    </w:p>
    <w:p w14:paraId="669B72C0" w14:textId="536233A9" w:rsidR="00B00D22" w:rsidRPr="00D04502" w:rsidRDefault="005B06B7" w:rsidP="00DA6F34">
      <w:pPr>
        <w:pStyle w:val="F9-Paragraph"/>
        <w:ind w:left="851" w:hanging="851"/>
      </w:pPr>
      <w:r w:rsidRPr="00D04502">
        <w:t xml:space="preserve">The Inspector may wish to seek assurance that the ground investigations provide </w:t>
      </w:r>
      <w:r w:rsidR="00DA6F34" w:rsidRPr="00D04502">
        <w:t xml:space="preserve">sufficient data </w:t>
      </w:r>
      <w:r w:rsidR="00D94085" w:rsidRPr="00D04502">
        <w:t xml:space="preserve">for </w:t>
      </w:r>
      <w:r w:rsidR="00DA6F34" w:rsidRPr="00D04502">
        <w:t>a groundwater model generated for numerical analysis. The model should include:</w:t>
      </w:r>
    </w:p>
    <w:p w14:paraId="0769B2B9" w14:textId="1E3BA1F9" w:rsidR="006E5B7C" w:rsidRPr="00D04502" w:rsidRDefault="006E5B7C" w:rsidP="00DA6F34">
      <w:pPr>
        <w:pStyle w:val="Bulletlist1"/>
        <w:ind w:left="1418" w:hanging="357"/>
      </w:pPr>
      <w:r w:rsidRPr="00D04502">
        <w:t>Sea level effects, including tidal influence and climate change projections.</w:t>
      </w:r>
    </w:p>
    <w:p w14:paraId="7CFA128F" w14:textId="4C6A8C40" w:rsidR="006E5B7C" w:rsidRPr="00D04502" w:rsidRDefault="006E5B7C" w:rsidP="00DA6F34">
      <w:pPr>
        <w:pStyle w:val="Bulletlist1"/>
        <w:ind w:left="1418" w:hanging="357"/>
      </w:pPr>
      <w:r w:rsidRPr="00D04502">
        <w:t>Recharge including rainfall, including climate change projections, and accidental utility leakage.</w:t>
      </w:r>
    </w:p>
    <w:p w14:paraId="20A6F05C" w14:textId="66F81AE2" w:rsidR="006E5B7C" w:rsidRPr="00D04502" w:rsidRDefault="006E5B7C" w:rsidP="00DA6F34">
      <w:pPr>
        <w:pStyle w:val="Bulletlist1"/>
        <w:ind w:left="1418" w:hanging="357"/>
      </w:pPr>
      <w:r w:rsidRPr="00D04502">
        <w:t>Permanent groundwater control requirements (if needed).</w:t>
      </w:r>
    </w:p>
    <w:p w14:paraId="3F5FCF5D" w14:textId="1CA64DE4" w:rsidR="006E5B7C" w:rsidRPr="00D04502" w:rsidRDefault="006E5B7C" w:rsidP="00DA6F34">
      <w:pPr>
        <w:pStyle w:val="Bulletlist1"/>
        <w:ind w:left="1418" w:hanging="357"/>
      </w:pPr>
      <w:r w:rsidRPr="00D04502">
        <w:tab/>
        <w:t xml:space="preserve">Temporary groundwater controls during construction and any ongoing effect </w:t>
      </w:r>
      <w:r w:rsidR="003F2F30">
        <w:t>for example,</w:t>
      </w:r>
      <w:r w:rsidRPr="00D04502">
        <w:t>, from a cut off wall. This includes consideration of any possible effects on any adjacent site.</w:t>
      </w:r>
    </w:p>
    <w:p w14:paraId="59A309BC" w14:textId="59C7E028" w:rsidR="006E5B7C" w:rsidRPr="00D04502" w:rsidRDefault="006E5B7C" w:rsidP="00DA6F34">
      <w:pPr>
        <w:pStyle w:val="Bulletlist1"/>
        <w:ind w:left="1418" w:hanging="357"/>
      </w:pPr>
      <w:r w:rsidRPr="00D04502">
        <w:tab/>
        <w:t>Presence of geological windows between aquifer layers.</w:t>
      </w:r>
    </w:p>
    <w:p w14:paraId="5EB9612A" w14:textId="63EF3632" w:rsidR="006E5B7C" w:rsidRPr="00D04502" w:rsidRDefault="006E5B7C" w:rsidP="00DA6F34">
      <w:pPr>
        <w:pStyle w:val="Bulletlist1"/>
        <w:ind w:left="1418" w:hanging="357"/>
      </w:pPr>
      <w:r w:rsidRPr="00D04502">
        <w:tab/>
        <w:t>Appropriate consideration of storm hydrographs.</w:t>
      </w:r>
    </w:p>
    <w:p w14:paraId="49063D5D" w14:textId="4E1FAB7F" w:rsidR="006E5B7C" w:rsidRPr="00D04502" w:rsidRDefault="008C6773" w:rsidP="005B06B7">
      <w:pPr>
        <w:pStyle w:val="F9-Paragraph"/>
        <w:ind w:left="851" w:hanging="851"/>
        <w:rPr>
          <w:rFonts w:eastAsia="Calibri"/>
        </w:rPr>
      </w:pPr>
      <w:r w:rsidRPr="00D04502">
        <w:rPr>
          <w:lang w:eastAsia="en-GB"/>
        </w:rPr>
        <w:t xml:space="preserve">The Inspector should note the importance of groundwater presence as it can affect soil properties both statically and dynamically, and that this can make measuring these properties difficult. Compression waves measure the in-situ soil-water combination, which in soft soils is significantly different from drained properties. In such a case, shear waves should be used as water cannot transmit shear waves. Determining Poisson’s ratio in such conditions is challenging. </w:t>
      </w:r>
      <w:r w:rsidR="00D8767B" w:rsidRPr="00D04502">
        <w:t xml:space="preserve">Good practice </w:t>
      </w:r>
      <w:r w:rsidRPr="00D04502">
        <w:t>for groundwater can been found in IAEA Safety Guide NS-G-3.6</w:t>
      </w:r>
      <w:r w:rsidR="007A42E5" w:rsidRPr="00D04502">
        <w:t xml:space="preserve"> </w:t>
      </w:r>
      <w:sdt>
        <w:sdtPr>
          <w:id w:val="-822817711"/>
          <w:citation/>
        </w:sdtPr>
        <w:sdtEndPr/>
        <w:sdtContent>
          <w:r w:rsidR="007A42E5" w:rsidRPr="00D04502">
            <w:fldChar w:fldCharType="begin"/>
          </w:r>
          <w:r w:rsidR="007A42E5" w:rsidRPr="00D04502">
            <w:instrText xml:space="preserve"> CITATION IAE04 \l 2057 </w:instrText>
          </w:r>
          <w:r w:rsidR="007A42E5" w:rsidRPr="00D04502">
            <w:fldChar w:fldCharType="separate"/>
          </w:r>
          <w:r w:rsidR="00401277">
            <w:rPr>
              <w:noProof/>
            </w:rPr>
            <w:t>[11]</w:t>
          </w:r>
          <w:r w:rsidR="007A42E5" w:rsidRPr="00D04502">
            <w:fldChar w:fldCharType="end"/>
          </w:r>
        </w:sdtContent>
      </w:sdt>
      <w:r w:rsidR="00F64F21" w:rsidRPr="00D04502">
        <w:t xml:space="preserve"> </w:t>
      </w:r>
      <w:r w:rsidRPr="00D04502">
        <w:t xml:space="preserve"> and IAEA </w:t>
      </w:r>
      <w:r w:rsidR="00574FC0" w:rsidRPr="00D04502">
        <w:t xml:space="preserve">SSR-1 </w:t>
      </w:r>
      <w:sdt>
        <w:sdtPr>
          <w:id w:val="1262409624"/>
          <w:citation/>
        </w:sdtPr>
        <w:sdtEndPr/>
        <w:sdtContent>
          <w:r w:rsidR="00574FC0" w:rsidRPr="00D04502">
            <w:fldChar w:fldCharType="begin"/>
          </w:r>
          <w:r w:rsidR="00574FC0" w:rsidRPr="00D04502">
            <w:instrText xml:space="preserve"> CITATION IAE191 \l 2057 </w:instrText>
          </w:r>
          <w:r w:rsidR="00574FC0" w:rsidRPr="00D04502">
            <w:fldChar w:fldCharType="separate"/>
          </w:r>
          <w:r w:rsidR="00401277">
            <w:rPr>
              <w:noProof/>
            </w:rPr>
            <w:t>[19]</w:t>
          </w:r>
          <w:r w:rsidR="00574FC0" w:rsidRPr="00D04502">
            <w:fldChar w:fldCharType="end"/>
          </w:r>
        </w:sdtContent>
      </w:sdt>
      <w:r w:rsidRPr="00D04502">
        <w:t xml:space="preserve">. Buoyancy effects due to the presence of groundwater are discussed in Section </w:t>
      </w:r>
      <w:r w:rsidRPr="00D04502">
        <w:fldChar w:fldCharType="begin"/>
      </w:r>
      <w:r w:rsidRPr="00D04502">
        <w:instrText xml:space="preserve"> REF _Ref50045888 \r \h </w:instrText>
      </w:r>
      <w:r w:rsidR="00574FC0" w:rsidRPr="00D04502">
        <w:instrText xml:space="preserve"> \* MERGEFORMAT </w:instrText>
      </w:r>
      <w:r w:rsidRPr="00D04502">
        <w:fldChar w:fldCharType="separate"/>
      </w:r>
      <w:r w:rsidRPr="00D04502">
        <w:t>4.3.2</w:t>
      </w:r>
      <w:r w:rsidRPr="00D04502">
        <w:fldChar w:fldCharType="end"/>
      </w:r>
      <w:r w:rsidRPr="00D04502">
        <w:t xml:space="preserve"> and </w:t>
      </w:r>
      <w:r w:rsidRPr="00D04502">
        <w:fldChar w:fldCharType="begin"/>
      </w:r>
      <w:r w:rsidRPr="00D04502">
        <w:instrText xml:space="preserve"> REF _Ref50045934 \r \h </w:instrText>
      </w:r>
      <w:r w:rsidR="00574FC0" w:rsidRPr="00D04502">
        <w:instrText xml:space="preserve"> \* MERGEFORMAT </w:instrText>
      </w:r>
      <w:r w:rsidRPr="00D04502">
        <w:fldChar w:fldCharType="separate"/>
      </w:r>
      <w:r w:rsidRPr="00D04502">
        <w:t>4.</w:t>
      </w:r>
      <w:r w:rsidRPr="00D04502">
        <w:fldChar w:fldCharType="end"/>
      </w:r>
      <w:r w:rsidR="00F929A7" w:rsidRPr="00D04502">
        <w:t>5.5</w:t>
      </w:r>
      <w:r w:rsidRPr="00D04502">
        <w:t xml:space="preserve"> of this annex.</w:t>
      </w:r>
    </w:p>
    <w:p w14:paraId="12BD3FD0" w14:textId="53373906" w:rsidR="00E972BA" w:rsidRPr="00D04502" w:rsidRDefault="00E972BA" w:rsidP="00E43135">
      <w:pPr>
        <w:pStyle w:val="Heading3"/>
      </w:pPr>
      <w:r w:rsidRPr="00D04502">
        <w:lastRenderedPageBreak/>
        <w:t xml:space="preserve">Ground </w:t>
      </w:r>
      <w:r w:rsidR="003F2F30">
        <w:t>v</w:t>
      </w:r>
      <w:r w:rsidRPr="00D04502">
        <w:t xml:space="preserve">ariability and </w:t>
      </w:r>
      <w:r w:rsidR="003F2F30">
        <w:t>c</w:t>
      </w:r>
      <w:r w:rsidR="00DC52B1" w:rsidRPr="00D04502">
        <w:t xml:space="preserve">haracterisation of </w:t>
      </w:r>
      <w:r w:rsidR="003F2F30">
        <w:t>u</w:t>
      </w:r>
      <w:r w:rsidR="00CE03B8" w:rsidRPr="00D04502">
        <w:t>ncertainty</w:t>
      </w:r>
    </w:p>
    <w:p w14:paraId="66D8FB7E" w14:textId="7DA59D35" w:rsidR="005C08AE" w:rsidRPr="00D04502" w:rsidRDefault="005C08AE" w:rsidP="005C08AE">
      <w:pPr>
        <w:pStyle w:val="F9-Paragraph"/>
        <w:ind w:left="851" w:hanging="851"/>
        <w:rPr>
          <w:lang w:eastAsia="en-GB"/>
        </w:rPr>
      </w:pPr>
      <w:r w:rsidRPr="00D04502">
        <w:rPr>
          <w:lang w:eastAsia="en-GB"/>
        </w:rPr>
        <w:t xml:space="preserve">Geological materials are often variable in terms of their properties, reflecting the environments in which they were formed. Units can be relatively homogeneous in nature or display a large degree of heterogeneity, with isotropic or anisotropic behaviour. Therefore, it is a key consideration for the Inspector to seek assurance that suitable and sufficient attempts are made to understand this variability in the ground investigation, in line with the expectations of SAPs ECE.4 and ECE.5. </w:t>
      </w:r>
    </w:p>
    <w:p w14:paraId="3B9E2820" w14:textId="722E8961" w:rsidR="005C08AE" w:rsidRPr="00D04502" w:rsidRDefault="00365945" w:rsidP="00CF60A5">
      <w:pPr>
        <w:pStyle w:val="F9-Paragraph"/>
        <w:ind w:left="851" w:hanging="851"/>
        <w:rPr>
          <w:lang w:eastAsia="en-GB"/>
        </w:rPr>
      </w:pPr>
      <w:r w:rsidRPr="00D04502">
        <w:rPr>
          <w:rFonts w:eastAsia="Calibri"/>
        </w:rPr>
        <w:t xml:space="preserve">The Inspector should recognise that the </w:t>
      </w:r>
      <w:r w:rsidR="009E24C9" w:rsidRPr="00D04502">
        <w:t xml:space="preserve">scope of the </w:t>
      </w:r>
      <w:r w:rsidRPr="00D04502">
        <w:rPr>
          <w:rFonts w:eastAsia="Calibri"/>
        </w:rPr>
        <w:t xml:space="preserve">ground investigation depends partly on the ground and groundwater’s character and variability, </w:t>
      </w:r>
      <w:r w:rsidR="00CF60A5" w:rsidRPr="00D04502">
        <w:t>see</w:t>
      </w:r>
      <w:r w:rsidRPr="00D04502">
        <w:rPr>
          <w:rFonts w:eastAsia="Calibri"/>
        </w:rPr>
        <w:t xml:space="preserve"> SAP ECE.10. Initial desk studies or preliminary investigations provide an early assessment, which is refined through subsequent investigation phases. The data gathered must be sufficient to understand geotechnical variability, thereby guiding the design process.</w:t>
      </w:r>
    </w:p>
    <w:p w14:paraId="2B7D1A1F" w14:textId="07A1BAD2" w:rsidR="00460454" w:rsidRPr="00D04502" w:rsidRDefault="00FD283F" w:rsidP="00A473A6">
      <w:pPr>
        <w:pStyle w:val="F9-Paragraph"/>
        <w:ind w:left="851" w:hanging="851"/>
        <w:rPr>
          <w:rFonts w:eastAsia="Calibri"/>
        </w:rPr>
      </w:pPr>
      <w:r w:rsidRPr="00D04502">
        <w:rPr>
          <w:rFonts w:eastAsia="Calibri"/>
        </w:rPr>
        <w:t>SAPs AV.6 and ECE.14 set out ONR’s expectations for sensitivity studies, as these help identify which design parameters or aspects are most critical. If these key factors involve significant uncertainty, targeted data collection, analysis, or further research may be required (</w:t>
      </w:r>
      <w:r w:rsidR="003F2F30">
        <w:rPr>
          <w:rFonts w:eastAsia="Calibri"/>
        </w:rPr>
        <w:t>refer to</w:t>
      </w:r>
      <w:r w:rsidRPr="00D04502">
        <w:rPr>
          <w:rFonts w:eastAsia="Calibri"/>
        </w:rPr>
        <w:t xml:space="preserve"> Section 3.5).</w:t>
      </w:r>
    </w:p>
    <w:p w14:paraId="6992FCBE" w14:textId="20BB3706" w:rsidR="005B5CBB" w:rsidRPr="00D04502" w:rsidRDefault="005B5CBB" w:rsidP="00E43135">
      <w:pPr>
        <w:pStyle w:val="Heading3"/>
      </w:pPr>
      <w:r w:rsidRPr="00D04502">
        <w:t xml:space="preserve">Monitoring and </w:t>
      </w:r>
      <w:r w:rsidR="003F2F30">
        <w:t>i</w:t>
      </w:r>
      <w:r w:rsidRPr="00D04502">
        <w:t>nstrumentation</w:t>
      </w:r>
    </w:p>
    <w:p w14:paraId="34C9A8D4" w14:textId="30DABAA4" w:rsidR="00BC16C8" w:rsidRPr="00D04502" w:rsidRDefault="00BC16C8" w:rsidP="00713824">
      <w:pPr>
        <w:pStyle w:val="F9-Paragraph"/>
        <w:ind w:left="851" w:hanging="851"/>
        <w:rPr>
          <w:rFonts w:eastAsia="Calibri"/>
        </w:rPr>
      </w:pPr>
      <w:r w:rsidRPr="00D04502">
        <w:t xml:space="preserve">The Inspector should emphasise the dutyholder’s responsibility to monitor the site throughout its lifecycle—before, during, and after construction. </w:t>
      </w:r>
      <w:r w:rsidR="003F2F30">
        <w:br/>
      </w:r>
      <w:r w:rsidRPr="00D04502">
        <w:t xml:space="preserve">This monitoring is essential for informing design analyses, validating assumptions, and supporting </w:t>
      </w:r>
      <w:r w:rsidR="003F2F30">
        <w:t>s</w:t>
      </w:r>
      <w:r w:rsidRPr="00D04502">
        <w:t xml:space="preserve">afety </w:t>
      </w:r>
      <w:r w:rsidR="003F2F30">
        <w:t>c</w:t>
      </w:r>
      <w:r w:rsidRPr="00D04502">
        <w:t xml:space="preserve">ase development (refer to </w:t>
      </w:r>
      <w:r w:rsidR="003F2F30">
        <w:t>LC</w:t>
      </w:r>
      <w:r w:rsidRPr="00D04502">
        <w:t xml:space="preserve">15). </w:t>
      </w:r>
      <w:r w:rsidR="003F2F30">
        <w:br/>
      </w:r>
      <w:r w:rsidRPr="00D04502">
        <w:t xml:space="preserve">The Inspector </w:t>
      </w:r>
      <w:r w:rsidR="00713824" w:rsidRPr="00D04502">
        <w:t xml:space="preserve">may seek assurance </w:t>
      </w:r>
      <w:r w:rsidRPr="00D04502">
        <w:t>that robust arrangements are in place for monitoring excavations and slope stability during both construction and the operational life of the structures.</w:t>
      </w:r>
    </w:p>
    <w:p w14:paraId="375E8D15" w14:textId="77777777" w:rsidR="00BC16C8" w:rsidRPr="00D04502" w:rsidRDefault="00BC16C8" w:rsidP="005323E3">
      <w:pPr>
        <w:pStyle w:val="F9-Paragraph"/>
        <w:ind w:left="851" w:hanging="851"/>
      </w:pPr>
      <w:r w:rsidRPr="00D04502">
        <w:t>The assessment of the adequacy of the dutyholder’s planned monitoring scheme should be justified as part of the ground investigation rationale; including the frequency at which monitoring is undertaken and duration of the programme. For example, the Inspector should expect an adequate justification to include:</w:t>
      </w:r>
    </w:p>
    <w:p w14:paraId="41571DB8" w14:textId="684318BE" w:rsidR="00BC16C8" w:rsidRPr="00D04502" w:rsidRDefault="00BC16C8" w:rsidP="005323E3">
      <w:pPr>
        <w:pStyle w:val="Bulletlist1"/>
        <w:ind w:left="1418" w:hanging="357"/>
      </w:pPr>
      <w:r w:rsidRPr="00D04502">
        <w:t xml:space="preserve">assurance that the monitoring programme is of sufficient duration to enable any variations that may impact on the design are identified and quantified </w:t>
      </w:r>
      <w:r w:rsidR="003F2F30">
        <w:t>(for example,</w:t>
      </w:r>
      <w:r w:rsidRPr="00D04502">
        <w:t xml:space="preserve"> seasonal changes in groundwater level) to establish baselines,</w:t>
      </w:r>
    </w:p>
    <w:p w14:paraId="461BF36F" w14:textId="6CE1827E" w:rsidR="00BC16C8" w:rsidRPr="00D04502" w:rsidRDefault="00BC16C8" w:rsidP="005323E3">
      <w:pPr>
        <w:pStyle w:val="Bulletlist1"/>
        <w:ind w:left="1418" w:hanging="357"/>
      </w:pPr>
      <w:r w:rsidRPr="00D04502">
        <w:t xml:space="preserve">consideration given to long-term monitoring needs when developing and designing the scheme as there are some parameters that may need monitoring throughout the facility’s lifetime </w:t>
      </w:r>
      <w:r w:rsidR="003F2F30">
        <w:t>(for example,</w:t>
      </w:r>
      <w:r w:rsidRPr="00D04502">
        <w:t xml:space="preserve"> settlement),</w:t>
      </w:r>
    </w:p>
    <w:p w14:paraId="18688EC1" w14:textId="77777777" w:rsidR="003F2F30" w:rsidRDefault="003F2F30" w:rsidP="005323E3">
      <w:pPr>
        <w:pStyle w:val="Bulletlist1"/>
        <w:ind w:left="1418" w:hanging="357"/>
        <w:sectPr w:rsidR="003F2F30">
          <w:pgSz w:w="11906" w:h="16838"/>
          <w:pgMar w:top="1440" w:right="1440" w:bottom="1440" w:left="1440" w:header="708" w:footer="708" w:gutter="0"/>
          <w:cols w:space="708"/>
          <w:docGrid w:linePitch="360"/>
        </w:sectPr>
      </w:pPr>
    </w:p>
    <w:p w14:paraId="3956D020" w14:textId="36901548" w:rsidR="00BC16C8" w:rsidRPr="00D04502" w:rsidRDefault="00BC16C8" w:rsidP="005323E3">
      <w:pPr>
        <w:pStyle w:val="Bulletlist1"/>
        <w:ind w:left="1418" w:hanging="357"/>
      </w:pPr>
      <w:r w:rsidRPr="00D04502">
        <w:lastRenderedPageBreak/>
        <w:t>where appropriate, monitoring provided for key geotechnical, hydrological and hydrogeological parameters, including groundwater (levels</w:t>
      </w:r>
      <w:r w:rsidR="00BB75BA" w:rsidRPr="00D04502">
        <w:t>,</w:t>
      </w:r>
      <w:r w:rsidRPr="00D04502">
        <w:t xml:space="preserve"> quality</w:t>
      </w:r>
      <w:r w:rsidR="00BB75BA" w:rsidRPr="00D04502">
        <w:t xml:space="preserve"> and contamination</w:t>
      </w:r>
      <w:r w:rsidRPr="00D04502">
        <w:t xml:space="preserve">, </w:t>
      </w:r>
      <w:r w:rsidR="003F2F30">
        <w:t>refer to</w:t>
      </w:r>
      <w:r w:rsidRPr="00D04502">
        <w:t xml:space="preserve"> SAP ECE.10), and settlement,</w:t>
      </w:r>
    </w:p>
    <w:p w14:paraId="527B3D8E" w14:textId="558E8877" w:rsidR="00BC16C8" w:rsidRPr="00D04502" w:rsidRDefault="00BC16C8" w:rsidP="005323E3">
      <w:pPr>
        <w:pStyle w:val="Bulletlist1"/>
        <w:ind w:left="1418" w:hanging="357"/>
      </w:pPr>
      <w:r w:rsidRPr="00D04502">
        <w:t xml:space="preserve">monitoring of beachfront topography or river alignment/ erosion, as well as bathymetry where particular claims are made around the impact of offshore geotechnical features on local wave effects, which should be managed by dutyholder arrangements under LC28 </w:t>
      </w:r>
      <w:r w:rsidR="003F2F30">
        <w:t>(refer to</w:t>
      </w:r>
      <w:r w:rsidRPr="00D04502">
        <w:t xml:space="preserve"> SAP ECE.12),</w:t>
      </w:r>
    </w:p>
    <w:p w14:paraId="5CF559EF" w14:textId="62FE5985" w:rsidR="00BC16C8" w:rsidRPr="00D04502" w:rsidRDefault="00BC16C8" w:rsidP="005323E3">
      <w:pPr>
        <w:pStyle w:val="Bulletlist1"/>
        <w:ind w:left="1418" w:hanging="357"/>
      </w:pPr>
      <w:r w:rsidRPr="00D04502">
        <w:t xml:space="preserve">consideration given to both static and dynamic geotechnical aspects, namely settlement </w:t>
      </w:r>
      <w:r w:rsidR="003F2F30">
        <w:t>(refer to</w:t>
      </w:r>
      <w:r w:rsidRPr="00D04502">
        <w:t xml:space="preserve"> SAP ECE.24) and PSHA / site response respectively. </w:t>
      </w:r>
    </w:p>
    <w:p w14:paraId="4B880E80" w14:textId="258E4B65" w:rsidR="00BC16C8" w:rsidRPr="00D04502" w:rsidRDefault="00395D92" w:rsidP="0080156C">
      <w:pPr>
        <w:pStyle w:val="F9-Paragraph"/>
        <w:ind w:left="851" w:hanging="851"/>
      </w:pPr>
      <w:r w:rsidRPr="00D04502">
        <w:t xml:space="preserve">For challenging ground conditions, large-scale tests during the investigation phase can provide valuable design data. The Inspector should support this approach, as </w:t>
      </w:r>
      <w:r w:rsidR="00DD68BB" w:rsidRPr="00D04502">
        <w:t xml:space="preserve">they can </w:t>
      </w:r>
      <w:r w:rsidRPr="00D04502">
        <w:t xml:space="preserve">enhance design information. When reviewing proposals, the Inspector </w:t>
      </w:r>
      <w:r w:rsidR="0080156C" w:rsidRPr="00D04502">
        <w:t>may</w:t>
      </w:r>
      <w:r w:rsidRPr="00D04502">
        <w:t xml:space="preserve"> assess whether the test results are applicable to the design, considering potential impacts from weathering or other factors.</w:t>
      </w:r>
    </w:p>
    <w:p w14:paraId="3DA114D3" w14:textId="4D6C3E7B" w:rsidR="00BC16C8" w:rsidRPr="00D04502" w:rsidRDefault="0080156C" w:rsidP="00B93B93">
      <w:pPr>
        <w:pStyle w:val="F9-Paragraph"/>
        <w:ind w:left="851" w:hanging="851"/>
      </w:pPr>
      <w:r w:rsidRPr="00D04502">
        <w:rPr>
          <w:rFonts w:eastAsia="Calibri"/>
        </w:rPr>
        <w:t xml:space="preserve">The Inspector </w:t>
      </w:r>
      <w:r w:rsidR="00FE0EE3" w:rsidRPr="00D04502">
        <w:t xml:space="preserve">may wish to </w:t>
      </w:r>
      <w:r w:rsidR="00EC31E7" w:rsidRPr="00D04502">
        <w:t xml:space="preserve">consider the adequacy of </w:t>
      </w:r>
      <w:r w:rsidRPr="00D04502">
        <w:rPr>
          <w:rFonts w:eastAsia="Calibri"/>
        </w:rPr>
        <w:t>the monitoring scheme cover</w:t>
      </w:r>
      <w:r w:rsidR="00B93B93" w:rsidRPr="00D04502">
        <w:t>ing</w:t>
      </w:r>
      <w:r w:rsidRPr="00D04502">
        <w:rPr>
          <w:rFonts w:eastAsia="Calibri"/>
        </w:rPr>
        <w:t xml:space="preserve"> the site’s entire lifecycle, ensuring the dutyholder regularly reviews outputs, particularly when site activities change. During construction, more frequent or continuous monitoring of slope and excavation stability may be necessary.</w:t>
      </w:r>
    </w:p>
    <w:p w14:paraId="42414C17" w14:textId="789620CF" w:rsidR="00803D98" w:rsidRPr="00D04502" w:rsidRDefault="00803D98" w:rsidP="00803D98">
      <w:pPr>
        <w:pStyle w:val="Heading2"/>
        <w:ind w:left="851" w:hanging="851"/>
      </w:pPr>
      <w:r w:rsidRPr="00D04502">
        <w:t>Reporting</w:t>
      </w:r>
    </w:p>
    <w:p w14:paraId="5B943B43" w14:textId="5BAB7E0D" w:rsidR="00DA77E9" w:rsidRPr="00D04502" w:rsidRDefault="003F2F30" w:rsidP="007D66CF">
      <w:pPr>
        <w:pStyle w:val="F9-Paragraph"/>
        <w:ind w:left="851" w:hanging="851"/>
        <w:rPr>
          <w:rFonts w:eastAsia="Calibri"/>
        </w:rPr>
      </w:pPr>
      <w:r>
        <w:rPr>
          <w:rFonts w:eastAsia="Calibri"/>
        </w:rPr>
        <w:t>LC</w:t>
      </w:r>
      <w:r w:rsidR="007D66CF" w:rsidRPr="00D04502">
        <w:rPr>
          <w:rFonts w:eastAsia="Calibri"/>
        </w:rPr>
        <w:t>6 requires arrangements for maintaining accurate records, including ground investigation data, results, and interpretation for civil engineering works. Geotechnical records may also support dutyholder claims regarding contaminated land, as required by SAPs RL.2 and RL.5, if contamination is identified.</w:t>
      </w:r>
    </w:p>
    <w:p w14:paraId="427565D6" w14:textId="0FA418BA" w:rsidR="00607221" w:rsidRPr="00D04502" w:rsidRDefault="00607221" w:rsidP="00607221">
      <w:pPr>
        <w:pStyle w:val="F9-Paragraph"/>
        <w:ind w:left="851" w:hanging="851"/>
        <w:rPr>
          <w:rFonts w:eastAsia="Calibri"/>
        </w:rPr>
      </w:pPr>
      <w:r w:rsidRPr="00D04502">
        <w:rPr>
          <w:rFonts w:eastAsia="Calibri"/>
        </w:rPr>
        <w:t xml:space="preserve">The Inspector should consider whether the reporting of ground investigation information is conducted in accordance with </w:t>
      </w:r>
      <w:r w:rsidR="00D8767B" w:rsidRPr="00D04502">
        <w:rPr>
          <w:rFonts w:eastAsia="Calibri"/>
        </w:rPr>
        <w:t>good practice</w:t>
      </w:r>
      <w:r w:rsidRPr="00D04502">
        <w:rPr>
          <w:rFonts w:eastAsia="Calibri"/>
        </w:rPr>
        <w:t xml:space="preserve">, </w:t>
      </w:r>
      <w:r w:rsidR="003F2F30">
        <w:rPr>
          <w:rFonts w:eastAsia="Calibri"/>
        </w:rPr>
        <w:t>for example,</w:t>
      </w:r>
      <w:r w:rsidRPr="00D04502">
        <w:rPr>
          <w:rFonts w:eastAsia="Calibri"/>
        </w:rPr>
        <w:t xml:space="preserve"> </w:t>
      </w:r>
      <w:r w:rsidR="003F2F30">
        <w:rPr>
          <w:rFonts w:eastAsia="Calibri"/>
        </w:rPr>
        <w:br/>
      </w:r>
      <w:r w:rsidRPr="00D04502">
        <w:rPr>
          <w:rFonts w:eastAsia="Calibri"/>
        </w:rPr>
        <w:t>BS 5930</w:t>
      </w:r>
      <w:r w:rsidR="007447D8" w:rsidRPr="00D04502">
        <w:rPr>
          <w:rFonts w:eastAsia="Calibri"/>
        </w:rPr>
        <w:t>:2015</w:t>
      </w:r>
      <w:r w:rsidRPr="00D04502">
        <w:rPr>
          <w:rFonts w:eastAsia="Calibri"/>
        </w:rPr>
        <w:t xml:space="preserve"> </w:t>
      </w:r>
      <w:sdt>
        <w:sdtPr>
          <w:rPr>
            <w:rFonts w:eastAsia="Calibri"/>
          </w:rPr>
          <w:id w:val="-1511287691"/>
          <w:citation/>
        </w:sdtPr>
        <w:sdtEndPr/>
        <w:sdtContent>
          <w:r w:rsidRPr="00D04502">
            <w:rPr>
              <w:rFonts w:eastAsia="Calibri"/>
            </w:rPr>
            <w:fldChar w:fldCharType="begin"/>
          </w:r>
          <w:r w:rsidRPr="00D04502">
            <w:rPr>
              <w:rFonts w:eastAsia="Calibri"/>
            </w:rPr>
            <w:instrText xml:space="preserve"> CITATION BSI4 \l 2057 </w:instrText>
          </w:r>
          <w:r w:rsidRPr="00D04502">
            <w:rPr>
              <w:rFonts w:eastAsia="Calibri"/>
            </w:rPr>
            <w:fldChar w:fldCharType="separate"/>
          </w:r>
          <w:r w:rsidR="00401277" w:rsidRPr="00401277">
            <w:rPr>
              <w:rFonts w:eastAsia="Calibri"/>
              <w:noProof/>
            </w:rPr>
            <w:t>[4]</w:t>
          </w:r>
          <w:r w:rsidRPr="00D04502">
            <w:rPr>
              <w:rFonts w:eastAsia="Calibri"/>
            </w:rPr>
            <w:fldChar w:fldCharType="end"/>
          </w:r>
        </w:sdtContent>
      </w:sdt>
      <w:r w:rsidRPr="00D04502">
        <w:rPr>
          <w:rFonts w:eastAsia="Calibri"/>
        </w:rPr>
        <w:t xml:space="preserve"> and Eurocode 7</w:t>
      </w:r>
      <w:sdt>
        <w:sdtPr>
          <w:rPr>
            <w:rFonts w:eastAsia="Calibri"/>
          </w:rPr>
          <w:id w:val="-1012221887"/>
          <w:citation/>
        </w:sdtPr>
        <w:sdtEndPr/>
        <w:sdtContent>
          <w:r w:rsidR="00F63A33" w:rsidRPr="00D04502">
            <w:rPr>
              <w:rFonts w:eastAsia="Calibri"/>
            </w:rPr>
            <w:fldChar w:fldCharType="begin"/>
          </w:r>
          <w:r w:rsidR="00F63A33" w:rsidRPr="00D04502">
            <w:rPr>
              <w:rFonts w:eastAsia="Calibri"/>
            </w:rPr>
            <w:instrText xml:space="preserve"> CITATION BSI7 \l 2057 </w:instrText>
          </w:r>
          <w:r w:rsidR="00F63A33" w:rsidRPr="00D04502">
            <w:rPr>
              <w:rFonts w:eastAsia="Calibri"/>
            </w:rPr>
            <w:fldChar w:fldCharType="separate"/>
          </w:r>
          <w:r w:rsidR="00401277">
            <w:rPr>
              <w:rFonts w:eastAsia="Calibri"/>
              <w:noProof/>
            </w:rPr>
            <w:t xml:space="preserve"> </w:t>
          </w:r>
          <w:r w:rsidR="00401277" w:rsidRPr="00401277">
            <w:rPr>
              <w:rFonts w:eastAsia="Calibri"/>
              <w:noProof/>
            </w:rPr>
            <w:t>[20]</w:t>
          </w:r>
          <w:r w:rsidR="00F63A33" w:rsidRPr="00D04502">
            <w:rPr>
              <w:rFonts w:eastAsia="Calibri"/>
            </w:rPr>
            <w:fldChar w:fldCharType="end"/>
          </w:r>
        </w:sdtContent>
      </w:sdt>
      <w:r w:rsidR="00491005" w:rsidRPr="00D04502">
        <w:rPr>
          <w:rFonts w:eastAsia="Calibri"/>
        </w:rPr>
        <w:t xml:space="preserve"> </w:t>
      </w:r>
      <w:sdt>
        <w:sdtPr>
          <w:rPr>
            <w:rFonts w:eastAsia="Calibri"/>
          </w:rPr>
          <w:id w:val="-1008749503"/>
          <w:citation/>
        </w:sdtPr>
        <w:sdtEndPr/>
        <w:sdtContent>
          <w:r w:rsidR="00491005" w:rsidRPr="00D04502">
            <w:rPr>
              <w:rFonts w:eastAsia="Calibri"/>
            </w:rPr>
            <w:fldChar w:fldCharType="begin"/>
          </w:r>
          <w:r w:rsidR="00491005" w:rsidRPr="00D04502">
            <w:rPr>
              <w:rFonts w:eastAsia="Calibri"/>
            </w:rPr>
            <w:instrText xml:space="preserve"> CITATION BSI5 \l 2057 </w:instrText>
          </w:r>
          <w:r w:rsidR="00491005" w:rsidRPr="00D04502">
            <w:rPr>
              <w:rFonts w:eastAsia="Calibri"/>
            </w:rPr>
            <w:fldChar w:fldCharType="separate"/>
          </w:r>
          <w:r w:rsidR="00401277" w:rsidRPr="00401277">
            <w:rPr>
              <w:rFonts w:eastAsia="Calibri"/>
              <w:noProof/>
            </w:rPr>
            <w:t>[10]</w:t>
          </w:r>
          <w:r w:rsidR="00491005" w:rsidRPr="00D04502">
            <w:rPr>
              <w:rFonts w:eastAsia="Calibri"/>
            </w:rPr>
            <w:fldChar w:fldCharType="end"/>
          </w:r>
        </w:sdtContent>
      </w:sdt>
      <w:r w:rsidRPr="00D04502">
        <w:rPr>
          <w:rFonts w:eastAsia="Calibri"/>
        </w:rPr>
        <w:t>, including:</w:t>
      </w:r>
    </w:p>
    <w:p w14:paraId="1037BC8A" w14:textId="543EF0A8" w:rsidR="00607221" w:rsidRPr="00D04502" w:rsidRDefault="00607221" w:rsidP="00E913E0">
      <w:pPr>
        <w:pStyle w:val="Bulletlist1"/>
        <w:ind w:left="1418" w:hanging="357"/>
      </w:pPr>
      <w:r w:rsidRPr="00D04502">
        <w:t>Factual report(s)</w:t>
      </w:r>
    </w:p>
    <w:p w14:paraId="4548A31E" w14:textId="1D3C9E62" w:rsidR="00607221" w:rsidRPr="00D04502" w:rsidRDefault="00607221" w:rsidP="00E913E0">
      <w:pPr>
        <w:pStyle w:val="Bulletlist1"/>
        <w:ind w:left="1418" w:hanging="357"/>
      </w:pPr>
      <w:r w:rsidRPr="00D04502">
        <w:t xml:space="preserve">Interpretative report(s) </w:t>
      </w:r>
    </w:p>
    <w:p w14:paraId="0EA69D74" w14:textId="6B0874F2" w:rsidR="00607221" w:rsidRPr="00D04502" w:rsidRDefault="00607221" w:rsidP="00E913E0">
      <w:pPr>
        <w:pStyle w:val="Bulletlist1"/>
        <w:ind w:left="1418" w:hanging="357"/>
      </w:pPr>
      <w:r w:rsidRPr="00D04502">
        <w:t>Design report(s)</w:t>
      </w:r>
    </w:p>
    <w:p w14:paraId="1B7EAEBB" w14:textId="77777777" w:rsidR="003F2F30" w:rsidRDefault="003F2F30" w:rsidP="00A0687B">
      <w:pPr>
        <w:pStyle w:val="F9-Paragraph"/>
        <w:ind w:left="851" w:hanging="851"/>
        <w:rPr>
          <w:rFonts w:eastAsia="Calibri"/>
        </w:rPr>
        <w:sectPr w:rsidR="003F2F30">
          <w:pgSz w:w="11906" w:h="16838"/>
          <w:pgMar w:top="1440" w:right="1440" w:bottom="1440" w:left="1440" w:header="708" w:footer="708" w:gutter="0"/>
          <w:cols w:space="708"/>
          <w:docGrid w:linePitch="360"/>
        </w:sectPr>
      </w:pPr>
    </w:p>
    <w:p w14:paraId="11C58B48" w14:textId="3FD4108E" w:rsidR="00FD6566" w:rsidRPr="00D04502" w:rsidRDefault="00A30B2D" w:rsidP="00A0687B">
      <w:pPr>
        <w:pStyle w:val="F9-Paragraph"/>
        <w:ind w:left="851" w:hanging="851"/>
        <w:rPr>
          <w:rFonts w:eastAsia="Calibri"/>
        </w:rPr>
      </w:pPr>
      <w:r w:rsidRPr="00D04502">
        <w:rPr>
          <w:rFonts w:eastAsia="Calibri"/>
        </w:rPr>
        <w:lastRenderedPageBreak/>
        <w:t xml:space="preserve">When reporting, the Inspector should ensure reports are regularly updated throughout and after construction. These updates must reflect actual ground conditions and include an as-built model for demonstration. </w:t>
      </w:r>
      <w:r w:rsidR="003F2F30">
        <w:rPr>
          <w:rFonts w:eastAsia="Calibri"/>
        </w:rPr>
        <w:br/>
      </w:r>
      <w:r w:rsidRPr="00D04502">
        <w:rPr>
          <w:rFonts w:eastAsia="Calibri"/>
        </w:rPr>
        <w:t>Adequate information should be gathered to confirm that design assumptions match site conditions, with evidence that assumptions remain valid or that the design has been adjusted as necessary.</w:t>
      </w:r>
    </w:p>
    <w:p w14:paraId="627CFB95" w14:textId="45A7577C" w:rsidR="00FD6566" w:rsidRPr="00D04502" w:rsidRDefault="00FD6566" w:rsidP="00225A11">
      <w:pPr>
        <w:pStyle w:val="F9-Paragraph"/>
        <w:ind w:left="851" w:hanging="851"/>
        <w:rPr>
          <w:rFonts w:eastAsia="Calibri"/>
        </w:rPr>
      </w:pPr>
      <w:r w:rsidRPr="00D04502">
        <w:rPr>
          <w:rFonts w:eastAsia="Calibri"/>
        </w:rPr>
        <w:t xml:space="preserve">In line with </w:t>
      </w:r>
      <w:r w:rsidR="003F2F30">
        <w:rPr>
          <w:rFonts w:eastAsia="Calibri"/>
        </w:rPr>
        <w:t>LC</w:t>
      </w:r>
      <w:r w:rsidRPr="00D04502">
        <w:rPr>
          <w:rFonts w:eastAsia="Calibri"/>
        </w:rPr>
        <w:t xml:space="preserve">6 and SAPs MS.2 and DC.6, records of the ground investigation should be preserved; this includes the raw data and measurements, not only the interpretations. Records of design deviations should also be maintained, along with as-built drawings and records. </w:t>
      </w:r>
      <w:r w:rsidR="003F2F30">
        <w:rPr>
          <w:rFonts w:eastAsia="Calibri"/>
        </w:rPr>
        <w:br/>
      </w:r>
      <w:r w:rsidRPr="00D04502">
        <w:rPr>
          <w:rFonts w:eastAsia="Calibri"/>
        </w:rPr>
        <w:t>The dutyholder may consider retaining geological core material from the ground investigation for use in subsequent construction and / or development on the site.</w:t>
      </w:r>
    </w:p>
    <w:p w14:paraId="626BFF5F" w14:textId="52F17975" w:rsidR="00803D98" w:rsidRPr="003F2F30" w:rsidRDefault="00FD6566" w:rsidP="003F2F30">
      <w:pPr>
        <w:pStyle w:val="F9-Paragraph"/>
        <w:ind w:left="851" w:hanging="851"/>
        <w:rPr>
          <w:rFonts w:eastAsia="Calibri"/>
        </w:rPr>
      </w:pPr>
      <w:r w:rsidRPr="00D04502">
        <w:rPr>
          <w:rFonts w:eastAsia="Calibri"/>
        </w:rPr>
        <w:t xml:space="preserve">For more information on records management, </w:t>
      </w:r>
      <w:r w:rsidR="003F2F30">
        <w:rPr>
          <w:rFonts w:eastAsia="Calibri"/>
        </w:rPr>
        <w:t xml:space="preserve">refer to the TAG on the management of dutyholder records </w:t>
      </w:r>
      <w:sdt>
        <w:sdtPr>
          <w:rPr>
            <w:rFonts w:eastAsia="Calibri"/>
          </w:rPr>
          <w:id w:val="295727166"/>
          <w:citation/>
        </w:sdtPr>
        <w:sdtContent>
          <w:r w:rsidR="003F2F30">
            <w:rPr>
              <w:rFonts w:eastAsia="Calibri"/>
            </w:rPr>
            <w:fldChar w:fldCharType="begin"/>
          </w:r>
          <w:r w:rsidR="003F2F30">
            <w:rPr>
              <w:rFonts w:eastAsia="Calibri"/>
            </w:rPr>
            <w:instrText xml:space="preserve"> CITATION ONR551 \l 2057 </w:instrText>
          </w:r>
          <w:r w:rsidR="003F2F30">
            <w:rPr>
              <w:rFonts w:eastAsia="Calibri"/>
            </w:rPr>
            <w:fldChar w:fldCharType="separate"/>
          </w:r>
          <w:r w:rsidR="00401277" w:rsidRPr="00401277">
            <w:rPr>
              <w:rFonts w:eastAsia="Calibri"/>
              <w:noProof/>
            </w:rPr>
            <w:t>[21]</w:t>
          </w:r>
          <w:r w:rsidR="003F2F30">
            <w:rPr>
              <w:rFonts w:eastAsia="Calibri"/>
            </w:rPr>
            <w:fldChar w:fldCharType="end"/>
          </w:r>
        </w:sdtContent>
      </w:sdt>
      <w:r w:rsidR="003F2F30">
        <w:rPr>
          <w:rFonts w:eastAsia="Calibri"/>
        </w:rPr>
        <w:t>.</w:t>
      </w:r>
    </w:p>
    <w:p w14:paraId="2775FAB9" w14:textId="77777777" w:rsidR="003F2F30" w:rsidRDefault="003F2F30">
      <w:pPr>
        <w:pStyle w:val="Heading1"/>
        <w:numPr>
          <w:ilvl w:val="0"/>
          <w:numId w:val="4"/>
        </w:numPr>
        <w:ind w:left="851" w:hanging="851"/>
        <w:sectPr w:rsidR="003F2F30">
          <w:pgSz w:w="11906" w:h="16838"/>
          <w:pgMar w:top="1440" w:right="1440" w:bottom="1440" w:left="1440" w:header="708" w:footer="708" w:gutter="0"/>
          <w:cols w:space="708"/>
          <w:docGrid w:linePitch="360"/>
        </w:sectPr>
      </w:pPr>
      <w:bookmarkStart w:id="14" w:name="_Toc218000541"/>
    </w:p>
    <w:p w14:paraId="0E46663A" w14:textId="5D88B763" w:rsidR="005B5CBB" w:rsidRPr="00D04502" w:rsidRDefault="00947A23">
      <w:pPr>
        <w:pStyle w:val="Heading1"/>
        <w:numPr>
          <w:ilvl w:val="0"/>
          <w:numId w:val="4"/>
        </w:numPr>
        <w:ind w:left="851" w:hanging="851"/>
      </w:pPr>
      <w:bookmarkStart w:id="15" w:name="_Toc234832903"/>
      <w:r w:rsidRPr="00D04502">
        <w:lastRenderedPageBreak/>
        <w:t xml:space="preserve">Geotechnical </w:t>
      </w:r>
      <w:r w:rsidR="003F2F30">
        <w:t>n</w:t>
      </w:r>
      <w:r w:rsidR="002F7EDF" w:rsidRPr="00D04502">
        <w:t xml:space="preserve">umerical </w:t>
      </w:r>
      <w:r w:rsidR="003F2F30">
        <w:t>m</w:t>
      </w:r>
      <w:r w:rsidR="002F7EDF" w:rsidRPr="00D04502">
        <w:t xml:space="preserve">odelling and </w:t>
      </w:r>
      <w:r w:rsidR="003F2F30">
        <w:t>a</w:t>
      </w:r>
      <w:r w:rsidR="002F7EDF" w:rsidRPr="00D04502">
        <w:t>nalysis</w:t>
      </w:r>
      <w:bookmarkEnd w:id="14"/>
      <w:bookmarkEnd w:id="15"/>
    </w:p>
    <w:p w14:paraId="4504A83C" w14:textId="77777777" w:rsidR="00E94FA6" w:rsidRPr="00D04502" w:rsidRDefault="00E94FA6" w:rsidP="00E94FA6">
      <w:pPr>
        <w:pStyle w:val="F9-Paragraph"/>
        <w:ind w:left="851" w:hanging="851"/>
        <w:rPr>
          <w:rFonts w:eastAsia="Calibri"/>
        </w:rPr>
      </w:pPr>
      <w:r w:rsidRPr="00D04502">
        <w:rPr>
          <w:rFonts w:eastAsia="Calibri"/>
        </w:rPr>
        <w:t>The ground investigation data provides inputs to the various geotechnical numerical modelling and analyses that are required to gain understanding of:</w:t>
      </w:r>
    </w:p>
    <w:p w14:paraId="5EB6F0A5" w14:textId="77777777" w:rsidR="00E94FA6" w:rsidRPr="00D04502" w:rsidRDefault="00E94FA6" w:rsidP="00E94FA6">
      <w:pPr>
        <w:pStyle w:val="Bulletlist1"/>
        <w:ind w:left="1418" w:hanging="357"/>
      </w:pPr>
      <w:r w:rsidRPr="00D04502">
        <w:t>the conceptual foundation design,</w:t>
      </w:r>
    </w:p>
    <w:p w14:paraId="2B3AC488" w14:textId="77777777" w:rsidR="00E94FA6" w:rsidRPr="00D04502" w:rsidRDefault="00E94FA6" w:rsidP="00E94FA6">
      <w:pPr>
        <w:pStyle w:val="Bulletlist1"/>
        <w:ind w:left="1418" w:hanging="357"/>
      </w:pPr>
      <w:r w:rsidRPr="00D04502">
        <w:t>the construction methodology and sequencing,</w:t>
      </w:r>
    </w:p>
    <w:p w14:paraId="0892600A" w14:textId="77777777" w:rsidR="00E94FA6" w:rsidRPr="00D04502" w:rsidRDefault="00E94FA6" w:rsidP="00E94FA6">
      <w:pPr>
        <w:pStyle w:val="Bulletlist1"/>
        <w:ind w:left="1418" w:hanging="357"/>
      </w:pPr>
      <w:r w:rsidRPr="00D04502">
        <w:t>the design of temporary works,</w:t>
      </w:r>
    </w:p>
    <w:p w14:paraId="727B0FCF" w14:textId="77777777" w:rsidR="00E94FA6" w:rsidRPr="00D04502" w:rsidRDefault="00E94FA6" w:rsidP="00E94FA6">
      <w:pPr>
        <w:pStyle w:val="Bulletlist1"/>
        <w:ind w:left="1418" w:hanging="357"/>
      </w:pPr>
      <w:r w:rsidRPr="00D04502">
        <w:t>back calculation of the results from site tests for validation purposes,</w:t>
      </w:r>
    </w:p>
    <w:p w14:paraId="761A7088" w14:textId="77777777" w:rsidR="00E94FA6" w:rsidRPr="00D04502" w:rsidRDefault="00E94FA6" w:rsidP="00E94FA6">
      <w:pPr>
        <w:pStyle w:val="Bulletlist1"/>
        <w:ind w:left="1418" w:hanging="357"/>
      </w:pPr>
      <w:r w:rsidRPr="00D04502">
        <w:t>the static and dynamic soil-structure interaction,</w:t>
      </w:r>
    </w:p>
    <w:p w14:paraId="6F5C06D1" w14:textId="77777777" w:rsidR="00E94FA6" w:rsidRPr="00D04502" w:rsidRDefault="00E94FA6" w:rsidP="00E94FA6">
      <w:pPr>
        <w:pStyle w:val="Bulletlist1"/>
        <w:ind w:left="1418" w:hanging="357"/>
      </w:pPr>
      <w:r w:rsidRPr="00D04502">
        <w:t>the structure-soil-structure Interaction effects,</w:t>
      </w:r>
    </w:p>
    <w:p w14:paraId="387E720B" w14:textId="478B23C0" w:rsidR="00E94FA6" w:rsidRPr="00D04502" w:rsidRDefault="00E94FA6" w:rsidP="00E94FA6">
      <w:pPr>
        <w:pStyle w:val="Bulletlist1"/>
        <w:ind w:left="1418" w:hanging="357"/>
      </w:pPr>
      <w:r w:rsidRPr="00D04502">
        <w:t xml:space="preserve">dynamic site response (This is usually carried out as part of PSHA, guidance on this is provided at </w:t>
      </w:r>
      <w:sdt>
        <w:sdtPr>
          <w:id w:val="-785884035"/>
          <w:citation/>
        </w:sdtPr>
        <w:sdtContent>
          <w:r w:rsidR="003F2F30">
            <w:fldChar w:fldCharType="begin"/>
          </w:r>
          <w:r w:rsidR="003F2F30">
            <w:instrText xml:space="preserve"> CITATION ONR82 \l 2057 </w:instrText>
          </w:r>
          <w:r w:rsidR="003F2F30">
            <w:fldChar w:fldCharType="separate"/>
          </w:r>
          <w:r w:rsidR="00401277" w:rsidRPr="00401277">
            <w:t>[3]</w:t>
          </w:r>
          <w:r w:rsidR="003F2F30">
            <w:fldChar w:fldCharType="end"/>
          </w:r>
        </w:sdtContent>
      </w:sdt>
      <w:r w:rsidR="003F2F30">
        <w:t xml:space="preserve"> </w:t>
      </w:r>
      <w:r w:rsidRPr="00D04502">
        <w:t>and</w:t>
      </w:r>
      <w:r w:rsidR="000D22A7" w:rsidRPr="00D04502">
        <w:t xml:space="preserve"> </w:t>
      </w:r>
      <w:sdt>
        <w:sdtPr>
          <w:id w:val="898406416"/>
          <w:citation/>
        </w:sdtPr>
        <w:sdtEndPr/>
        <w:sdtContent>
          <w:r w:rsidR="000D22A7" w:rsidRPr="00D04502">
            <w:fldChar w:fldCharType="begin"/>
          </w:r>
          <w:r w:rsidR="000D22A7" w:rsidRPr="00D04502">
            <w:instrText xml:space="preserve"> CITATION BSI4 \l 2057 </w:instrText>
          </w:r>
          <w:r w:rsidR="000D22A7" w:rsidRPr="00D04502">
            <w:fldChar w:fldCharType="separate"/>
          </w:r>
          <w:r w:rsidR="00401277" w:rsidRPr="00401277">
            <w:t>[4]</w:t>
          </w:r>
          <w:r w:rsidR="000D22A7" w:rsidRPr="00D04502">
            <w:fldChar w:fldCharType="end"/>
          </w:r>
        </w:sdtContent>
      </w:sdt>
      <w:r w:rsidRPr="00D04502">
        <w:t>).</w:t>
      </w:r>
    </w:p>
    <w:p w14:paraId="65E9DC0C" w14:textId="1603192C" w:rsidR="00E94FA6" w:rsidRPr="00D04502" w:rsidRDefault="00E94FA6" w:rsidP="000D22A7">
      <w:pPr>
        <w:pStyle w:val="F9-Paragraph"/>
        <w:ind w:left="851" w:hanging="851"/>
        <w:rPr>
          <w:rFonts w:eastAsia="Calibri"/>
        </w:rPr>
      </w:pPr>
      <w:r w:rsidRPr="00D04502">
        <w:rPr>
          <w:rFonts w:eastAsia="Calibri"/>
        </w:rPr>
        <w:t xml:space="preserve">The Inspector should note the use of the ground model to inform the development and validation of numerical models is a key aspect of the overall analysis process. The Inspector is reminded of SAPs ECE.12, ECE.13 and ECE.14 when considering structural analysis and modelling to demonstrate the structures can meet the </w:t>
      </w:r>
      <w:r w:rsidR="00D63941" w:rsidRPr="00D04502">
        <w:rPr>
          <w:rFonts w:eastAsia="Calibri"/>
        </w:rPr>
        <w:t xml:space="preserve">safety </w:t>
      </w:r>
      <w:r w:rsidRPr="00D04502">
        <w:rPr>
          <w:rFonts w:eastAsia="Calibri"/>
        </w:rPr>
        <w:t>functional requirements (SFRs) for the required duration, with the appropriate use of data and sensitivity analysis as justification.</w:t>
      </w:r>
    </w:p>
    <w:p w14:paraId="57ABA035" w14:textId="3D47E6CC" w:rsidR="00E94FA6" w:rsidRPr="00D04502" w:rsidRDefault="00E94FA6" w:rsidP="000D22A7">
      <w:pPr>
        <w:pStyle w:val="F9-Paragraph"/>
        <w:ind w:left="851" w:hanging="851"/>
        <w:rPr>
          <w:rFonts w:eastAsia="Calibri"/>
        </w:rPr>
      </w:pPr>
      <w:r w:rsidRPr="00D04502">
        <w:rPr>
          <w:rFonts w:eastAsia="Calibri"/>
        </w:rPr>
        <w:t>Key principles for the Inspector to note are included herein; in addition, civil engineering principles for assessment of modelling for civil engineering purposes are presented in</w:t>
      </w:r>
      <w:r w:rsidR="003F2F30">
        <w:rPr>
          <w:rFonts w:eastAsia="Calibri"/>
        </w:rPr>
        <w:t xml:space="preserve"> annex 1 of TAG 17 </w:t>
      </w:r>
      <w:sdt>
        <w:sdtPr>
          <w:rPr>
            <w:rFonts w:eastAsia="Calibri"/>
          </w:rPr>
          <w:id w:val="-1365359921"/>
          <w:citation/>
        </w:sdtPr>
        <w:sdtContent>
          <w:r w:rsidR="003F2F30">
            <w:rPr>
              <w:rFonts w:eastAsia="Calibri"/>
            </w:rPr>
            <w:fldChar w:fldCharType="begin"/>
          </w:r>
          <w:r w:rsidR="003F2F30">
            <w:rPr>
              <w:rFonts w:eastAsia="Calibri"/>
            </w:rPr>
            <w:instrText xml:space="preserve"> CITATION ONR161 \l 2057 </w:instrText>
          </w:r>
          <w:r w:rsidR="003F2F30">
            <w:rPr>
              <w:rFonts w:eastAsia="Calibri"/>
            </w:rPr>
            <w:fldChar w:fldCharType="separate"/>
          </w:r>
          <w:r w:rsidR="00401277" w:rsidRPr="00401277">
            <w:rPr>
              <w:rFonts w:eastAsia="Calibri"/>
              <w:noProof/>
            </w:rPr>
            <w:t>[5]</w:t>
          </w:r>
          <w:r w:rsidR="003F2F30">
            <w:rPr>
              <w:rFonts w:eastAsia="Calibri"/>
            </w:rPr>
            <w:fldChar w:fldCharType="end"/>
          </w:r>
        </w:sdtContent>
      </w:sdt>
      <w:r w:rsidR="003F2F30">
        <w:rPr>
          <w:rFonts w:eastAsia="Calibri"/>
        </w:rPr>
        <w:t>.</w:t>
      </w:r>
    </w:p>
    <w:p w14:paraId="5C29F0BC" w14:textId="330D60C5" w:rsidR="00844933" w:rsidRPr="00D04502" w:rsidRDefault="00844933" w:rsidP="00844933">
      <w:pPr>
        <w:pStyle w:val="Heading2"/>
        <w:ind w:left="851" w:hanging="851"/>
      </w:pPr>
      <w:r w:rsidRPr="00D04502">
        <w:t xml:space="preserve">Use of </w:t>
      </w:r>
      <w:r w:rsidR="003F2F30">
        <w:t>d</w:t>
      </w:r>
      <w:r w:rsidRPr="00D04502">
        <w:t xml:space="preserve">eterministic </w:t>
      </w:r>
      <w:r w:rsidR="003F2F30">
        <w:t>b</w:t>
      </w:r>
      <w:r w:rsidRPr="00D04502">
        <w:t xml:space="preserve">ounding </w:t>
      </w:r>
      <w:r w:rsidR="003F2F30">
        <w:t>p</w:t>
      </w:r>
      <w:r w:rsidRPr="00D04502">
        <w:t>rofiles</w:t>
      </w:r>
    </w:p>
    <w:p w14:paraId="205F9008" w14:textId="170E97FB" w:rsidR="00F95091" w:rsidRPr="00D04502" w:rsidRDefault="00A97393" w:rsidP="00F92976">
      <w:pPr>
        <w:pStyle w:val="F9-Paragraph"/>
        <w:ind w:left="851" w:hanging="851"/>
      </w:pPr>
      <w:r w:rsidRPr="00D04502">
        <w:rPr>
          <w:rFonts w:eastAsia="Calibri"/>
        </w:rPr>
        <w:t xml:space="preserve">To simplify design and reduce computational effort, geotechnical engineers commonly represent ground model variability deterministically by adjusting best-estimate properties to establish upper and lower bounds, creating three design profiles. As generic guidance on these factors </w:t>
      </w:r>
      <w:r w:rsidR="003F2F30">
        <w:rPr>
          <w:rFonts w:eastAsia="Calibri"/>
        </w:rPr>
        <w:t>(for example,</w:t>
      </w:r>
      <w:r w:rsidRPr="00D04502">
        <w:rPr>
          <w:rFonts w:eastAsia="Calibri"/>
        </w:rPr>
        <w:t>, ASCE4-16</w:t>
      </w:r>
      <w:r w:rsidR="00F92976" w:rsidRPr="00D04502">
        <w:rPr>
          <w:rFonts w:eastAsia="Calibri"/>
        </w:rPr>
        <w:t xml:space="preserve"> </w:t>
      </w:r>
      <w:sdt>
        <w:sdtPr>
          <w:rPr>
            <w:rFonts w:eastAsia="Calibri"/>
          </w:rPr>
          <w:id w:val="1983586027"/>
          <w:citation/>
        </w:sdtPr>
        <w:sdtEndPr/>
        <w:sdtContent>
          <w:r w:rsidR="003C4C2F" w:rsidRPr="00D04502">
            <w:rPr>
              <w:rFonts w:eastAsia="Calibri"/>
            </w:rPr>
            <w:fldChar w:fldCharType="begin"/>
          </w:r>
          <w:r w:rsidR="003C4C2F" w:rsidRPr="00D04502">
            <w:rPr>
              <w:rFonts w:eastAsia="Calibri"/>
            </w:rPr>
            <w:instrText xml:space="preserve"> CITATION ASC \l 2057 </w:instrText>
          </w:r>
          <w:r w:rsidR="003C4C2F" w:rsidRPr="00D04502">
            <w:rPr>
              <w:rFonts w:eastAsia="Calibri"/>
            </w:rPr>
            <w:fldChar w:fldCharType="separate"/>
          </w:r>
          <w:r w:rsidR="00401277" w:rsidRPr="00401277">
            <w:rPr>
              <w:rFonts w:eastAsia="Calibri"/>
              <w:noProof/>
            </w:rPr>
            <w:t>[22]</w:t>
          </w:r>
          <w:r w:rsidR="003C4C2F" w:rsidRPr="00D04502">
            <w:rPr>
              <w:rFonts w:eastAsia="Calibri"/>
            </w:rPr>
            <w:fldChar w:fldCharType="end"/>
          </w:r>
        </w:sdtContent>
      </w:sdt>
      <w:r w:rsidRPr="00D04502">
        <w:rPr>
          <w:rFonts w:eastAsia="Calibri"/>
        </w:rPr>
        <w:t xml:space="preserve"> and ETC-C</w:t>
      </w:r>
      <w:r w:rsidR="003C4C2F" w:rsidRPr="00D04502">
        <w:rPr>
          <w:rFonts w:eastAsia="Calibri"/>
        </w:rPr>
        <w:t xml:space="preserve"> </w:t>
      </w:r>
      <w:sdt>
        <w:sdtPr>
          <w:rPr>
            <w:rFonts w:eastAsia="Calibri"/>
          </w:rPr>
          <w:id w:val="-1578819626"/>
          <w:citation/>
        </w:sdtPr>
        <w:sdtEndPr/>
        <w:sdtContent>
          <w:r w:rsidR="003C4C2F" w:rsidRPr="00D04502">
            <w:rPr>
              <w:rFonts w:eastAsia="Calibri"/>
            </w:rPr>
            <w:fldChar w:fldCharType="begin"/>
          </w:r>
          <w:r w:rsidR="003C4C2F" w:rsidRPr="00D04502">
            <w:rPr>
              <w:rFonts w:eastAsia="Calibri"/>
            </w:rPr>
            <w:instrText xml:space="preserve"> CITATION AFC10 \l 2057 </w:instrText>
          </w:r>
          <w:r w:rsidR="003C4C2F" w:rsidRPr="00D04502">
            <w:rPr>
              <w:rFonts w:eastAsia="Calibri"/>
            </w:rPr>
            <w:fldChar w:fldCharType="separate"/>
          </w:r>
          <w:r w:rsidR="00401277" w:rsidRPr="00401277">
            <w:rPr>
              <w:rFonts w:eastAsia="Calibri"/>
              <w:noProof/>
            </w:rPr>
            <w:t>[23]</w:t>
          </w:r>
          <w:r w:rsidR="003C4C2F" w:rsidRPr="00D04502">
            <w:rPr>
              <w:rFonts w:eastAsia="Calibri"/>
            </w:rPr>
            <w:fldChar w:fldCharType="end"/>
          </w:r>
        </w:sdtContent>
      </w:sdt>
      <w:r w:rsidRPr="00D04502">
        <w:rPr>
          <w:rFonts w:eastAsia="Calibri"/>
        </w:rPr>
        <w:t xml:space="preserve">) is not site-specific, Inspectors </w:t>
      </w:r>
      <w:r w:rsidR="00F92976" w:rsidRPr="00D04502">
        <w:t xml:space="preserve">may wish to </w:t>
      </w:r>
      <w:r w:rsidRPr="00D04502">
        <w:rPr>
          <w:rFonts w:eastAsia="Calibri"/>
        </w:rPr>
        <w:t xml:space="preserve">verify their relevance to the site and consistency with the ground model. </w:t>
      </w:r>
      <w:r w:rsidR="003F2F30">
        <w:rPr>
          <w:rFonts w:eastAsia="Calibri"/>
        </w:rPr>
        <w:br/>
      </w:r>
      <w:r w:rsidRPr="00D04502">
        <w:rPr>
          <w:rFonts w:eastAsia="Calibri"/>
        </w:rPr>
        <w:t xml:space="preserve">Using bounded properties is intended to bracket likely responses, but setting all parameters to extreme values may cause conflicting outcomes; therefore, Inspectors </w:t>
      </w:r>
      <w:r w:rsidR="00F92976" w:rsidRPr="00D04502">
        <w:t xml:space="preserve">may seek assurance that </w:t>
      </w:r>
      <w:r w:rsidRPr="00D04502">
        <w:rPr>
          <w:rFonts w:eastAsia="Calibri"/>
        </w:rPr>
        <w:t>such interactions are appropriately evaluated.</w:t>
      </w:r>
    </w:p>
    <w:p w14:paraId="7FC303F8" w14:textId="77777777" w:rsidR="003F2F30" w:rsidRDefault="003F2F30" w:rsidP="003D788C">
      <w:pPr>
        <w:pStyle w:val="F9-Paragraph"/>
        <w:ind w:left="851" w:hanging="851"/>
        <w:sectPr w:rsidR="003F2F30">
          <w:pgSz w:w="11906" w:h="16838"/>
          <w:pgMar w:top="1440" w:right="1440" w:bottom="1440" w:left="1440" w:header="708" w:footer="708" w:gutter="0"/>
          <w:cols w:space="708"/>
          <w:docGrid w:linePitch="360"/>
        </w:sectPr>
      </w:pPr>
    </w:p>
    <w:p w14:paraId="5806F8A8" w14:textId="663C2E9F" w:rsidR="001C32CB" w:rsidRPr="00D04502" w:rsidRDefault="00716C89" w:rsidP="003D788C">
      <w:pPr>
        <w:pStyle w:val="F9-Paragraph"/>
        <w:ind w:left="851" w:hanging="851"/>
        <w:rPr>
          <w:rFonts w:eastAsia="Calibri"/>
        </w:rPr>
      </w:pPr>
      <w:r w:rsidRPr="00D04502">
        <w:lastRenderedPageBreak/>
        <w:t xml:space="preserve">The Inspector should recognise that selecting a best estimate relies on the quality and characterisation of the data, as well as expert judgement. If data is sparse, missing, or broadly uniform, a range of plausible best estimate values should be considered. The Inspector </w:t>
      </w:r>
      <w:r w:rsidR="003D788C" w:rsidRPr="00D04502">
        <w:t xml:space="preserve">may seek assurance that </w:t>
      </w:r>
      <w:r w:rsidRPr="00D04502">
        <w:t>the correct type of ‘mean’ is applied, such as the harmonic mean for shear wave velocities.</w:t>
      </w:r>
    </w:p>
    <w:p w14:paraId="6DE25368" w14:textId="77777777" w:rsidR="00090B54" w:rsidRPr="00D04502" w:rsidRDefault="00090B54" w:rsidP="00090B54">
      <w:pPr>
        <w:pStyle w:val="F9-Paragraph"/>
        <w:ind w:left="851" w:hanging="851"/>
      </w:pPr>
      <w:r w:rsidRPr="00D04502">
        <w:t xml:space="preserve">The uncertainty associated with the geotechnical parameters can often be large, typically represented by probability distributions with large standard variations. Therefore, it is often not practicable to bound these distributions fully within a deterministic design framework and aspiring to do so may result in excessive conservatism. The Inspector should note the expectations of SAP SC.5 and ERL.4 when considering conservatism in design. </w:t>
      </w:r>
    </w:p>
    <w:p w14:paraId="0D95A944" w14:textId="77777777" w:rsidR="00664757" w:rsidRPr="00D04502" w:rsidRDefault="00664757" w:rsidP="00F675D7">
      <w:pPr>
        <w:pStyle w:val="F9-Paragraph"/>
        <w:ind w:left="851" w:hanging="851"/>
      </w:pPr>
      <w:r w:rsidRPr="00D04502">
        <w:t>The Inspector may wish to consider the selection of appropriate bounding distributions, specifically, the relative reliability of data sets and whether the bounds proposed are sufficiently broad to encompass a suitable range of data points and whether additional sensitivity analyses may be appropriate.</w:t>
      </w:r>
    </w:p>
    <w:p w14:paraId="52A6C128" w14:textId="23665217" w:rsidR="00F34E94" w:rsidRPr="00D04502" w:rsidRDefault="00F34E94" w:rsidP="00F34E94">
      <w:pPr>
        <w:pStyle w:val="Heading2"/>
        <w:ind w:left="851" w:hanging="851"/>
      </w:pPr>
      <w:r w:rsidRPr="00D04502">
        <w:t xml:space="preserve">Use of </w:t>
      </w:r>
      <w:r w:rsidR="003F2F30">
        <w:t>p</w:t>
      </w:r>
      <w:r w:rsidRPr="00D04502">
        <w:t xml:space="preserve">robabilistic </w:t>
      </w:r>
      <w:r w:rsidR="003F2F30">
        <w:t>a</w:t>
      </w:r>
      <w:r w:rsidRPr="00D04502">
        <w:t>pproaches</w:t>
      </w:r>
    </w:p>
    <w:p w14:paraId="53B0F164" w14:textId="1F0BD914" w:rsidR="004B7CAB" w:rsidRPr="00D04502" w:rsidRDefault="004B7CAB" w:rsidP="004B7CAB">
      <w:pPr>
        <w:pStyle w:val="F9-Paragraph"/>
        <w:ind w:left="851" w:hanging="851"/>
      </w:pPr>
      <w:r w:rsidRPr="00D04502">
        <w:t xml:space="preserve">For civil engineering design purposes, </w:t>
      </w:r>
      <w:r w:rsidR="0085635C" w:rsidRPr="00D04502">
        <w:t xml:space="preserve">probabilistic approaches are methods that explicitly account for the natural variability, uncertainty, and limited knowledge associated with soil and rock properties, loading conditions, and modelling assumptions. Typical examples include </w:t>
      </w:r>
      <w:r w:rsidR="00F9413D" w:rsidRPr="00D04502">
        <w:t>soil-structure interaction</w:t>
      </w:r>
      <w:r w:rsidR="00086045" w:rsidRPr="00D04502">
        <w:t xml:space="preserve"> (SSI)</w:t>
      </w:r>
      <w:r w:rsidR="00F9413D" w:rsidRPr="00D04502">
        <w:t xml:space="preserve">, </w:t>
      </w:r>
      <w:r w:rsidR="000C7FC8" w:rsidRPr="00D04502">
        <w:t xml:space="preserve">design of shallow and pile foundations, </w:t>
      </w:r>
      <w:r w:rsidR="00F9413D" w:rsidRPr="00D04502">
        <w:t xml:space="preserve">retaining walls, </w:t>
      </w:r>
      <w:r w:rsidR="000C7FC8" w:rsidRPr="00D04502">
        <w:t>slope stability</w:t>
      </w:r>
      <w:r w:rsidR="00F9413D" w:rsidRPr="00D04502">
        <w:t xml:space="preserve"> and </w:t>
      </w:r>
      <w:r w:rsidR="000C7FC8" w:rsidRPr="00D04502">
        <w:t>determination of settlement</w:t>
      </w:r>
      <w:r w:rsidR="00F9413D" w:rsidRPr="00D04502">
        <w:t>. However</w:t>
      </w:r>
      <w:r w:rsidRPr="00D04502">
        <w:t>, fully proba</w:t>
      </w:r>
      <w:bookmarkStart w:id="16" w:name="QuickMark"/>
      <w:bookmarkEnd w:id="16"/>
      <w:r w:rsidRPr="00D04502">
        <w:t>bilistic analysis approaches are not yet widely implemented for SSI. This is mainly due to the computational demand associated with running large and detailed models</w:t>
      </w:r>
      <w:r w:rsidR="009B5AF0" w:rsidRPr="00D04502">
        <w:t xml:space="preserve"> </w:t>
      </w:r>
      <w:r w:rsidRPr="00D04502">
        <w:t>making such approaches impracticable. However, the use of probabilistic approaches is widely applied in dynamic site response analysis, often within the framework of PSHA,</w:t>
      </w:r>
      <w:r w:rsidR="009B5AF0" w:rsidRPr="00D04502">
        <w:t xml:space="preserve"> for </w:t>
      </w:r>
      <w:r w:rsidRPr="00D04502">
        <w:t xml:space="preserve">further information in </w:t>
      </w:r>
      <w:r w:rsidR="003F2F30">
        <w:t xml:space="preserve">the TAG on external hazards </w:t>
      </w:r>
      <w:sdt>
        <w:sdtPr>
          <w:id w:val="527149423"/>
          <w:citation/>
        </w:sdtPr>
        <w:sdtContent>
          <w:r w:rsidR="003F2F30">
            <w:fldChar w:fldCharType="begin"/>
          </w:r>
          <w:r w:rsidR="003F2F30">
            <w:instrText xml:space="preserve"> CITATION ONR82 \l 2057 </w:instrText>
          </w:r>
          <w:r w:rsidR="003F2F30">
            <w:fldChar w:fldCharType="separate"/>
          </w:r>
          <w:r w:rsidR="00401277">
            <w:rPr>
              <w:noProof/>
            </w:rPr>
            <w:t>[3]</w:t>
          </w:r>
          <w:r w:rsidR="003F2F30">
            <w:fldChar w:fldCharType="end"/>
          </w:r>
        </w:sdtContent>
      </w:sdt>
      <w:r w:rsidRPr="00D04502">
        <w:t xml:space="preserve">. </w:t>
      </w:r>
    </w:p>
    <w:p w14:paraId="1E797C53" w14:textId="2D46416F" w:rsidR="006F3B8C" w:rsidRPr="00D04502" w:rsidRDefault="006F3B8C" w:rsidP="006F3B8C">
      <w:pPr>
        <w:pStyle w:val="Heading2"/>
        <w:ind w:left="851" w:hanging="851"/>
      </w:pPr>
      <w:r w:rsidRPr="00D04502">
        <w:t xml:space="preserve">Numerical </w:t>
      </w:r>
      <w:r w:rsidR="003F2F30">
        <w:t>m</w:t>
      </w:r>
      <w:r w:rsidRPr="00D04502">
        <w:t xml:space="preserve">odelling </w:t>
      </w:r>
      <w:r w:rsidR="003F2F30">
        <w:t>a</w:t>
      </w:r>
      <w:r w:rsidRPr="00D04502">
        <w:t>pproaches</w:t>
      </w:r>
    </w:p>
    <w:p w14:paraId="36F24596" w14:textId="5162CF68" w:rsidR="00E94807" w:rsidRPr="00D04502" w:rsidRDefault="00E94807" w:rsidP="009D196F">
      <w:pPr>
        <w:pStyle w:val="F9-Paragraph"/>
        <w:ind w:left="851" w:hanging="851"/>
      </w:pPr>
      <w:r w:rsidRPr="00D04502">
        <w:t>To account for SSI there are two main types of methodology for the Inspector to be aware of; the Direct Method and Sub structuring Method. Section 5 of ASCE 4-16</w:t>
      </w:r>
      <w:r w:rsidR="00CA36F5" w:rsidRPr="00D04502">
        <w:t xml:space="preserve"> </w:t>
      </w:r>
      <w:sdt>
        <w:sdtPr>
          <w:id w:val="1327634491"/>
          <w:citation/>
        </w:sdtPr>
        <w:sdtEndPr/>
        <w:sdtContent>
          <w:r w:rsidR="00CA36F5" w:rsidRPr="00D04502">
            <w:fldChar w:fldCharType="begin"/>
          </w:r>
          <w:r w:rsidR="00CA36F5" w:rsidRPr="00D04502">
            <w:instrText xml:space="preserve"> CITATION ASC \l 2057 </w:instrText>
          </w:r>
          <w:r w:rsidR="00CA36F5" w:rsidRPr="00D04502">
            <w:fldChar w:fldCharType="separate"/>
          </w:r>
          <w:r w:rsidR="00401277">
            <w:rPr>
              <w:noProof/>
            </w:rPr>
            <w:t>[22]</w:t>
          </w:r>
          <w:r w:rsidR="00CA36F5" w:rsidRPr="00D04502">
            <w:fldChar w:fldCharType="end"/>
          </w:r>
        </w:sdtContent>
      </w:sdt>
      <w:r w:rsidR="00CA36F5" w:rsidRPr="00D04502">
        <w:t xml:space="preserve"> </w:t>
      </w:r>
      <w:r w:rsidRPr="00D04502">
        <w:t>and IAEA technical document IAEA-TECDOC-1990</w:t>
      </w:r>
      <w:r w:rsidR="009D196F" w:rsidRPr="00D04502">
        <w:t xml:space="preserve">, “Methodologies for Seismic Soil–Structure Interaction Analysis in the Design and Assessment of Nuclear Installations” </w:t>
      </w:r>
      <w:sdt>
        <w:sdtPr>
          <w:id w:val="815064353"/>
          <w:citation/>
        </w:sdtPr>
        <w:sdtEndPr/>
        <w:sdtContent>
          <w:r w:rsidR="004F66EA" w:rsidRPr="00D04502">
            <w:fldChar w:fldCharType="begin"/>
          </w:r>
          <w:r w:rsidR="004F66EA" w:rsidRPr="00D04502">
            <w:instrText xml:space="preserve"> CITATION IAE22 \l 2057 </w:instrText>
          </w:r>
          <w:r w:rsidR="004F66EA" w:rsidRPr="00D04502">
            <w:fldChar w:fldCharType="separate"/>
          </w:r>
          <w:r w:rsidR="00401277">
            <w:rPr>
              <w:noProof/>
            </w:rPr>
            <w:t>[24]</w:t>
          </w:r>
          <w:r w:rsidR="004F66EA" w:rsidRPr="00D04502">
            <w:fldChar w:fldCharType="end"/>
          </w:r>
        </w:sdtContent>
      </w:sdt>
      <w:r w:rsidR="004F66EA" w:rsidRPr="00D04502">
        <w:t xml:space="preserve"> </w:t>
      </w:r>
      <w:r w:rsidRPr="00D04502">
        <w:t>provide further information on these methods for dynamic analyses, with the commentary therein also discussing advantages and disadvantages of some of the software packages available for these methods. Clauses 4.9 to 4.26 of</w:t>
      </w:r>
      <w:r w:rsidR="009A0D59" w:rsidRPr="00D04502">
        <w:t xml:space="preserve"> </w:t>
      </w:r>
      <w:sdt>
        <w:sdtPr>
          <w:id w:val="1479263833"/>
          <w:citation/>
        </w:sdtPr>
        <w:sdtEndPr/>
        <w:sdtContent>
          <w:r w:rsidR="009A0D59" w:rsidRPr="00D04502">
            <w:fldChar w:fldCharType="begin"/>
          </w:r>
          <w:r w:rsidR="009A0D59" w:rsidRPr="00D04502">
            <w:instrText xml:space="preserve"> CITATION IAE04 \l 2057 </w:instrText>
          </w:r>
          <w:r w:rsidR="009A0D59" w:rsidRPr="00D04502">
            <w:fldChar w:fldCharType="separate"/>
          </w:r>
          <w:r w:rsidR="00401277">
            <w:rPr>
              <w:noProof/>
            </w:rPr>
            <w:t>[11]</w:t>
          </w:r>
          <w:r w:rsidR="009A0D59" w:rsidRPr="00D04502">
            <w:fldChar w:fldCharType="end"/>
          </w:r>
        </w:sdtContent>
      </w:sdt>
      <w:r w:rsidRPr="00D04502">
        <w:t xml:space="preserve"> also provide guidance and general principles for SSI. Further information on this is provided </w:t>
      </w:r>
      <w:r w:rsidR="003F2F30" w:rsidRPr="00D04502">
        <w:t xml:space="preserve">in </w:t>
      </w:r>
      <w:r w:rsidR="003F2F30">
        <w:t xml:space="preserve">the TAG on external hazards </w:t>
      </w:r>
      <w:sdt>
        <w:sdtPr>
          <w:id w:val="772593236"/>
          <w:citation/>
        </w:sdtPr>
        <w:sdtContent>
          <w:r w:rsidR="003F2F30">
            <w:fldChar w:fldCharType="begin"/>
          </w:r>
          <w:r w:rsidR="003F2F30">
            <w:instrText xml:space="preserve"> CITATION ONR82 \l 2057 </w:instrText>
          </w:r>
          <w:r w:rsidR="003F2F30">
            <w:fldChar w:fldCharType="separate"/>
          </w:r>
          <w:r w:rsidR="00401277">
            <w:rPr>
              <w:noProof/>
            </w:rPr>
            <w:t>[3]</w:t>
          </w:r>
          <w:r w:rsidR="003F2F30">
            <w:fldChar w:fldCharType="end"/>
          </w:r>
        </w:sdtContent>
      </w:sdt>
      <w:r w:rsidR="003F2F30" w:rsidRPr="00D04502">
        <w:t>.</w:t>
      </w:r>
    </w:p>
    <w:p w14:paraId="23A07B21" w14:textId="5D7CFCA6" w:rsidR="00E90A0D" w:rsidRPr="00D04502" w:rsidRDefault="00E90A0D" w:rsidP="00E90A0D">
      <w:pPr>
        <w:pStyle w:val="Heading2"/>
        <w:ind w:left="851" w:hanging="851"/>
      </w:pPr>
      <w:r w:rsidRPr="00D04502">
        <w:lastRenderedPageBreak/>
        <w:t xml:space="preserve">Validation and </w:t>
      </w:r>
      <w:r w:rsidR="003F2F30">
        <w:t>v</w:t>
      </w:r>
      <w:r w:rsidR="00FF5586" w:rsidRPr="00D04502">
        <w:t xml:space="preserve">erification of </w:t>
      </w:r>
      <w:r w:rsidR="003F2F30">
        <w:t>n</w:t>
      </w:r>
      <w:r w:rsidR="00FF5586" w:rsidRPr="00D04502">
        <w:t xml:space="preserve">umerical </w:t>
      </w:r>
      <w:r w:rsidR="003F2F30">
        <w:t>m</w:t>
      </w:r>
      <w:r w:rsidR="00FF5586" w:rsidRPr="00D04502">
        <w:t xml:space="preserve">odelling </w:t>
      </w:r>
      <w:r w:rsidR="00B86358" w:rsidRPr="00D04502">
        <w:t xml:space="preserve">in </w:t>
      </w:r>
      <w:r w:rsidR="003F2F30">
        <w:t>g</w:t>
      </w:r>
      <w:r w:rsidR="00B86358" w:rsidRPr="00D04502">
        <w:t xml:space="preserve">eotechnical </w:t>
      </w:r>
      <w:r w:rsidR="003F2F30">
        <w:t>e</w:t>
      </w:r>
      <w:r w:rsidR="004A0563" w:rsidRPr="00D04502">
        <w:t>ngineering</w:t>
      </w:r>
    </w:p>
    <w:p w14:paraId="70913E64" w14:textId="65C065E3" w:rsidR="00EE6874" w:rsidRPr="00D04502" w:rsidRDefault="009708B9" w:rsidP="00EE6874">
      <w:pPr>
        <w:pStyle w:val="F9-Paragraph"/>
        <w:ind w:left="851" w:hanging="851"/>
      </w:pPr>
      <w:r w:rsidRPr="00D04502">
        <w:t>The Inspector is reminded of the definitions of validation and verification from the SAPs</w:t>
      </w:r>
      <w:r w:rsidR="00D61349" w:rsidRPr="00D04502">
        <w:t xml:space="preserve"> </w:t>
      </w:r>
      <w:sdt>
        <w:sdtPr>
          <w:id w:val="318766747"/>
          <w:citation/>
        </w:sdtPr>
        <w:sdtEndPr/>
        <w:sdtContent>
          <w:r w:rsidR="00EC1017" w:rsidRPr="00D04502">
            <w:fldChar w:fldCharType="begin"/>
          </w:r>
          <w:r w:rsidR="00EC1017" w:rsidRPr="00D04502">
            <w:instrText xml:space="preserve"> CITATION ONRSAPs \l 2057 </w:instrText>
          </w:r>
          <w:r w:rsidR="00EC1017" w:rsidRPr="00D04502">
            <w:fldChar w:fldCharType="separate"/>
          </w:r>
          <w:r w:rsidR="00401277">
            <w:rPr>
              <w:noProof/>
            </w:rPr>
            <w:t>[2]</w:t>
          </w:r>
          <w:r w:rsidR="00EC1017" w:rsidRPr="00D04502">
            <w:fldChar w:fldCharType="end"/>
          </w:r>
        </w:sdtContent>
      </w:sdt>
      <w:r w:rsidRPr="00D04502">
        <w:t>. Validation is the process of confirming</w:t>
      </w:r>
      <w:r w:rsidR="004E04FE" w:rsidRPr="00D04502">
        <w:t xml:space="preserve"> </w:t>
      </w:r>
      <w:r w:rsidR="003F2F30">
        <w:t>(for example,</w:t>
      </w:r>
      <w:r w:rsidRPr="00D04502">
        <w:t xml:space="preserve"> by use of objective evidence</w:t>
      </w:r>
      <w:r w:rsidR="004E04FE" w:rsidRPr="00D04502">
        <w:t>)</w:t>
      </w:r>
      <w:r w:rsidRPr="00D04502">
        <w:t xml:space="preserve"> that the outputs from an activity will meet the objectives and requirements set for that activity. Verification is the process of confirming</w:t>
      </w:r>
      <w:r w:rsidR="007A0E53" w:rsidRPr="00D04502">
        <w:t xml:space="preserve"> </w:t>
      </w:r>
      <w:r w:rsidR="003F2F30">
        <w:t>(for example,</w:t>
      </w:r>
      <w:r w:rsidRPr="00D04502">
        <w:t xml:space="preserve"> by use of objective evidence</w:t>
      </w:r>
      <w:r w:rsidR="007A0E53" w:rsidRPr="00D04502">
        <w:t xml:space="preserve">) </w:t>
      </w:r>
      <w:r w:rsidRPr="00D04502">
        <w:t>that an activity was carried out as intended, specified or stated.</w:t>
      </w:r>
    </w:p>
    <w:p w14:paraId="01B82A7A" w14:textId="65D1E064" w:rsidR="00062B12" w:rsidRPr="00D04502" w:rsidRDefault="00062B12" w:rsidP="00062B12">
      <w:pPr>
        <w:pStyle w:val="F9-Paragraph"/>
        <w:ind w:left="851" w:hanging="851"/>
        <w:rPr>
          <w:lang w:eastAsia="en-GB"/>
        </w:rPr>
      </w:pPr>
      <w:r w:rsidRPr="00D04502">
        <w:t>SAP</w:t>
      </w:r>
      <w:r w:rsidR="00522CB2" w:rsidRPr="00D04502">
        <w:t>s</w:t>
      </w:r>
      <w:r w:rsidRPr="00D04502">
        <w:t xml:space="preserve"> ECE.15, AV.1 and AV.2 </w:t>
      </w:r>
      <w:r w:rsidR="00522CB2" w:rsidRPr="00D04502">
        <w:t>provide</w:t>
      </w:r>
      <w:r w:rsidRPr="00D04502">
        <w:t xml:space="preserve"> expectations </w:t>
      </w:r>
      <w:r w:rsidR="00522CB2" w:rsidRPr="00D04502">
        <w:t>for</w:t>
      </w:r>
      <w:r w:rsidRPr="00D04502">
        <w:t xml:space="preserve"> the validation and verification of data, theoretical models and sensitivity analysis. </w:t>
      </w:r>
      <w:r w:rsidR="00522CB2" w:rsidRPr="00D04502">
        <w:t xml:space="preserve">SAPs </w:t>
      </w:r>
      <w:r w:rsidRPr="00D04502">
        <w:t xml:space="preserve">AV.3, AV.4 and AV.5 refer to the expectations </w:t>
      </w:r>
      <w:r w:rsidR="00522CB2" w:rsidRPr="00D04502">
        <w:t>for</w:t>
      </w:r>
      <w:r w:rsidRPr="00D04502">
        <w:t xml:space="preserve"> use of data, computer modes used to process the data and the documentation of the analysis.</w:t>
      </w:r>
    </w:p>
    <w:p w14:paraId="15110E38" w14:textId="77777777" w:rsidR="009772EC" w:rsidRPr="00D04502" w:rsidRDefault="009772EC" w:rsidP="009772EC">
      <w:pPr>
        <w:pStyle w:val="F9-Paragraph"/>
        <w:ind w:left="851" w:hanging="851"/>
      </w:pPr>
      <w:r w:rsidRPr="00D04502">
        <w:t>The Inspector should be aware that discrepancies between the behaviour of the numerical model and reality may have several causes that can be categorised into the following areas:</w:t>
      </w:r>
    </w:p>
    <w:p w14:paraId="4A5B38D5" w14:textId="79069D4A" w:rsidR="009772EC" w:rsidRPr="00D04502" w:rsidRDefault="009772EC" w:rsidP="009772EC">
      <w:pPr>
        <w:pStyle w:val="Bulletlist1"/>
        <w:ind w:left="1418" w:hanging="357"/>
      </w:pPr>
      <w:r w:rsidRPr="00D04502">
        <w:t xml:space="preserve">simplifications made in the model such as geometry, boundaries, loads, materials </w:t>
      </w:r>
      <w:r w:rsidR="003F2F30">
        <w:t>(for example,</w:t>
      </w:r>
      <w:r w:rsidRPr="00D04502">
        <w:t xml:space="preserve"> backfill type used), construction stages and sequencing, etc.,</w:t>
      </w:r>
    </w:p>
    <w:p w14:paraId="28A02FF4" w14:textId="77777777" w:rsidR="009772EC" w:rsidRPr="00D04502" w:rsidRDefault="009772EC" w:rsidP="009772EC">
      <w:pPr>
        <w:pStyle w:val="Bulletlist1"/>
        <w:ind w:left="1418" w:hanging="357"/>
      </w:pPr>
      <w:r w:rsidRPr="00D04502">
        <w:t>modelling errors related to numerical discretisation, methods, algorithms and solution procedures,</w:t>
      </w:r>
    </w:p>
    <w:p w14:paraId="245C5EB0" w14:textId="77777777" w:rsidR="009772EC" w:rsidRPr="00D04502" w:rsidRDefault="009772EC" w:rsidP="009772EC">
      <w:pPr>
        <w:pStyle w:val="Bulletlist1"/>
        <w:ind w:left="1418" w:hanging="357"/>
      </w:pPr>
      <w:r w:rsidRPr="00D04502">
        <w:t>simplifications made to the modelling of stratigraphy, anisotropy and spatial variation,</w:t>
      </w:r>
    </w:p>
    <w:p w14:paraId="06A93E83" w14:textId="77777777" w:rsidR="009772EC" w:rsidRPr="00D04502" w:rsidRDefault="009772EC" w:rsidP="009772EC">
      <w:pPr>
        <w:pStyle w:val="Bulletlist1"/>
        <w:ind w:left="1418" w:hanging="357"/>
      </w:pPr>
      <w:r w:rsidRPr="00D04502">
        <w:t>modelling errors relating to the non-linear and time-dependent soil behaviour assumed in constitutive models. This can be the most significant source of discrepancies in geotechnical engineering applications,</w:t>
      </w:r>
    </w:p>
    <w:p w14:paraId="25CFE063" w14:textId="77777777" w:rsidR="009772EC" w:rsidRPr="00D04502" w:rsidRDefault="009772EC" w:rsidP="009772EC">
      <w:pPr>
        <w:pStyle w:val="Bulletlist1"/>
        <w:ind w:left="1418" w:hanging="357"/>
      </w:pPr>
      <w:r w:rsidRPr="00D04502">
        <w:t>uncertainties related to variations in loads and model parameters,</w:t>
      </w:r>
    </w:p>
    <w:p w14:paraId="32E003AB" w14:textId="2E837B4A" w:rsidR="009772EC" w:rsidRPr="00D04502" w:rsidRDefault="009772EC" w:rsidP="009772EC">
      <w:pPr>
        <w:pStyle w:val="Bulletlist1"/>
        <w:ind w:left="1418" w:hanging="357"/>
      </w:pPr>
      <w:r w:rsidRPr="00D04502">
        <w:t xml:space="preserve">software and hardware issues related to bugs within operating systems and hardware configurations, in particular parallel processing. </w:t>
      </w:r>
      <w:r w:rsidR="003F2F30">
        <w:br/>
      </w:r>
      <w:r w:rsidRPr="00D04502">
        <w:t>This requires thorough verification of the software,</w:t>
      </w:r>
    </w:p>
    <w:p w14:paraId="30C8729E" w14:textId="1AFBB874" w:rsidR="009708B9" w:rsidRPr="00D04502" w:rsidRDefault="009772EC" w:rsidP="00937389">
      <w:pPr>
        <w:pStyle w:val="Bulletlist1"/>
        <w:ind w:left="1418" w:hanging="357"/>
      </w:pPr>
      <w:r w:rsidRPr="00D04502">
        <w:t>misinterpretation of results, such as the incorrect translation of model results into geotechnical design.</w:t>
      </w:r>
    </w:p>
    <w:p w14:paraId="1A28E91B" w14:textId="77777777" w:rsidR="003F2F30" w:rsidRDefault="003F2F30" w:rsidP="00551532">
      <w:pPr>
        <w:pStyle w:val="F9-Paragraph"/>
        <w:ind w:left="851" w:hanging="851"/>
        <w:sectPr w:rsidR="003F2F30">
          <w:pgSz w:w="11906" w:h="16838"/>
          <w:pgMar w:top="1440" w:right="1440" w:bottom="1440" w:left="1440" w:header="708" w:footer="708" w:gutter="0"/>
          <w:cols w:space="708"/>
          <w:docGrid w:linePitch="360"/>
        </w:sectPr>
      </w:pPr>
    </w:p>
    <w:p w14:paraId="58B56DF5" w14:textId="35F939AF" w:rsidR="00937389" w:rsidRPr="00D04502" w:rsidRDefault="00937389" w:rsidP="00551532">
      <w:pPr>
        <w:pStyle w:val="F9-Paragraph"/>
        <w:ind w:left="851" w:hanging="851"/>
      </w:pPr>
      <w:r w:rsidRPr="00D04502">
        <w:lastRenderedPageBreak/>
        <w:t xml:space="preserve">These sources of discrepancy necessitate confirmation that dutyholders are verifying computer software and validating their numerical models appropriately. The Inspector may wish to seek assurance that the validation methods involve the model as a whole, as well as individual components of the model. </w:t>
      </w:r>
      <w:r w:rsidR="0027148F" w:rsidRPr="00D04502">
        <w:t>K</w:t>
      </w:r>
      <w:r w:rsidRPr="00D04502">
        <w:t>ey considerations can be summarised as</w:t>
      </w:r>
      <w:r w:rsidR="00F97FFC" w:rsidRPr="00D04502">
        <w:t xml:space="preserve"> follows from NAFEMS publication </w:t>
      </w:r>
      <w:sdt>
        <w:sdtPr>
          <w:id w:val="416759349"/>
          <w:citation/>
        </w:sdtPr>
        <w:sdtEndPr/>
        <w:sdtContent>
          <w:r w:rsidR="00F97FFC" w:rsidRPr="00D04502">
            <w:fldChar w:fldCharType="begin"/>
          </w:r>
          <w:r w:rsidR="00F97FFC" w:rsidRPr="00D04502">
            <w:instrText xml:space="preserve"> CITATION NAF13 \l 2057 </w:instrText>
          </w:r>
          <w:r w:rsidR="00F97FFC" w:rsidRPr="00D04502">
            <w:fldChar w:fldCharType="separate"/>
          </w:r>
          <w:r w:rsidR="00401277">
            <w:rPr>
              <w:noProof/>
            </w:rPr>
            <w:t>[25]</w:t>
          </w:r>
          <w:r w:rsidR="00F97FFC" w:rsidRPr="00D04502">
            <w:fldChar w:fldCharType="end"/>
          </w:r>
        </w:sdtContent>
      </w:sdt>
      <w:r w:rsidRPr="00D04502">
        <w:t>:</w:t>
      </w:r>
    </w:p>
    <w:p w14:paraId="434824E6" w14:textId="77777777" w:rsidR="00937389" w:rsidRPr="00D04502" w:rsidRDefault="00937389" w:rsidP="00551532">
      <w:pPr>
        <w:pStyle w:val="Bulletlist1"/>
        <w:ind w:left="1418" w:hanging="357"/>
      </w:pPr>
      <w:r w:rsidRPr="00D04502">
        <w:t>models and methods implemented in the software should, where practicable, be verified based on known solutions. The verification of these software packages is often carried out using standard routines supplied by the software developer,</w:t>
      </w:r>
    </w:p>
    <w:p w14:paraId="41BC5DAD" w14:textId="77777777" w:rsidR="00937389" w:rsidRPr="00D04502" w:rsidRDefault="00937389" w:rsidP="00551532">
      <w:pPr>
        <w:pStyle w:val="Bulletlist1"/>
        <w:ind w:left="1418" w:hanging="357"/>
      </w:pPr>
      <w:r w:rsidRPr="00D04502">
        <w:t>geometry needs to be validated against the reality,</w:t>
      </w:r>
    </w:p>
    <w:p w14:paraId="726292AE" w14:textId="77777777" w:rsidR="00937389" w:rsidRPr="00D04502" w:rsidRDefault="00937389" w:rsidP="00551532">
      <w:pPr>
        <w:pStyle w:val="Bulletlist1"/>
        <w:ind w:left="1418" w:hanging="357"/>
      </w:pPr>
      <w:r w:rsidRPr="00D04502">
        <w:t>artificial model boundaries need to be validated against the results, considering variations in boundary type and position,</w:t>
      </w:r>
    </w:p>
    <w:p w14:paraId="4AA21F70" w14:textId="77777777" w:rsidR="00937389" w:rsidRPr="00D04502" w:rsidRDefault="00937389" w:rsidP="00551532">
      <w:pPr>
        <w:pStyle w:val="Bulletlist1"/>
        <w:ind w:left="1418" w:hanging="357"/>
      </w:pPr>
      <w:r w:rsidRPr="00D04502">
        <w:t>selected material model and parameter values should be validated against test data from the ground model – see Section 2 above,</w:t>
      </w:r>
    </w:p>
    <w:p w14:paraId="489CD9D6" w14:textId="77777777" w:rsidR="00937389" w:rsidRPr="00D04502" w:rsidRDefault="00937389" w:rsidP="00551532">
      <w:pPr>
        <w:pStyle w:val="Bulletlist1"/>
        <w:ind w:left="1418" w:hanging="357"/>
      </w:pPr>
      <w:r w:rsidRPr="00D04502">
        <w:t>finite element mesh should be validated against results considering mesh refinements,</w:t>
      </w:r>
    </w:p>
    <w:p w14:paraId="445DD1E4" w14:textId="2FB3A07F" w:rsidR="00937389" w:rsidRPr="00D04502" w:rsidRDefault="00937389" w:rsidP="00551532">
      <w:pPr>
        <w:pStyle w:val="Bulletlist1"/>
        <w:ind w:left="1418" w:hanging="357"/>
      </w:pPr>
      <w:r w:rsidRPr="00D04502">
        <w:t xml:space="preserve">initial conditions (effective stresses, pore pressure distribution, pre-consolidation stress and other state parameters where applicable) should be validated against test data from the ground model </w:t>
      </w:r>
      <w:r w:rsidR="003F2F30">
        <w:t>(refer to</w:t>
      </w:r>
      <w:r w:rsidRPr="00D04502">
        <w:t xml:space="preserve"> Section 2</w:t>
      </w:r>
      <w:r w:rsidR="003F2F30">
        <w:t>)</w:t>
      </w:r>
      <w:r w:rsidRPr="00D04502">
        <w:t>,</w:t>
      </w:r>
    </w:p>
    <w:p w14:paraId="5E49E7ED" w14:textId="77777777" w:rsidR="00937389" w:rsidRPr="00D04502" w:rsidRDefault="00937389" w:rsidP="00551532">
      <w:pPr>
        <w:pStyle w:val="Bulletlist1"/>
        <w:ind w:left="1418" w:hanging="357"/>
      </w:pPr>
      <w:r w:rsidRPr="00D04502">
        <w:t>calculation phases should be validated against the construction stages that occur in reality,</w:t>
      </w:r>
    </w:p>
    <w:p w14:paraId="54534F9B" w14:textId="10504EBB" w:rsidR="00937389" w:rsidRPr="00D04502" w:rsidRDefault="00937389" w:rsidP="00551532">
      <w:pPr>
        <w:pStyle w:val="Bulletlist1"/>
        <w:ind w:left="1418" w:hanging="357"/>
      </w:pPr>
      <w:r w:rsidRPr="00D04502">
        <w:t>results from the analysis should be validated against the expected results informed from benchmarks, learning from case histories</w:t>
      </w:r>
      <w:r w:rsidR="006D0A35" w:rsidRPr="00D04502">
        <w:t>,</w:t>
      </w:r>
      <w:r w:rsidRPr="00D04502">
        <w:t xml:space="preserve"> other analysis methods, design charts (where appropriate) and practitioner knowledge and experience.</w:t>
      </w:r>
    </w:p>
    <w:p w14:paraId="306C4E6B" w14:textId="1FE8C16E" w:rsidR="00C50213" w:rsidRPr="00D04502" w:rsidRDefault="00C50213" w:rsidP="00C50213">
      <w:pPr>
        <w:pStyle w:val="Heading2"/>
        <w:ind w:left="851" w:hanging="851"/>
      </w:pPr>
      <w:r w:rsidRPr="00D04502">
        <w:t xml:space="preserve">Sensitivity </w:t>
      </w:r>
      <w:r w:rsidR="003F2F30">
        <w:t>a</w:t>
      </w:r>
      <w:r w:rsidRPr="00D04502">
        <w:t>nalysis</w:t>
      </w:r>
    </w:p>
    <w:p w14:paraId="78E5F913" w14:textId="551D26B7" w:rsidR="001F6973" w:rsidRPr="00D04502" w:rsidRDefault="00AD78D7">
      <w:pPr>
        <w:pStyle w:val="F9-Paragraph"/>
        <w:ind w:left="851" w:hanging="851"/>
        <w:rPr>
          <w:rFonts w:eastAsia="Calibri"/>
        </w:rPr>
      </w:pPr>
      <w:r w:rsidRPr="00D04502">
        <w:t xml:space="preserve">The Inspector should note the importance of judgements based on interpolation of analysis results rather than extrapolation. </w:t>
      </w:r>
      <w:r w:rsidR="00C835BC" w:rsidRPr="00D04502">
        <w:rPr>
          <w:rFonts w:eastAsia="Calibri"/>
        </w:rPr>
        <w:t xml:space="preserve">Sensitivity analyses serve as essential tools for this purpose (refer to SAPs ECE.14 and AV.6). They are distinct from model validation and are especially important when geotechnical data is limited or of poor quality, or when modelling relies on extrapolated data or established behaviour. Such analyses can highlight the need for improved data collection, further analysis, or additional research. Inspectors </w:t>
      </w:r>
      <w:r w:rsidR="002769F6" w:rsidRPr="00D04502">
        <w:t xml:space="preserve">may seek assurance that </w:t>
      </w:r>
      <w:r w:rsidR="00C835BC" w:rsidRPr="00D04502">
        <w:rPr>
          <w:rFonts w:eastAsia="Calibri"/>
        </w:rPr>
        <w:t>sensitivity studies are applied appropriately, with suitable verification and validation where required.</w:t>
      </w:r>
    </w:p>
    <w:p w14:paraId="59ED54B1" w14:textId="1A01EDA9" w:rsidR="008F1E79" w:rsidRPr="00D04502" w:rsidRDefault="008F1E79" w:rsidP="008F1E79">
      <w:pPr>
        <w:pStyle w:val="Heading2"/>
        <w:ind w:left="851" w:hanging="851"/>
      </w:pPr>
      <w:r w:rsidRPr="00D04502">
        <w:lastRenderedPageBreak/>
        <w:t xml:space="preserve">Other </w:t>
      </w:r>
      <w:r w:rsidR="003F2F30">
        <w:t>g</w:t>
      </w:r>
      <w:r w:rsidRPr="00D04502">
        <w:t xml:space="preserve">eotechnical </w:t>
      </w:r>
      <w:r w:rsidR="003F2F30">
        <w:t>c</w:t>
      </w:r>
      <w:r w:rsidRPr="00D04502">
        <w:t>onsiderations</w:t>
      </w:r>
    </w:p>
    <w:p w14:paraId="40FAA1AE" w14:textId="35E11E95" w:rsidR="001E1C4C" w:rsidRPr="00D04502" w:rsidRDefault="001E1C4C" w:rsidP="00387C03">
      <w:pPr>
        <w:pStyle w:val="F9-Paragraph"/>
        <w:ind w:left="851" w:hanging="851"/>
        <w:rPr>
          <w:rFonts w:eastAsia="Calibri"/>
        </w:rPr>
      </w:pPr>
      <w:r w:rsidRPr="00D04502">
        <w:rPr>
          <w:rFonts w:eastAsia="Calibri"/>
        </w:rPr>
        <w:t xml:space="preserve">Examples of other factors that need to be considered in modelling and analysis are: Made-ground, the (re-)use of site-won materials, backfill and man-made fill, compaction, mass concrete ground replacement, liquefaction, sloping soil profiles, and retained materials such as soil and water. </w:t>
      </w:r>
      <w:r w:rsidR="003F2F30">
        <w:rPr>
          <w:rFonts w:eastAsia="Calibri"/>
        </w:rPr>
        <w:br/>
      </w:r>
      <w:r w:rsidRPr="00D04502">
        <w:rPr>
          <w:rFonts w:eastAsia="Calibri"/>
        </w:rPr>
        <w:t xml:space="preserve">Further detail is provided on some of these areas in the relevant guidance and codes </w:t>
      </w:r>
      <w:sdt>
        <w:sdtPr>
          <w:rPr>
            <w:rFonts w:eastAsia="Calibri"/>
          </w:rPr>
          <w:id w:val="-1680724697"/>
          <w:citation/>
        </w:sdtPr>
        <w:sdtEndPr/>
        <w:sdtContent>
          <w:r w:rsidR="00A023D3" w:rsidRPr="00D04502">
            <w:rPr>
              <w:rFonts w:eastAsia="Calibri"/>
            </w:rPr>
            <w:fldChar w:fldCharType="begin"/>
          </w:r>
          <w:r w:rsidR="00A023D3" w:rsidRPr="00D04502">
            <w:rPr>
              <w:rFonts w:eastAsia="Calibri"/>
            </w:rPr>
            <w:instrText xml:space="preserve"> CITATION IAE04 \l 2057 </w:instrText>
          </w:r>
          <w:r w:rsidR="00A023D3" w:rsidRPr="00D04502">
            <w:rPr>
              <w:rFonts w:eastAsia="Calibri"/>
            </w:rPr>
            <w:fldChar w:fldCharType="separate"/>
          </w:r>
          <w:r w:rsidR="00401277" w:rsidRPr="00401277">
            <w:rPr>
              <w:rFonts w:eastAsia="Calibri"/>
              <w:noProof/>
            </w:rPr>
            <w:t>[11]</w:t>
          </w:r>
          <w:r w:rsidR="00A023D3" w:rsidRPr="00D04502">
            <w:rPr>
              <w:rFonts w:eastAsia="Calibri"/>
            </w:rPr>
            <w:fldChar w:fldCharType="end"/>
          </w:r>
        </w:sdtContent>
      </w:sdt>
      <w:r w:rsidRPr="00D04502">
        <w:rPr>
          <w:rFonts w:eastAsia="Calibri"/>
        </w:rPr>
        <w:t xml:space="preserve"> and </w:t>
      </w:r>
      <w:sdt>
        <w:sdtPr>
          <w:rPr>
            <w:rFonts w:eastAsia="Calibri"/>
          </w:rPr>
          <w:id w:val="-461194603"/>
          <w:citation/>
        </w:sdtPr>
        <w:sdtEndPr/>
        <w:sdtContent>
          <w:r w:rsidR="00A023D3" w:rsidRPr="00D04502">
            <w:rPr>
              <w:rFonts w:eastAsia="Calibri"/>
            </w:rPr>
            <w:fldChar w:fldCharType="begin"/>
          </w:r>
          <w:r w:rsidR="00A023D3" w:rsidRPr="00D04502">
            <w:rPr>
              <w:rFonts w:eastAsia="Calibri"/>
            </w:rPr>
            <w:instrText xml:space="preserve"> CITATION BSI4 \l 2057 </w:instrText>
          </w:r>
          <w:r w:rsidR="00A023D3" w:rsidRPr="00D04502">
            <w:rPr>
              <w:rFonts w:eastAsia="Calibri"/>
            </w:rPr>
            <w:fldChar w:fldCharType="separate"/>
          </w:r>
          <w:r w:rsidR="00401277" w:rsidRPr="00401277">
            <w:rPr>
              <w:rFonts w:eastAsia="Calibri"/>
              <w:noProof/>
            </w:rPr>
            <w:t>[4]</w:t>
          </w:r>
          <w:r w:rsidR="00A023D3" w:rsidRPr="00D04502">
            <w:rPr>
              <w:rFonts w:eastAsia="Calibri"/>
            </w:rPr>
            <w:fldChar w:fldCharType="end"/>
          </w:r>
        </w:sdtContent>
      </w:sdt>
      <w:r w:rsidRPr="00D04502">
        <w:rPr>
          <w:rFonts w:eastAsia="Calibri"/>
        </w:rPr>
        <w:t>.</w:t>
      </w:r>
    </w:p>
    <w:p w14:paraId="6E5D8C81" w14:textId="77777777" w:rsidR="008F1E79" w:rsidRPr="00D04502" w:rsidRDefault="008F1E79" w:rsidP="008F1E79">
      <w:pPr>
        <w:rPr>
          <w:b/>
          <w:bCs/>
        </w:rPr>
      </w:pPr>
    </w:p>
    <w:p w14:paraId="0DA931A2" w14:textId="77777777" w:rsidR="006F3B8C" w:rsidRPr="00D04502" w:rsidRDefault="006F3B8C" w:rsidP="006F3B8C"/>
    <w:p w14:paraId="177532B9" w14:textId="77777777" w:rsidR="009B5AF0" w:rsidRPr="00D04502" w:rsidRDefault="009B5AF0" w:rsidP="006F3B8C">
      <w:pPr>
        <w:pStyle w:val="F9-Paragraph"/>
        <w:numPr>
          <w:ilvl w:val="0"/>
          <w:numId w:val="0"/>
        </w:numPr>
        <w:ind w:left="851"/>
      </w:pPr>
    </w:p>
    <w:p w14:paraId="79F787FD" w14:textId="77777777" w:rsidR="00F34E94" w:rsidRPr="00D04502" w:rsidRDefault="00F34E94" w:rsidP="00F34E94"/>
    <w:p w14:paraId="7DD53049" w14:textId="77777777" w:rsidR="003F2F30" w:rsidRDefault="003F2F30" w:rsidP="00BD6FA5">
      <w:pPr>
        <w:pStyle w:val="Heading1"/>
        <w:numPr>
          <w:ilvl w:val="0"/>
          <w:numId w:val="4"/>
        </w:numPr>
        <w:ind w:left="851" w:hanging="851"/>
        <w:sectPr w:rsidR="003F2F30">
          <w:pgSz w:w="11906" w:h="16838"/>
          <w:pgMar w:top="1440" w:right="1440" w:bottom="1440" w:left="1440" w:header="708" w:footer="708" w:gutter="0"/>
          <w:cols w:space="708"/>
          <w:docGrid w:linePitch="360"/>
        </w:sectPr>
      </w:pPr>
      <w:bookmarkStart w:id="17" w:name="_Toc218000542"/>
    </w:p>
    <w:p w14:paraId="79E98485" w14:textId="51DEF057" w:rsidR="00BD6FA5" w:rsidRPr="00D04502" w:rsidRDefault="00E523B7" w:rsidP="00BD6FA5">
      <w:pPr>
        <w:pStyle w:val="Heading1"/>
        <w:numPr>
          <w:ilvl w:val="0"/>
          <w:numId w:val="4"/>
        </w:numPr>
        <w:ind w:left="851" w:hanging="851"/>
      </w:pPr>
      <w:bookmarkStart w:id="18" w:name="_Toc234832904"/>
      <w:r w:rsidRPr="00D04502">
        <w:lastRenderedPageBreak/>
        <w:t xml:space="preserve">Foundations and </w:t>
      </w:r>
      <w:r w:rsidR="003F2F30">
        <w:t>o</w:t>
      </w:r>
      <w:r w:rsidR="00FE56FA" w:rsidRPr="00D04502">
        <w:t xml:space="preserve">ther </w:t>
      </w:r>
      <w:r w:rsidR="003F2F30">
        <w:t>s</w:t>
      </w:r>
      <w:r w:rsidR="00FE56FA" w:rsidRPr="00D04502">
        <w:t>u</w:t>
      </w:r>
      <w:r w:rsidR="00DF0ACC" w:rsidRPr="00D04502">
        <w:t>b</w:t>
      </w:r>
      <w:r w:rsidR="00BD6FA5" w:rsidRPr="00D04502">
        <w:t>-</w:t>
      </w:r>
      <w:r w:rsidR="003F2F30">
        <w:t>s</w:t>
      </w:r>
      <w:r w:rsidR="00BD6FA5" w:rsidRPr="00D04502">
        <w:t xml:space="preserve">urface </w:t>
      </w:r>
      <w:r w:rsidR="003F2F30">
        <w:t>s</w:t>
      </w:r>
      <w:r w:rsidR="00BD6FA5" w:rsidRPr="00D04502">
        <w:t>tructures</w:t>
      </w:r>
      <w:bookmarkEnd w:id="17"/>
      <w:bookmarkEnd w:id="18"/>
    </w:p>
    <w:p w14:paraId="1496D53F" w14:textId="4DD32E65" w:rsidR="00901D23" w:rsidRPr="00D04502" w:rsidRDefault="00901D23" w:rsidP="008A40F3">
      <w:pPr>
        <w:pStyle w:val="F9-Paragraph"/>
        <w:ind w:left="851" w:hanging="851"/>
        <w:rPr>
          <w:rFonts w:eastAsia="Calibri"/>
        </w:rPr>
      </w:pPr>
      <w:r w:rsidRPr="00D04502">
        <w:rPr>
          <w:rFonts w:eastAsia="Calibri"/>
        </w:rPr>
        <w:t>The foundation is that part of a structure which serves exclusively to transmit the weight of the structure onto the natural ground. The foundation design</w:t>
      </w:r>
      <w:r w:rsidR="00E27588" w:rsidRPr="00D04502">
        <w:rPr>
          <w:rFonts w:eastAsia="Calibri"/>
        </w:rPr>
        <w:t xml:space="preserve"> is based on</w:t>
      </w:r>
      <w:r w:rsidRPr="00D04502">
        <w:rPr>
          <w:rFonts w:eastAsia="Calibri"/>
        </w:rPr>
        <w:t xml:space="preserve"> an expected ground response and the ground is assumed to respond in a particular way following an interpretation of the geotechnical data from a site investigation and excavation prior to construction.</w:t>
      </w:r>
    </w:p>
    <w:p w14:paraId="79ADE60C" w14:textId="6AF034A4" w:rsidR="00343475" w:rsidRPr="00D04502" w:rsidRDefault="00343475" w:rsidP="00343475">
      <w:pPr>
        <w:pStyle w:val="Heading2"/>
        <w:ind w:left="851" w:hanging="851"/>
      </w:pPr>
      <w:r w:rsidRPr="00D04502">
        <w:t xml:space="preserve">Foundations and </w:t>
      </w:r>
      <w:r w:rsidR="003F2F30">
        <w:t>s</w:t>
      </w:r>
      <w:r w:rsidR="00B15BA8" w:rsidRPr="00D04502">
        <w:t xml:space="preserve">ub-structure </w:t>
      </w:r>
      <w:r w:rsidR="003F2F30">
        <w:t>d</w:t>
      </w:r>
      <w:r w:rsidR="00B15BA8" w:rsidRPr="00D04502">
        <w:t xml:space="preserve">esign </w:t>
      </w:r>
      <w:r w:rsidR="008F0D03" w:rsidRPr="00D04502">
        <w:t xml:space="preserve">and </w:t>
      </w:r>
      <w:r w:rsidR="003F2F30">
        <w:t>s</w:t>
      </w:r>
      <w:r w:rsidR="008F0D03" w:rsidRPr="00D04502">
        <w:t xml:space="preserve">afety </w:t>
      </w:r>
      <w:r w:rsidR="003F2F30">
        <w:t>c</w:t>
      </w:r>
      <w:r w:rsidR="008F0D03" w:rsidRPr="00D04502">
        <w:t>ase</w:t>
      </w:r>
    </w:p>
    <w:p w14:paraId="270EA3F3" w14:textId="65CD1712" w:rsidR="00E54E17" w:rsidRPr="00D04502" w:rsidRDefault="00670A11" w:rsidP="00670A11">
      <w:pPr>
        <w:pStyle w:val="F9-Paragraph"/>
        <w:ind w:left="851" w:hanging="851"/>
        <w:rPr>
          <w:rFonts w:eastAsia="Calibri"/>
        </w:rPr>
      </w:pPr>
      <w:r w:rsidRPr="00D04502">
        <w:rPr>
          <w:rFonts w:eastAsia="Calibri"/>
        </w:rPr>
        <w:t>The safety case for foundations and sub-surface structures should clearly and coherently present the claims, arguments, and supporting evidence, in accordance with SAPs ECE.1, ECE.2, ECE.6, ECS.1, and particularly ECE.7 and ECE.9 for earthworks. Design information must be well organised at each design stage, and inspectors should ensure that documents state the criteria used (whether GDA, structure-specific, or site-specific), as well as the assumptions and limitations applied.</w:t>
      </w:r>
    </w:p>
    <w:p w14:paraId="4F381306" w14:textId="1C206C8B" w:rsidR="00670A11" w:rsidRPr="00D04502" w:rsidRDefault="00E54E17" w:rsidP="00670A11">
      <w:pPr>
        <w:pStyle w:val="F9-Paragraph"/>
        <w:ind w:left="851" w:hanging="851"/>
        <w:rPr>
          <w:rFonts w:eastAsia="Calibri"/>
        </w:rPr>
      </w:pPr>
      <w:r w:rsidRPr="00D04502">
        <w:rPr>
          <w:rFonts w:eastAsia="Calibri"/>
        </w:rPr>
        <w:t xml:space="preserve">The design and safety case of the foundations could be developed through the different stages of design, </w:t>
      </w:r>
      <w:r w:rsidR="003F2F30">
        <w:rPr>
          <w:rFonts w:eastAsia="Calibri"/>
        </w:rPr>
        <w:t>for example,</w:t>
      </w:r>
      <w:r w:rsidRPr="00D04502">
        <w:rPr>
          <w:rFonts w:eastAsia="Calibri"/>
        </w:rPr>
        <w:t xml:space="preserve"> for new build these would be GDA, Site Specific Assessment, through site licensing, and then into site construction with the use of the Pre-Construction Safety Reports and then Post-Commissioning Safety Reports once construction is complete. </w:t>
      </w:r>
      <w:r w:rsidR="003F2F30">
        <w:rPr>
          <w:rFonts w:eastAsia="Calibri"/>
        </w:rPr>
        <w:br/>
      </w:r>
      <w:r w:rsidRPr="00D04502">
        <w:rPr>
          <w:rFonts w:eastAsia="Calibri"/>
        </w:rPr>
        <w:t>A substantiated foundation design that is demonstrably conservative would have a clear and explicit adequate margin that is substantiated with the consideration of modelling and analysis, geometry, settlements and stability, stiffness, strength, durability and constructability.</w:t>
      </w:r>
    </w:p>
    <w:p w14:paraId="4B20A2D1" w14:textId="4F936EDE" w:rsidR="002C2076" w:rsidRPr="003F2F30" w:rsidRDefault="002C2076" w:rsidP="003F2F30">
      <w:pPr>
        <w:pStyle w:val="F9-Paragraph"/>
        <w:ind w:left="851" w:hanging="851"/>
        <w:rPr>
          <w:rFonts w:eastAsia="Calibri"/>
        </w:rPr>
      </w:pPr>
      <w:r w:rsidRPr="00D04502">
        <w:rPr>
          <w:rFonts w:eastAsia="Calibri"/>
        </w:rPr>
        <w:t xml:space="preserve">For more on safety considerations for foundation design, </w:t>
      </w:r>
      <w:r w:rsidR="003F2F30">
        <w:rPr>
          <w:rFonts w:eastAsia="Calibri"/>
        </w:rPr>
        <w:t xml:space="preserve">refer to </w:t>
      </w:r>
      <w:r w:rsidRPr="00D04502">
        <w:t>HSE RR319 - Safer foundations by design</w:t>
      </w:r>
      <w:r w:rsidR="001F6622" w:rsidRPr="00D04502">
        <w:t xml:space="preserve"> </w:t>
      </w:r>
      <w:sdt>
        <w:sdtPr>
          <w:id w:val="871653805"/>
          <w:citation/>
        </w:sdtPr>
        <w:sdtEndPr/>
        <w:sdtContent>
          <w:r w:rsidR="00253D51" w:rsidRPr="00D04502">
            <w:fldChar w:fldCharType="begin"/>
          </w:r>
          <w:r w:rsidR="00253D51" w:rsidRPr="00D04502">
            <w:instrText xml:space="preserve"> CITATION HSE05 \l 2057 </w:instrText>
          </w:r>
          <w:r w:rsidR="00253D51" w:rsidRPr="00D04502">
            <w:fldChar w:fldCharType="separate"/>
          </w:r>
          <w:r w:rsidR="00401277">
            <w:rPr>
              <w:noProof/>
            </w:rPr>
            <w:t>[26]</w:t>
          </w:r>
          <w:r w:rsidR="00253D51" w:rsidRPr="00D04502">
            <w:fldChar w:fldCharType="end"/>
          </w:r>
        </w:sdtContent>
      </w:sdt>
      <w:r w:rsidR="003F2F30">
        <w:t>.</w:t>
      </w:r>
    </w:p>
    <w:p w14:paraId="3C38083A" w14:textId="476FA1B2" w:rsidR="0053060A" w:rsidRPr="00D04502" w:rsidRDefault="0053060A" w:rsidP="00E43135">
      <w:pPr>
        <w:pStyle w:val="Heading3"/>
      </w:pPr>
      <w:r w:rsidRPr="00D04502">
        <w:t xml:space="preserve">Functional </w:t>
      </w:r>
      <w:r w:rsidR="003F2F30">
        <w:t>r</w:t>
      </w:r>
      <w:r w:rsidRPr="00D04502">
        <w:t>equirements</w:t>
      </w:r>
    </w:p>
    <w:p w14:paraId="38B6984F" w14:textId="3500C6FC" w:rsidR="009E3122" w:rsidRPr="00D04502" w:rsidRDefault="009E3122" w:rsidP="009E3122">
      <w:pPr>
        <w:pStyle w:val="F9-Paragraph"/>
        <w:ind w:left="851" w:hanging="851"/>
        <w:rPr>
          <w:rFonts w:eastAsia="Calibri"/>
        </w:rPr>
      </w:pPr>
      <w:r w:rsidRPr="00D04502">
        <w:rPr>
          <w:rFonts w:eastAsia="Calibri"/>
        </w:rPr>
        <w:t>An increasing level of detail is required across the Pre-Construction and Post-Commissioning reports, and the Inspector should expect a clear, navigable link between the design outcomes and the safety functional requirements</w:t>
      </w:r>
      <w:r w:rsidR="00DE7097" w:rsidRPr="00D04502">
        <w:rPr>
          <w:rFonts w:eastAsia="Calibri"/>
        </w:rPr>
        <w:t xml:space="preserve"> (SFRs)</w:t>
      </w:r>
      <w:r w:rsidRPr="00D04502">
        <w:rPr>
          <w:rFonts w:eastAsia="Calibri"/>
        </w:rPr>
        <w:t xml:space="preserve">, </w:t>
      </w:r>
      <w:r w:rsidR="003F2F30">
        <w:rPr>
          <w:rFonts w:eastAsia="Calibri"/>
        </w:rPr>
        <w:t>for example,</w:t>
      </w:r>
      <w:r w:rsidRPr="00D04502">
        <w:rPr>
          <w:rFonts w:eastAsia="Calibri"/>
        </w:rPr>
        <w:t xml:space="preserve"> for foundations these could include:</w:t>
      </w:r>
    </w:p>
    <w:p w14:paraId="4FFDE22B" w14:textId="77777777" w:rsidR="009E3122" w:rsidRPr="00D04502" w:rsidRDefault="009E3122" w:rsidP="009E3122">
      <w:pPr>
        <w:pStyle w:val="Bulletlist1"/>
        <w:ind w:left="1418" w:hanging="357"/>
      </w:pPr>
      <w:r w:rsidRPr="00D04502">
        <w:t>settlement control: total and differential across the raft, local inclination and differential between adjacent structures, limits due to SSCs,</w:t>
      </w:r>
    </w:p>
    <w:p w14:paraId="59DA72CC" w14:textId="77777777" w:rsidR="009E3122" w:rsidRPr="00D04502" w:rsidRDefault="009E3122" w:rsidP="009E3122">
      <w:pPr>
        <w:pStyle w:val="Bulletlist1"/>
        <w:ind w:left="1418" w:hanging="357"/>
      </w:pPr>
      <w:r w:rsidRPr="00D04502">
        <w:t>local deformation (deflections for floor mounted SSCs),</w:t>
      </w:r>
    </w:p>
    <w:p w14:paraId="2C72DA85" w14:textId="77777777" w:rsidR="009E3122" w:rsidRPr="00D04502" w:rsidRDefault="009E3122" w:rsidP="009E3122">
      <w:pPr>
        <w:pStyle w:val="Bulletlist1"/>
        <w:ind w:left="1418" w:hanging="357"/>
      </w:pPr>
      <w:r w:rsidRPr="00D04502">
        <w:t>durability and clarity around the required design life,</w:t>
      </w:r>
    </w:p>
    <w:p w14:paraId="4D35F50F" w14:textId="77777777" w:rsidR="009E3122" w:rsidRPr="00D04502" w:rsidRDefault="009E3122" w:rsidP="009E3122">
      <w:pPr>
        <w:pStyle w:val="Bulletlist1"/>
        <w:ind w:left="1418" w:hanging="357"/>
      </w:pPr>
      <w:r w:rsidRPr="00D04502">
        <w:t>water tightness,</w:t>
      </w:r>
    </w:p>
    <w:p w14:paraId="2A072B00" w14:textId="77777777" w:rsidR="009E3122" w:rsidRPr="00D04502" w:rsidRDefault="009E3122" w:rsidP="009E3122">
      <w:pPr>
        <w:pStyle w:val="Bulletlist1"/>
        <w:ind w:left="1418" w:hanging="357"/>
      </w:pPr>
      <w:r w:rsidRPr="00D04502">
        <w:lastRenderedPageBreak/>
        <w:t>strength (Ultimate Limit State),</w:t>
      </w:r>
    </w:p>
    <w:p w14:paraId="70095DB6" w14:textId="77777777" w:rsidR="009E3122" w:rsidRPr="00D04502" w:rsidRDefault="009E3122" w:rsidP="009E3122">
      <w:pPr>
        <w:pStyle w:val="Bulletlist1"/>
        <w:ind w:left="1418" w:hanging="357"/>
      </w:pPr>
      <w:r w:rsidRPr="00D04502">
        <w:t>global (overall) stability,</w:t>
      </w:r>
    </w:p>
    <w:p w14:paraId="325D1098" w14:textId="77777777" w:rsidR="009E3122" w:rsidRPr="00D04502" w:rsidRDefault="009E3122" w:rsidP="009E3122">
      <w:pPr>
        <w:pStyle w:val="Bulletlist1"/>
        <w:ind w:left="1418" w:hanging="357"/>
      </w:pPr>
      <w:r w:rsidRPr="00D04502">
        <w:t>buildability and construction methodology (including principles of sequencing and construction joint strategy),</w:t>
      </w:r>
    </w:p>
    <w:p w14:paraId="37526C43" w14:textId="77777777" w:rsidR="009E3122" w:rsidRPr="00D04502" w:rsidRDefault="009E3122" w:rsidP="009E3122">
      <w:pPr>
        <w:pStyle w:val="Bulletlist1"/>
        <w:ind w:left="1418" w:hanging="357"/>
      </w:pPr>
      <w:r w:rsidRPr="00D04502">
        <w:t>control of ground gases (prevention and OPEX controls),</w:t>
      </w:r>
    </w:p>
    <w:p w14:paraId="70102665" w14:textId="77777777" w:rsidR="009E3122" w:rsidRPr="00D04502" w:rsidRDefault="009E3122" w:rsidP="009E3122">
      <w:pPr>
        <w:pStyle w:val="Bulletlist1"/>
        <w:ind w:left="1418" w:hanging="357"/>
      </w:pPr>
      <w:r w:rsidRPr="00D04502">
        <w:t>monitoring systems,</w:t>
      </w:r>
    </w:p>
    <w:p w14:paraId="369DEBA6" w14:textId="77777777" w:rsidR="009E3122" w:rsidRPr="00D04502" w:rsidRDefault="009E3122" w:rsidP="009E3122">
      <w:pPr>
        <w:pStyle w:val="Bulletlist1"/>
        <w:ind w:left="1418" w:hanging="357"/>
      </w:pPr>
      <w:r w:rsidRPr="00D04502">
        <w:t>requirements for joints (between adjacent rafts and between supported structures),</w:t>
      </w:r>
    </w:p>
    <w:p w14:paraId="63661BFD" w14:textId="77777777" w:rsidR="009E3122" w:rsidRPr="00D04502" w:rsidRDefault="009E3122" w:rsidP="009E3122">
      <w:pPr>
        <w:pStyle w:val="Bulletlist1"/>
        <w:ind w:left="1418" w:hanging="357"/>
      </w:pPr>
      <w:r w:rsidRPr="00D04502">
        <w:t>beyond design basis capability for the above.</w:t>
      </w:r>
    </w:p>
    <w:p w14:paraId="58D2AEB7" w14:textId="7D8C970C" w:rsidR="00E74933" w:rsidRPr="00D04502" w:rsidRDefault="00E74933" w:rsidP="00E43135">
      <w:pPr>
        <w:pStyle w:val="Heading3"/>
      </w:pPr>
      <w:r w:rsidRPr="00D04502">
        <w:t>Geometry</w:t>
      </w:r>
    </w:p>
    <w:p w14:paraId="369C911D" w14:textId="1F873E9E" w:rsidR="00203A37" w:rsidRPr="00D04502" w:rsidRDefault="00203A37" w:rsidP="005B6D66">
      <w:pPr>
        <w:pStyle w:val="F9-Paragraph"/>
        <w:ind w:left="851" w:hanging="851"/>
        <w:rPr>
          <w:rFonts w:eastAsia="Calibri"/>
        </w:rPr>
      </w:pPr>
      <w:r w:rsidRPr="00D04502">
        <w:t xml:space="preserve">The Inspector </w:t>
      </w:r>
      <w:r w:rsidR="005B6D66" w:rsidRPr="00D04502">
        <w:t>may wish to seek confidence that</w:t>
      </w:r>
      <w:r w:rsidRPr="00D04502">
        <w:t xml:space="preserve"> the layout of SSCs is robust and well-developed, considering input from relevant disciplines. </w:t>
      </w:r>
      <w:r w:rsidR="003F2F30">
        <w:br/>
      </w:r>
      <w:r w:rsidRPr="00D04502">
        <w:t>Evidence should be provided that safety case requirements have informed civil engineering design and construction, referencing Safety Functional Requirements or Engineering Schedules in line with SAPs ECE.1, ECE.5, and ECE.6. Documentation must clearly show critical features—such as pits, sumps, thickness changes, and prestressing gallery interfaces—with enough detail on drawings to verify analytical models and support future site-specific changes.</w:t>
      </w:r>
    </w:p>
    <w:p w14:paraId="2F77DC14" w14:textId="66462CC9" w:rsidR="00203A37" w:rsidRPr="00D04502" w:rsidRDefault="00203A37" w:rsidP="00B15CCE">
      <w:pPr>
        <w:pStyle w:val="F9-Paragraph"/>
        <w:ind w:left="851" w:hanging="851"/>
      </w:pPr>
      <w:r w:rsidRPr="00D04502">
        <w:t xml:space="preserve">The Inspector may consider whether the spatial configuration and geometry are adequate, </w:t>
      </w:r>
      <w:r w:rsidR="003F2F30">
        <w:t>for example,</w:t>
      </w:r>
      <w:r w:rsidRPr="00D04502">
        <w:t xml:space="preserve"> section sizes and transitions, in terms of their overall configuration and the local details. The Inspector should focus on complex areas which might include:</w:t>
      </w:r>
    </w:p>
    <w:p w14:paraId="2442BD3D" w14:textId="77777777" w:rsidR="00203A37" w:rsidRPr="00D04502" w:rsidRDefault="00203A37" w:rsidP="00B15CCE">
      <w:pPr>
        <w:pStyle w:val="Bulletlist1"/>
        <w:ind w:left="1418" w:hanging="357"/>
      </w:pPr>
      <w:r w:rsidRPr="00D04502">
        <w:t>zone of interaction with the gusset area,</w:t>
      </w:r>
    </w:p>
    <w:p w14:paraId="2F629C10" w14:textId="77777777" w:rsidR="00203A37" w:rsidRPr="00D04502" w:rsidRDefault="00203A37" w:rsidP="00B15CCE">
      <w:pPr>
        <w:pStyle w:val="Bulletlist1"/>
        <w:ind w:left="1418" w:hanging="357"/>
      </w:pPr>
      <w:r w:rsidRPr="00D04502">
        <w:t>interface with and detailing of pre-stressing gallery,</w:t>
      </w:r>
    </w:p>
    <w:p w14:paraId="7509CF8D" w14:textId="77777777" w:rsidR="00203A37" w:rsidRPr="00D04502" w:rsidRDefault="00203A37" w:rsidP="00B15CCE">
      <w:pPr>
        <w:pStyle w:val="Bulletlist1"/>
        <w:ind w:left="1418" w:hanging="357"/>
      </w:pPr>
      <w:r w:rsidRPr="00D04502">
        <w:t>the transition from BRX to adjacent areas and associated location of any changes of thickness / stiffness,</w:t>
      </w:r>
    </w:p>
    <w:p w14:paraId="146C47D7" w14:textId="77777777" w:rsidR="00203A37" w:rsidRPr="00D04502" w:rsidRDefault="00203A37" w:rsidP="00B15CCE">
      <w:pPr>
        <w:pStyle w:val="Bulletlist1"/>
        <w:ind w:left="1418" w:hanging="357"/>
      </w:pPr>
      <w:r w:rsidRPr="00D04502">
        <w:t>local details around any sumps, pits or any other discontinuities in the typical raft thickness,</w:t>
      </w:r>
    </w:p>
    <w:p w14:paraId="190CC113" w14:textId="77777777" w:rsidR="00203A37" w:rsidRPr="00D04502" w:rsidRDefault="00203A37" w:rsidP="00B15CCE">
      <w:pPr>
        <w:pStyle w:val="Bulletlist1"/>
        <w:ind w:left="1418" w:hanging="357"/>
        <w:rPr>
          <w:lang w:val="fr-FR"/>
        </w:rPr>
      </w:pPr>
      <w:r w:rsidRPr="00D04502">
        <w:rPr>
          <w:lang w:val="fr-FR"/>
        </w:rPr>
        <w:t>cast in services, utilities etc.</w:t>
      </w:r>
    </w:p>
    <w:p w14:paraId="5D6368F1" w14:textId="77777777" w:rsidR="00E43135" w:rsidRDefault="00E43135" w:rsidP="00E43135">
      <w:pPr>
        <w:pStyle w:val="Heading3"/>
        <w:sectPr w:rsidR="00E43135">
          <w:pgSz w:w="11906" w:h="16838"/>
          <w:pgMar w:top="1440" w:right="1440" w:bottom="1440" w:left="1440" w:header="708" w:footer="708" w:gutter="0"/>
          <w:cols w:space="708"/>
          <w:docGrid w:linePitch="360"/>
        </w:sectPr>
      </w:pPr>
    </w:p>
    <w:p w14:paraId="57D8762D" w14:textId="2606DB2B" w:rsidR="0097502E" w:rsidRPr="00D04502" w:rsidRDefault="0097502E" w:rsidP="00E43135">
      <w:pPr>
        <w:pStyle w:val="Heading3"/>
      </w:pPr>
      <w:r w:rsidRPr="00D04502">
        <w:lastRenderedPageBreak/>
        <w:t xml:space="preserve">Geotechnical </w:t>
      </w:r>
      <w:r w:rsidR="00E43135">
        <w:t>p</w:t>
      </w:r>
      <w:r w:rsidRPr="00D04502">
        <w:t xml:space="preserve">arameters and </w:t>
      </w:r>
      <w:r w:rsidR="00E43135">
        <w:t>i</w:t>
      </w:r>
      <w:r w:rsidRPr="00D04502">
        <w:t>nputs</w:t>
      </w:r>
    </w:p>
    <w:p w14:paraId="3B305FCA" w14:textId="094F3134" w:rsidR="00742BD6" w:rsidRPr="00D04502" w:rsidRDefault="00742BD6" w:rsidP="00CD3B3C">
      <w:pPr>
        <w:pStyle w:val="F9-Paragraph"/>
        <w:ind w:left="851" w:hanging="851"/>
        <w:rPr>
          <w:rFonts w:eastAsia="Calibri"/>
        </w:rPr>
      </w:pPr>
      <w:r w:rsidRPr="00D04502">
        <w:rPr>
          <w:rFonts w:eastAsia="Calibri"/>
        </w:rPr>
        <w:t xml:space="preserve">The Inspector may wish to confirm that design inputs, including geotechnical assumptions, are robust and accurately reflect the range of ground profiles considered. Where envelopes are used (such as in the </w:t>
      </w:r>
      <w:r w:rsidR="00E43135">
        <w:rPr>
          <w:rFonts w:eastAsia="Calibri"/>
        </w:rPr>
        <w:t>GDA</w:t>
      </w:r>
      <w:r w:rsidRPr="00D04502">
        <w:rPr>
          <w:rFonts w:eastAsia="Calibri"/>
        </w:rPr>
        <w:t xml:space="preserve">), the Inspector </w:t>
      </w:r>
      <w:r w:rsidR="00CD3B3C" w:rsidRPr="00D04502">
        <w:rPr>
          <w:rFonts w:eastAsia="Calibri"/>
        </w:rPr>
        <w:t>may seek evidence that</w:t>
      </w:r>
      <w:r w:rsidRPr="00D04502">
        <w:rPr>
          <w:rFonts w:eastAsia="Calibri"/>
        </w:rPr>
        <w:t xml:space="preserve"> these adequately represent all relevant profiles. Assurance may also be sought that static and dynamic properties are consistent, and that modelling and analysis encompass all assumed profiles. The Inspector </w:t>
      </w:r>
      <w:r w:rsidR="00CD3B3C" w:rsidRPr="00D04502">
        <w:rPr>
          <w:rFonts w:eastAsia="Calibri"/>
        </w:rPr>
        <w:t>may</w:t>
      </w:r>
      <w:r w:rsidRPr="00D04502">
        <w:rPr>
          <w:rFonts w:eastAsia="Calibri"/>
        </w:rPr>
        <w:t xml:space="preserve"> consider the link with </w:t>
      </w:r>
      <w:r w:rsidR="00E43135">
        <w:rPr>
          <w:rFonts w:eastAsia="Calibri"/>
        </w:rPr>
        <w:t>e</w:t>
      </w:r>
      <w:r w:rsidRPr="00D04502">
        <w:rPr>
          <w:rFonts w:eastAsia="Calibri"/>
        </w:rPr>
        <w:t>xternal</w:t>
      </w:r>
      <w:r w:rsidR="00E43135">
        <w:rPr>
          <w:rFonts w:eastAsia="Calibri"/>
        </w:rPr>
        <w:t xml:space="preserve"> h</w:t>
      </w:r>
      <w:r w:rsidRPr="00D04502">
        <w:rPr>
          <w:rFonts w:eastAsia="Calibri"/>
        </w:rPr>
        <w:t>azards when reviewing initial ground investigation data.</w:t>
      </w:r>
    </w:p>
    <w:p w14:paraId="49D79230" w14:textId="11C92486" w:rsidR="00742BD6" w:rsidRPr="00D04502" w:rsidRDefault="00CD4084" w:rsidP="00142C76">
      <w:pPr>
        <w:pStyle w:val="F9-Paragraph"/>
        <w:ind w:left="851" w:hanging="851"/>
        <w:rPr>
          <w:rFonts w:eastAsia="Calibri"/>
        </w:rPr>
      </w:pPr>
      <w:r w:rsidRPr="00D04502">
        <w:t>The Inspector may wish to confirm that static SSI analysis has achieved suitable stiffness and settlement values through adequate iterations, and that final differential settlements and inclinations during construction are evidenced to be within acceptable limits.</w:t>
      </w:r>
    </w:p>
    <w:p w14:paraId="6E10120D" w14:textId="4863E3DD" w:rsidR="00742BD6" w:rsidRPr="00D04502" w:rsidRDefault="000D254D" w:rsidP="000D254D">
      <w:pPr>
        <w:pStyle w:val="F9-Paragraph"/>
        <w:ind w:left="851" w:hanging="851"/>
      </w:pPr>
      <w:r w:rsidRPr="00D04502">
        <w:t>The Inspector should note that reactor foundations may experience relatively high bearing pressures and must assess soil stiffness non-linearity, the safety factor for bearing pressure, and the impact on soil stiffness, considering both static and dynamic conditions, including rocking.</w:t>
      </w:r>
    </w:p>
    <w:p w14:paraId="79917C06" w14:textId="77777777" w:rsidR="00742BD6" w:rsidRPr="00D04502" w:rsidRDefault="00742BD6" w:rsidP="000D254D">
      <w:pPr>
        <w:pStyle w:val="F9-Paragraph"/>
        <w:ind w:left="851" w:hanging="851"/>
      </w:pPr>
      <w:r w:rsidRPr="00D04502">
        <w:t>The Inspector may wish to confirm there is a clear definition of conditions and site parameters used, which then transfer into the Basis of Design documentation which feed into the structural design reports and methodology reports.</w:t>
      </w:r>
    </w:p>
    <w:p w14:paraId="5D4FE365" w14:textId="292427E9" w:rsidR="00742BD6" w:rsidRPr="00D04502" w:rsidRDefault="000D254D" w:rsidP="00FE4559">
      <w:pPr>
        <w:pStyle w:val="F9-Paragraph"/>
        <w:ind w:left="851" w:hanging="851"/>
      </w:pPr>
      <w:r w:rsidRPr="00D04502">
        <w:rPr>
          <w:rFonts w:eastAsia="Calibri"/>
        </w:rPr>
        <w:t xml:space="preserve">When waterproofing membranes are incorporated into foundation or sub-surface design, the Inspector </w:t>
      </w:r>
      <w:r w:rsidR="00FE4559" w:rsidRPr="00D04502">
        <w:t>may wish to</w:t>
      </w:r>
      <w:r w:rsidRPr="00D04502">
        <w:rPr>
          <w:rFonts w:eastAsia="Calibri"/>
        </w:rPr>
        <w:t xml:space="preserve"> review the compatibility of base friction assumptions, the membrane’s design life, maintenance needs, and any related safety case claims.</w:t>
      </w:r>
    </w:p>
    <w:p w14:paraId="6C247678" w14:textId="5226908C" w:rsidR="00A56560" w:rsidRPr="00D04502" w:rsidRDefault="00EA7349" w:rsidP="00E43135">
      <w:pPr>
        <w:pStyle w:val="Heading3"/>
      </w:pPr>
      <w:r w:rsidRPr="00D04502">
        <w:t>Modelling</w:t>
      </w:r>
      <w:r w:rsidR="00A56560" w:rsidRPr="00D04502">
        <w:t xml:space="preserve"> and </w:t>
      </w:r>
      <w:r w:rsidR="00E43135">
        <w:t>a</w:t>
      </w:r>
      <w:r w:rsidR="00A56560" w:rsidRPr="00D04502">
        <w:t>nalysis</w:t>
      </w:r>
    </w:p>
    <w:p w14:paraId="04BD7690" w14:textId="051F4F7F" w:rsidR="001C2DF0" w:rsidRPr="00D04502" w:rsidRDefault="00487D46" w:rsidP="006240E5">
      <w:pPr>
        <w:pStyle w:val="F9-Paragraph"/>
        <w:ind w:left="851" w:hanging="851"/>
        <w:rPr>
          <w:rFonts w:eastAsia="Calibri"/>
        </w:rPr>
      </w:pPr>
      <w:r w:rsidRPr="00D04502">
        <w:t>The Inspector may wish to confirm that verified and validated software, compliant with ECE.15, is used for static and dynamic SSI soil modelling. The Inspector may also seek assurance that appropriate meshing, load applications, combinations, boundary conditions and constraints are applied, and that model outputs are correctly integrated with drawings and documentation.</w:t>
      </w:r>
    </w:p>
    <w:p w14:paraId="737A2FC0" w14:textId="77777777" w:rsidR="001C2DF0" w:rsidRPr="00D04502" w:rsidRDefault="001C2DF0" w:rsidP="009F1B3C">
      <w:pPr>
        <w:pStyle w:val="F9-Paragraph"/>
        <w:ind w:left="851" w:hanging="851"/>
      </w:pPr>
      <w:r w:rsidRPr="00D04502">
        <w:t>The Inspector may wish to seek assurance that there is clarity on the use of coarse and refined models and sub models, with key areas of interest for the modelling of reactor foundations including:</w:t>
      </w:r>
    </w:p>
    <w:p w14:paraId="3186D6DB" w14:textId="77777777" w:rsidR="001C2DF0" w:rsidRPr="00D04502" w:rsidRDefault="001C2DF0" w:rsidP="009F1B3C">
      <w:pPr>
        <w:pStyle w:val="Bulletlist1"/>
        <w:ind w:left="1418" w:hanging="357"/>
      </w:pPr>
      <w:r w:rsidRPr="00D04502">
        <w:t>highly reinforced areas of connection between the foundation and the inner containment,</w:t>
      </w:r>
    </w:p>
    <w:p w14:paraId="1CED5E03" w14:textId="4E16C096" w:rsidR="001C2DF0" w:rsidRPr="00D04502" w:rsidRDefault="001C2DF0" w:rsidP="009F1B3C">
      <w:pPr>
        <w:pStyle w:val="Bulletlist1"/>
        <w:ind w:left="1418" w:hanging="357"/>
      </w:pPr>
      <w:r w:rsidRPr="00D04502">
        <w:t xml:space="preserve">interface with any underground structures </w:t>
      </w:r>
      <w:r w:rsidR="003F2F30">
        <w:t>for example,</w:t>
      </w:r>
      <w:r w:rsidRPr="00D04502">
        <w:t xml:space="preserve"> pre-stressing galleries, including the influence of the gallery on the foundation and design modelling and stiffness included in the gallery design,</w:t>
      </w:r>
    </w:p>
    <w:p w14:paraId="593C5362" w14:textId="77777777" w:rsidR="001C2DF0" w:rsidRPr="00D04502" w:rsidRDefault="001C2DF0" w:rsidP="009F1B3C">
      <w:pPr>
        <w:pStyle w:val="Bulletlist1"/>
        <w:ind w:left="1418" w:hanging="357"/>
      </w:pPr>
      <w:r w:rsidRPr="00D04502">
        <w:lastRenderedPageBreak/>
        <w:t>pits, sumps, or any other discontinuities in the foundation thickness and stiffness,</w:t>
      </w:r>
    </w:p>
    <w:p w14:paraId="7A57BC93" w14:textId="77777777" w:rsidR="001C2DF0" w:rsidRPr="00D04502" w:rsidRDefault="001C2DF0" w:rsidP="009F1B3C">
      <w:pPr>
        <w:pStyle w:val="Bulletlist1"/>
        <w:ind w:left="1418" w:hanging="357"/>
      </w:pPr>
      <w:r w:rsidRPr="00D04502">
        <w:t>sensitivity analyses where necessary to demonstrate that the assumptions made are adequately conservative.</w:t>
      </w:r>
    </w:p>
    <w:p w14:paraId="37D4E336" w14:textId="4A38D7BD" w:rsidR="00AE26C3" w:rsidRPr="00D04502" w:rsidRDefault="00AE26C3" w:rsidP="00E43135">
      <w:pPr>
        <w:pStyle w:val="Heading3"/>
      </w:pPr>
      <w:r w:rsidRPr="00D04502">
        <w:t>Stability</w:t>
      </w:r>
    </w:p>
    <w:p w14:paraId="263DB9A5" w14:textId="04156739" w:rsidR="00377B6E" w:rsidRPr="00D04502" w:rsidRDefault="00377B6E" w:rsidP="00377B6E">
      <w:pPr>
        <w:pStyle w:val="F9-Paragraph"/>
        <w:ind w:left="851" w:hanging="851"/>
        <w:rPr>
          <w:rFonts w:eastAsia="Calibri"/>
        </w:rPr>
      </w:pPr>
      <w:r w:rsidRPr="00D04502">
        <w:rPr>
          <w:rFonts w:eastAsia="Calibri"/>
        </w:rPr>
        <w:t>The Inspector may wish to seek assurance that there is a clear methodology for the development of static forces from dynamic analysis, with code-based stability checks for sliding, overturning and floatation etc., as well as an appreciation of the influence of the pre-stressing gallery or underground structures on sliding.</w:t>
      </w:r>
    </w:p>
    <w:p w14:paraId="32C33595" w14:textId="4404A187" w:rsidR="00377B6E" w:rsidRPr="00D04502" w:rsidRDefault="00377B6E" w:rsidP="00E43135">
      <w:pPr>
        <w:pStyle w:val="Heading3"/>
      </w:pPr>
      <w:r w:rsidRPr="00D04502">
        <w:t>St</w:t>
      </w:r>
      <w:r w:rsidR="009E43D9" w:rsidRPr="00D04502">
        <w:t>iffness</w:t>
      </w:r>
    </w:p>
    <w:p w14:paraId="4DADBE74" w14:textId="77777777" w:rsidR="00CE2B32" w:rsidRPr="00D04502" w:rsidRDefault="00CE2B32" w:rsidP="00CE2B32">
      <w:pPr>
        <w:pStyle w:val="F9-Paragraph"/>
        <w:ind w:left="851" w:hanging="851"/>
        <w:rPr>
          <w:rFonts w:eastAsia="Calibri"/>
        </w:rPr>
      </w:pPr>
      <w:r w:rsidRPr="00D04502">
        <w:rPr>
          <w:rFonts w:eastAsia="Calibri"/>
        </w:rPr>
        <w:t>The Inspector may wish to consider the appropriateness of any modification factors on concrete to determine the stiffness for:</w:t>
      </w:r>
    </w:p>
    <w:p w14:paraId="1D704FB2" w14:textId="77777777" w:rsidR="00CE2B32" w:rsidRPr="00D04502" w:rsidRDefault="00CE2B32" w:rsidP="00CE2B32">
      <w:pPr>
        <w:pStyle w:val="Bulletlist1"/>
        <w:ind w:left="1418" w:hanging="357"/>
      </w:pPr>
      <w:r w:rsidRPr="00D04502">
        <w:t>thermal loads (i.e. stresses from restraint of thermal strains),</w:t>
      </w:r>
    </w:p>
    <w:p w14:paraId="78AE1430" w14:textId="77777777" w:rsidR="00CE2B32" w:rsidRPr="00D04502" w:rsidRDefault="00CE2B32" w:rsidP="00CE2B32">
      <w:pPr>
        <w:pStyle w:val="Bulletlist1"/>
        <w:ind w:left="1418" w:hanging="357"/>
      </w:pPr>
      <w:r w:rsidRPr="00D04502">
        <w:t>soil-structure interaction (i.e. the structure stiffness within the SSI),</w:t>
      </w:r>
    </w:p>
    <w:p w14:paraId="49495BF0" w14:textId="77777777" w:rsidR="00CE2B32" w:rsidRPr="00D04502" w:rsidRDefault="00CE2B32" w:rsidP="00CE2B32">
      <w:pPr>
        <w:pStyle w:val="Bulletlist1"/>
        <w:ind w:left="1418" w:hanging="357"/>
      </w:pPr>
      <w:r w:rsidRPr="00D04502">
        <w:t>long term concrete modulus compatible with loading duration.</w:t>
      </w:r>
    </w:p>
    <w:p w14:paraId="1E58F29C" w14:textId="475FB974" w:rsidR="00CE2B32" w:rsidRPr="00D04502" w:rsidRDefault="00CE2B32" w:rsidP="00CE2B32">
      <w:pPr>
        <w:pStyle w:val="F9-Paragraph"/>
        <w:ind w:left="851" w:hanging="851"/>
        <w:rPr>
          <w:rFonts w:eastAsia="Calibri"/>
        </w:rPr>
      </w:pPr>
      <w:r w:rsidRPr="00D04502">
        <w:rPr>
          <w:rFonts w:eastAsia="Calibri"/>
        </w:rPr>
        <w:t xml:space="preserve">The Inspector should be aware of the deflection criteria and limits for serviceability and design basis, with certain SSC limitations </w:t>
      </w:r>
      <w:r w:rsidR="003F2F30">
        <w:rPr>
          <w:rFonts w:eastAsia="Calibri"/>
        </w:rPr>
        <w:t>(for example,</w:t>
      </w:r>
      <w:r w:rsidRPr="00D04502">
        <w:rPr>
          <w:rFonts w:eastAsia="Calibri"/>
        </w:rPr>
        <w:t xml:space="preserve"> local inclinations etc.).</w:t>
      </w:r>
    </w:p>
    <w:p w14:paraId="7A7865DB" w14:textId="0B57627C" w:rsidR="00AE76CA" w:rsidRPr="00D04502" w:rsidRDefault="00AE76CA" w:rsidP="00E43135">
      <w:pPr>
        <w:pStyle w:val="Heading3"/>
      </w:pPr>
      <w:r w:rsidRPr="00D04502">
        <w:t>Strength</w:t>
      </w:r>
    </w:p>
    <w:p w14:paraId="055A9954" w14:textId="77777777" w:rsidR="001B1928" w:rsidRPr="00D04502" w:rsidRDefault="001B1928" w:rsidP="001B1928">
      <w:pPr>
        <w:pStyle w:val="F9-Paragraph"/>
        <w:ind w:left="851" w:hanging="851"/>
        <w:rPr>
          <w:rFonts w:eastAsia="Calibri"/>
        </w:rPr>
      </w:pPr>
      <w:r w:rsidRPr="00D04502">
        <w:rPr>
          <w:rFonts w:eastAsia="Calibri"/>
        </w:rPr>
        <w:t>The Inspector may wish to seek assurance that checks have been undertaken for bending, in plane axial, shear and, where appropriate, torsion.</w:t>
      </w:r>
    </w:p>
    <w:p w14:paraId="7FB8D70C" w14:textId="77777777" w:rsidR="001B1928" w:rsidRPr="00D04502" w:rsidRDefault="001B1928" w:rsidP="001B1928">
      <w:pPr>
        <w:pStyle w:val="F9-Paragraph"/>
        <w:ind w:left="851" w:hanging="851"/>
        <w:rPr>
          <w:rFonts w:eastAsia="Calibri"/>
        </w:rPr>
      </w:pPr>
      <w:r w:rsidRPr="00D04502">
        <w:rPr>
          <w:rFonts w:eastAsia="Calibri"/>
        </w:rPr>
        <w:t>For reactor foundations, the Inspector may wish to seek assurance that there is a series of focused, auditable and traceable results for:</w:t>
      </w:r>
    </w:p>
    <w:p w14:paraId="711ED5A7" w14:textId="77777777" w:rsidR="001B1928" w:rsidRPr="00D04502" w:rsidRDefault="001B1928" w:rsidP="001B1928">
      <w:pPr>
        <w:pStyle w:val="Bulletlist1"/>
        <w:ind w:left="1418" w:hanging="357"/>
      </w:pPr>
      <w:r w:rsidRPr="00D04502">
        <w:t>gusset interface (specifically influence of gusset on reactor foundations),</w:t>
      </w:r>
    </w:p>
    <w:p w14:paraId="46F74FE5" w14:textId="147EEA76" w:rsidR="001B1928" w:rsidRPr="00D04502" w:rsidRDefault="001B1928" w:rsidP="001B1928">
      <w:pPr>
        <w:pStyle w:val="Bulletlist1"/>
        <w:ind w:left="1418" w:hanging="357"/>
      </w:pPr>
      <w:r w:rsidRPr="00D04502">
        <w:t xml:space="preserve">interface with any underground structures </w:t>
      </w:r>
      <w:r w:rsidR="003F2F30">
        <w:t>for example,</w:t>
      </w:r>
      <w:r w:rsidRPr="00D04502">
        <w:t xml:space="preserve"> pre-stressing galleries, including the influence of the gallery on the foundation and gallery design,</w:t>
      </w:r>
    </w:p>
    <w:p w14:paraId="18C0D125" w14:textId="77777777" w:rsidR="001B1928" w:rsidRPr="00D04502" w:rsidRDefault="001B1928" w:rsidP="001B1928">
      <w:pPr>
        <w:pStyle w:val="Bulletlist1"/>
        <w:ind w:left="1418" w:hanging="357"/>
      </w:pPr>
      <w:r w:rsidRPr="00D04502">
        <w:t>any changes in thickness of the raft from buildings to adjacent areas,</w:t>
      </w:r>
    </w:p>
    <w:p w14:paraId="382440D3" w14:textId="77777777" w:rsidR="001B1928" w:rsidRPr="00D04502" w:rsidRDefault="001B1928" w:rsidP="001B1928">
      <w:pPr>
        <w:pStyle w:val="Bulletlist1"/>
        <w:ind w:left="1418" w:hanging="357"/>
      </w:pPr>
      <w:r w:rsidRPr="00D04502">
        <w:t>local details around sumps, pits etc., where there is a greater margin expected for shear.</w:t>
      </w:r>
    </w:p>
    <w:p w14:paraId="61D7A3F6" w14:textId="68C99569" w:rsidR="001B1928" w:rsidRPr="00D04502" w:rsidRDefault="001B1928" w:rsidP="001B1928">
      <w:pPr>
        <w:pStyle w:val="F9-Paragraph"/>
        <w:ind w:left="851" w:hanging="851"/>
        <w:rPr>
          <w:rFonts w:eastAsia="Calibri"/>
        </w:rPr>
      </w:pPr>
      <w:r w:rsidRPr="00D04502">
        <w:rPr>
          <w:rFonts w:eastAsia="Calibri"/>
        </w:rPr>
        <w:t xml:space="preserve">The Inspector may wish to seek assurance that the dutyholder has applied smoothing or averaging and enveloping where it is appropriate and </w:t>
      </w:r>
      <w:r w:rsidRPr="00D04502">
        <w:rPr>
          <w:rFonts w:eastAsia="Calibri"/>
        </w:rPr>
        <w:lastRenderedPageBreak/>
        <w:t xml:space="preserve">justifiable. The Inspector may wish to seek assurance that there are sufficient margins on shear and flexure </w:t>
      </w:r>
      <w:r w:rsidR="003F2F30">
        <w:rPr>
          <w:rFonts w:eastAsia="Calibri"/>
        </w:rPr>
        <w:t>(refer to</w:t>
      </w:r>
      <w:r w:rsidRPr="00D04502">
        <w:rPr>
          <w:rFonts w:eastAsia="Calibri"/>
        </w:rPr>
        <w:t xml:space="preserve"> </w:t>
      </w:r>
      <w:r w:rsidR="00E43135">
        <w:rPr>
          <w:rFonts w:eastAsia="Calibri"/>
        </w:rPr>
        <w:t xml:space="preserve">Section </w:t>
      </w:r>
      <w:r w:rsidR="00E43135">
        <w:rPr>
          <w:rFonts w:eastAsia="Calibri"/>
        </w:rPr>
        <w:fldChar w:fldCharType="begin"/>
      </w:r>
      <w:r w:rsidR="00E43135">
        <w:rPr>
          <w:rFonts w:eastAsia="Calibri"/>
        </w:rPr>
        <w:instrText xml:space="preserve"> REF _Ref234828769 \r \h </w:instrText>
      </w:r>
      <w:r w:rsidR="00E43135">
        <w:rPr>
          <w:rFonts w:eastAsia="Calibri"/>
        </w:rPr>
      </w:r>
      <w:r w:rsidR="00E43135">
        <w:rPr>
          <w:rFonts w:eastAsia="Calibri"/>
        </w:rPr>
        <w:fldChar w:fldCharType="separate"/>
      </w:r>
      <w:r w:rsidR="00E43135">
        <w:rPr>
          <w:rFonts w:eastAsia="Calibri"/>
          <w:cs/>
        </w:rPr>
        <w:t>‎</w:t>
      </w:r>
      <w:r w:rsidR="00E43135">
        <w:rPr>
          <w:rFonts w:eastAsia="Calibri"/>
        </w:rPr>
        <w:t>4.1.9</w:t>
      </w:r>
      <w:r w:rsidR="00E43135">
        <w:rPr>
          <w:rFonts w:eastAsia="Calibri"/>
        </w:rPr>
        <w:fldChar w:fldCharType="end"/>
      </w:r>
      <w:r w:rsidRPr="00D04502">
        <w:rPr>
          <w:rFonts w:eastAsia="Calibri"/>
        </w:rPr>
        <w:t>).</w:t>
      </w:r>
    </w:p>
    <w:p w14:paraId="28B9EEE2" w14:textId="77777777" w:rsidR="001B1928" w:rsidRPr="00D04502" w:rsidRDefault="001B1928" w:rsidP="001B1928">
      <w:pPr>
        <w:pStyle w:val="F9-Paragraph"/>
        <w:ind w:left="851" w:hanging="851"/>
        <w:rPr>
          <w:rFonts w:eastAsia="Calibri"/>
        </w:rPr>
      </w:pPr>
      <w:r w:rsidRPr="00D04502">
        <w:rPr>
          <w:rFonts w:eastAsia="Calibri"/>
        </w:rPr>
        <w:t>The Inspector may wish to seek assurance that the results demonstrate a buildable structure, i.e. the maximum reinforcement percentages, consideration of general reinforcement congestion and consideration of practical detailing aspects.</w:t>
      </w:r>
    </w:p>
    <w:p w14:paraId="6910B6FE" w14:textId="661BC634" w:rsidR="00DF7A07" w:rsidRPr="00D04502" w:rsidRDefault="00DF7A07" w:rsidP="00E43135">
      <w:pPr>
        <w:pStyle w:val="Heading3"/>
      </w:pPr>
      <w:r w:rsidRPr="00D04502">
        <w:t xml:space="preserve">Durability and </w:t>
      </w:r>
      <w:r w:rsidR="00E43135">
        <w:t>s</w:t>
      </w:r>
      <w:r w:rsidR="00050F78" w:rsidRPr="00D04502">
        <w:t>erviceability</w:t>
      </w:r>
    </w:p>
    <w:p w14:paraId="6F4EB4BE" w14:textId="26CD824F" w:rsidR="000A0339" w:rsidRPr="00D04502" w:rsidRDefault="000A0339" w:rsidP="00FB74B0">
      <w:pPr>
        <w:pStyle w:val="F9-Paragraph"/>
        <w:ind w:left="851" w:hanging="851"/>
        <w:rPr>
          <w:rFonts w:eastAsia="Calibri"/>
        </w:rPr>
      </w:pPr>
      <w:r w:rsidRPr="00D04502">
        <w:t>The Inspector may wish to confirm clear identification and management of aggressive ground conditions throughout the design life, ensuring safety functional requirements are met and any claims on membranes or alternative measures are justified. BRE Special Digest 1 ‘Concrete in aggressive ground’</w:t>
      </w:r>
      <w:r w:rsidR="000D4772" w:rsidRPr="00D04502">
        <w:t xml:space="preserve"> </w:t>
      </w:r>
      <w:sdt>
        <w:sdtPr>
          <w:id w:val="-603107742"/>
          <w:citation/>
        </w:sdtPr>
        <w:sdtEndPr/>
        <w:sdtContent>
          <w:r w:rsidR="00FB74B0" w:rsidRPr="00D04502">
            <w:fldChar w:fldCharType="begin"/>
          </w:r>
          <w:r w:rsidR="00FB74B0" w:rsidRPr="00D04502">
            <w:instrText xml:space="preserve"> CITATION BRE05 \l 2057 </w:instrText>
          </w:r>
          <w:r w:rsidR="00FB74B0" w:rsidRPr="00D04502">
            <w:fldChar w:fldCharType="separate"/>
          </w:r>
          <w:r w:rsidR="00401277">
            <w:rPr>
              <w:noProof/>
            </w:rPr>
            <w:t>[27]</w:t>
          </w:r>
          <w:r w:rsidR="00FB74B0" w:rsidRPr="00D04502">
            <w:fldChar w:fldCharType="end"/>
          </w:r>
        </w:sdtContent>
      </w:sdt>
      <w:r w:rsidR="000D4772" w:rsidRPr="00D04502">
        <w:t xml:space="preserve"> </w:t>
      </w:r>
      <w:r w:rsidRPr="00D04502">
        <w:t xml:space="preserve"> is acknowledged as Relevant Good Practice, and SAP ECE.12 sets expectations that structural analysis and modelling must demonstrate the structure’s ability to meet SFRs </w:t>
      </w:r>
      <w:r w:rsidR="00FB74B0" w:rsidRPr="00D04502">
        <w:rPr>
          <w:rFonts w:eastAsia="Calibri"/>
        </w:rPr>
        <w:t>over the full range of loading for the lifetime of the facility</w:t>
      </w:r>
      <w:r w:rsidRPr="00D04502">
        <w:t>.</w:t>
      </w:r>
    </w:p>
    <w:p w14:paraId="3978CA92" w14:textId="74313AF3" w:rsidR="000A0339" w:rsidRPr="00D04502" w:rsidRDefault="00007B7C" w:rsidP="00007B7C">
      <w:pPr>
        <w:pStyle w:val="F9-Paragraph"/>
        <w:ind w:left="851" w:hanging="851"/>
      </w:pPr>
      <w:r w:rsidRPr="00D04502">
        <w:t>The Inspector may wish to confirm that the concrete grade, cover, and durability classification are clearly defined, with particular attention to water-tightness and associated performance standards. Where the design relies on site-specific assumptions or future commitments, the Inspector may wish to seek assurance that these are explicitly stated and that there is a clear plan for addressing them as the design advances.</w:t>
      </w:r>
    </w:p>
    <w:p w14:paraId="6A000C18" w14:textId="4C156832" w:rsidR="000A0339" w:rsidRPr="00D04502" w:rsidRDefault="001F26A4" w:rsidP="00B261CD">
      <w:pPr>
        <w:pStyle w:val="F9-Paragraph"/>
        <w:ind w:left="851" w:hanging="851"/>
      </w:pPr>
      <w:r w:rsidRPr="00D04502">
        <w:t xml:space="preserve">For sub-surface structures, waterbars are commonly used to prevent liquid movement to or from the surrounding ground. The Inspector </w:t>
      </w:r>
      <w:r w:rsidR="00B261CD" w:rsidRPr="00D04502">
        <w:t>may wish to</w:t>
      </w:r>
      <w:r w:rsidRPr="00D04502">
        <w:t xml:space="preserve"> seek assurance that these are sufficiently durable in aggressive ground conditions, and consider buildability and quality control for waterbars and joints during construction.</w:t>
      </w:r>
    </w:p>
    <w:p w14:paraId="1EDCD262" w14:textId="3CD13403" w:rsidR="000A0339" w:rsidRPr="00D04502" w:rsidRDefault="00170B83" w:rsidP="006731CB">
      <w:pPr>
        <w:pStyle w:val="F9-Paragraph"/>
        <w:ind w:left="851" w:hanging="851"/>
      </w:pPr>
      <w:r w:rsidRPr="00D04502">
        <w:rPr>
          <w:rFonts w:eastAsia="Calibri"/>
        </w:rPr>
        <w:t>The Inspector should also consider the durability of organic materials used in water-retaining structures, such as waterbars, sealants, joints, and membranes. Reference should be made to the BRE document “A review of materials used as waterbars and sealants in pond structures”</w:t>
      </w:r>
      <w:r w:rsidR="006731CB" w:rsidRPr="00D04502">
        <w:t xml:space="preserve"> </w:t>
      </w:r>
      <w:sdt>
        <w:sdtPr>
          <w:id w:val="1556354631"/>
          <w:citation/>
        </w:sdtPr>
        <w:sdtEndPr/>
        <w:sdtContent>
          <w:r w:rsidR="006731CB" w:rsidRPr="00D04502">
            <w:fldChar w:fldCharType="begin"/>
          </w:r>
          <w:r w:rsidR="006731CB" w:rsidRPr="00D04502">
            <w:instrText xml:space="preserve"> CITATION BRE \l 2057 </w:instrText>
          </w:r>
          <w:r w:rsidR="006731CB" w:rsidRPr="00D04502">
            <w:fldChar w:fldCharType="separate"/>
          </w:r>
          <w:r w:rsidR="00401277">
            <w:rPr>
              <w:noProof/>
            </w:rPr>
            <w:t>[28]</w:t>
          </w:r>
          <w:r w:rsidR="006731CB" w:rsidRPr="00D04502">
            <w:fldChar w:fldCharType="end"/>
          </w:r>
        </w:sdtContent>
      </w:sdt>
      <w:r w:rsidRPr="00D04502">
        <w:rPr>
          <w:rFonts w:eastAsia="Calibri"/>
        </w:rPr>
        <w:t>, which evaluates the longevity of organic building materials.</w:t>
      </w:r>
    </w:p>
    <w:p w14:paraId="4E6501C4" w14:textId="746EC27D" w:rsidR="00EB0778" w:rsidRPr="00D04502" w:rsidRDefault="00EB0778" w:rsidP="00E43135">
      <w:pPr>
        <w:pStyle w:val="Heading3"/>
      </w:pPr>
      <w:bookmarkStart w:id="19" w:name="_Ref234828769"/>
      <w:r w:rsidRPr="00D04502">
        <w:t xml:space="preserve">Beyond </w:t>
      </w:r>
      <w:r w:rsidR="00E43135">
        <w:t>d</w:t>
      </w:r>
      <w:r w:rsidRPr="00D04502">
        <w:t xml:space="preserve">esign </w:t>
      </w:r>
      <w:r w:rsidR="00E43135">
        <w:t>b</w:t>
      </w:r>
      <w:r w:rsidRPr="00D04502">
        <w:t>asis</w:t>
      </w:r>
      <w:bookmarkEnd w:id="19"/>
    </w:p>
    <w:p w14:paraId="3A328EDD" w14:textId="5C6F5573" w:rsidR="006A68F4" w:rsidRPr="00D04502" w:rsidRDefault="009C2825" w:rsidP="0059517A">
      <w:pPr>
        <w:pStyle w:val="F9-Paragraph"/>
        <w:ind w:left="851" w:hanging="851"/>
      </w:pPr>
      <w:r w:rsidRPr="00D04502">
        <w:rPr>
          <w:rFonts w:eastAsia="Calibri"/>
        </w:rPr>
        <w:t>The Inspector</w:t>
      </w:r>
      <w:r w:rsidRPr="00D04502">
        <w:t xml:space="preserve"> may wish to seek assurance </w:t>
      </w:r>
      <w:r w:rsidRPr="00D04502">
        <w:rPr>
          <w:rFonts w:eastAsia="Calibri"/>
        </w:rPr>
        <w:t>that the foundation and other nuclear safety-related sub-surface structures adequately demonstrate the prevention of cliff edge failures under beyond design basis (BDB) scenarios. SAPs EHA.18 and EHA.7 clarify that minor changes in design basis faults or event assumptions must not cause a disproportionate increase in radiological consequences. Key civil engineering considerations for sub-surface structure design include:</w:t>
      </w:r>
    </w:p>
    <w:p w14:paraId="409F7AF1" w14:textId="77777777" w:rsidR="006A68F4" w:rsidRPr="00D04502" w:rsidRDefault="006A68F4" w:rsidP="006A68F4">
      <w:pPr>
        <w:pStyle w:val="Bulletlist1"/>
        <w:ind w:left="1418" w:hanging="357"/>
      </w:pPr>
      <w:r w:rsidRPr="00D04502">
        <w:t>avoidance of brittle failure,</w:t>
      </w:r>
    </w:p>
    <w:p w14:paraId="413C5468" w14:textId="77777777" w:rsidR="006A68F4" w:rsidRPr="00D04502" w:rsidRDefault="006A68F4" w:rsidP="006A68F4">
      <w:pPr>
        <w:pStyle w:val="Bulletlist1"/>
        <w:ind w:left="1418" w:hanging="357"/>
      </w:pPr>
      <w:r w:rsidRPr="00D04502">
        <w:t>low sensitivity to soil variability,</w:t>
      </w:r>
    </w:p>
    <w:p w14:paraId="427EDFFD" w14:textId="77777777" w:rsidR="006A68F4" w:rsidRPr="00D04502" w:rsidRDefault="006A68F4" w:rsidP="006A68F4">
      <w:pPr>
        <w:pStyle w:val="Bulletlist1"/>
        <w:ind w:left="1418" w:hanging="357"/>
      </w:pPr>
      <w:r w:rsidRPr="00D04502">
        <w:lastRenderedPageBreak/>
        <w:t>post crack ductility considerations,</w:t>
      </w:r>
    </w:p>
    <w:p w14:paraId="1863CE52" w14:textId="35A6798B" w:rsidR="006A68F4" w:rsidRPr="00D04502" w:rsidRDefault="006A68F4" w:rsidP="006A68F4">
      <w:pPr>
        <w:pStyle w:val="Bulletlist1"/>
        <w:ind w:left="1418" w:hanging="357"/>
      </w:pPr>
      <w:r w:rsidRPr="00D04502">
        <w:t xml:space="preserve">potential for ground conditions to be impacted </w:t>
      </w:r>
      <w:r w:rsidR="003F2F30">
        <w:t>for example,</w:t>
      </w:r>
      <w:r w:rsidRPr="00D04502">
        <w:t xml:space="preserve"> fracturing or faulting, dynamic bearing capacity for beyond design basis scenarios,  </w:t>
      </w:r>
    </w:p>
    <w:p w14:paraId="47EED85C" w14:textId="77777777" w:rsidR="006A68F4" w:rsidRPr="00D04502" w:rsidRDefault="006A68F4" w:rsidP="006A68F4">
      <w:pPr>
        <w:pStyle w:val="Bulletlist1"/>
        <w:ind w:left="1418" w:hanging="357"/>
      </w:pPr>
      <w:r w:rsidRPr="00D04502">
        <w:t>consideration of resilience against beyond design basis event shear failure.</w:t>
      </w:r>
    </w:p>
    <w:p w14:paraId="30EF2095" w14:textId="2D005FAB" w:rsidR="006A68F4" w:rsidRPr="00D04502" w:rsidRDefault="006A68F4" w:rsidP="003E7E98">
      <w:pPr>
        <w:pStyle w:val="F9-Paragraph"/>
        <w:ind w:left="851" w:hanging="851"/>
        <w:rPr>
          <w:rFonts w:eastAsia="Calibri"/>
        </w:rPr>
      </w:pPr>
      <w:r w:rsidRPr="00D04502">
        <w:rPr>
          <w:rFonts w:eastAsia="Calibri"/>
        </w:rPr>
        <w:t xml:space="preserve">For information on </w:t>
      </w:r>
      <w:r w:rsidR="00E43135">
        <w:rPr>
          <w:rFonts w:eastAsia="Calibri"/>
        </w:rPr>
        <w:t xml:space="preserve">BDB, refer to the TAG on design basis analysis </w:t>
      </w:r>
      <w:sdt>
        <w:sdtPr>
          <w:rPr>
            <w:rFonts w:eastAsia="Calibri"/>
          </w:rPr>
          <w:id w:val="470568675"/>
          <w:citation/>
        </w:sdtPr>
        <w:sdtContent>
          <w:r w:rsidR="00E43135">
            <w:rPr>
              <w:rFonts w:eastAsia="Calibri"/>
            </w:rPr>
            <w:fldChar w:fldCharType="begin"/>
          </w:r>
          <w:r w:rsidR="00E43135">
            <w:rPr>
              <w:rFonts w:eastAsia="Calibri"/>
            </w:rPr>
            <w:instrText xml:space="preserve"> CITATION ONR22 \l 2057 </w:instrText>
          </w:r>
          <w:r w:rsidR="00E43135">
            <w:rPr>
              <w:rFonts w:eastAsia="Calibri"/>
            </w:rPr>
            <w:fldChar w:fldCharType="separate"/>
          </w:r>
          <w:r w:rsidR="00401277" w:rsidRPr="00401277">
            <w:rPr>
              <w:rFonts w:eastAsia="Calibri"/>
              <w:noProof/>
            </w:rPr>
            <w:t>[29]</w:t>
          </w:r>
          <w:r w:rsidR="00E43135">
            <w:rPr>
              <w:rFonts w:eastAsia="Calibri"/>
            </w:rPr>
            <w:fldChar w:fldCharType="end"/>
          </w:r>
        </w:sdtContent>
      </w:sdt>
      <w:r w:rsidR="00E43135">
        <w:rPr>
          <w:rFonts w:eastAsia="Calibri"/>
        </w:rPr>
        <w:t>.</w:t>
      </w:r>
    </w:p>
    <w:p w14:paraId="38AEA525" w14:textId="78A04034" w:rsidR="00C73754" w:rsidRPr="00D04502" w:rsidRDefault="00C73754" w:rsidP="00E43135">
      <w:pPr>
        <w:pStyle w:val="Heading3"/>
      </w:pPr>
      <w:r w:rsidRPr="00D04502">
        <w:t xml:space="preserve">Monitoring </w:t>
      </w:r>
      <w:r w:rsidR="00E43135">
        <w:t>s</w:t>
      </w:r>
      <w:r w:rsidRPr="00D04502">
        <w:t>ystems</w:t>
      </w:r>
    </w:p>
    <w:p w14:paraId="0FEB484C" w14:textId="5B1C838E" w:rsidR="00054AC5" w:rsidRPr="00D04502" w:rsidRDefault="00054AC5" w:rsidP="002A79E8">
      <w:pPr>
        <w:pStyle w:val="F9-Paragraph"/>
        <w:ind w:left="851" w:hanging="851"/>
      </w:pPr>
      <w:r w:rsidRPr="00D04502">
        <w:rPr>
          <w:rFonts w:eastAsia="Calibri"/>
        </w:rPr>
        <w:t xml:space="preserve">The Inspector </w:t>
      </w:r>
      <w:r w:rsidRPr="00D04502">
        <w:t xml:space="preserve">may wish to consider </w:t>
      </w:r>
      <w:r w:rsidRPr="00D04502">
        <w:rPr>
          <w:rFonts w:eastAsia="Calibri"/>
        </w:rPr>
        <w:t xml:space="preserve">whether monitoring systems, such as thermal or strain gauges beneath the reactor foundations, are required to support the safety case, and whether any safety case claims are made regarding these systems. If monitoring is not included in the safety case, the Inspector should review the justification provided. The Inspector </w:t>
      </w:r>
      <w:r w:rsidR="002A79E8" w:rsidRPr="00D04502">
        <w:t xml:space="preserve">is reminded to </w:t>
      </w:r>
      <w:r w:rsidRPr="00D04502">
        <w:rPr>
          <w:rFonts w:eastAsia="Calibri"/>
        </w:rPr>
        <w:t>consider ECE.24 expectations for monitoring settlement during and after construction, and ECE.12 requirements for monitoring coastal flooding.</w:t>
      </w:r>
    </w:p>
    <w:p w14:paraId="74CA8653" w14:textId="68920D19" w:rsidR="00A04D73" w:rsidRPr="00D04502" w:rsidRDefault="00297239" w:rsidP="00E43135">
      <w:pPr>
        <w:pStyle w:val="Heading3"/>
      </w:pPr>
      <w:r w:rsidRPr="00D04502">
        <w:t xml:space="preserve">Embedded </w:t>
      </w:r>
      <w:r w:rsidR="00E43135">
        <w:t>i</w:t>
      </w:r>
      <w:r w:rsidR="007D4F45" w:rsidRPr="00D04502">
        <w:t xml:space="preserve">tems and </w:t>
      </w:r>
      <w:r w:rsidR="00E43135">
        <w:t>l</w:t>
      </w:r>
      <w:r w:rsidR="00E07803" w:rsidRPr="00D04502">
        <w:t xml:space="preserve">ightning </w:t>
      </w:r>
      <w:r w:rsidR="00E43135">
        <w:t>p</w:t>
      </w:r>
      <w:r w:rsidR="007440D8" w:rsidRPr="00D04502">
        <w:t xml:space="preserve">rotection </w:t>
      </w:r>
      <w:r w:rsidR="00E43135">
        <w:t>s</w:t>
      </w:r>
      <w:r w:rsidR="007440D8" w:rsidRPr="00D04502">
        <w:t>ystems</w:t>
      </w:r>
    </w:p>
    <w:p w14:paraId="74FB9A94" w14:textId="608C339F" w:rsidR="004801F8" w:rsidRPr="00D04502" w:rsidRDefault="004801F8" w:rsidP="00C84C56">
      <w:pPr>
        <w:pStyle w:val="F9-Paragraph"/>
        <w:ind w:left="851" w:hanging="851"/>
        <w:rPr>
          <w:rFonts w:eastAsia="Calibri"/>
        </w:rPr>
      </w:pPr>
      <w:r w:rsidRPr="00D04502">
        <w:t xml:space="preserve">The Inspector may wish to consider whether the lightning protection system uses foundation reinforcement as the ground termination. If so, </w:t>
      </w:r>
      <w:r w:rsidR="00C84C56" w:rsidRPr="00D04502">
        <w:t xml:space="preserve">the Inspector may wish to </w:t>
      </w:r>
      <w:r w:rsidRPr="00D04502">
        <w:t>assess whether connections are clamped or welded, and ensure electrical continuity of the reinforcement is properly verified, referring to BS 6651. Any justification for reinforcement welding will require a detailed assessment, as enhanced quality controls are necessary for welding on reactor foundations.</w:t>
      </w:r>
    </w:p>
    <w:p w14:paraId="736618B2" w14:textId="544F1E41" w:rsidR="004801F8" w:rsidRPr="00D04502" w:rsidRDefault="00C84C56" w:rsidP="00AC44FA">
      <w:pPr>
        <w:pStyle w:val="F9-Paragraph"/>
        <w:ind w:left="851" w:hanging="851"/>
      </w:pPr>
      <w:r w:rsidRPr="00D04502">
        <w:rPr>
          <w:rFonts w:eastAsia="Calibri"/>
        </w:rPr>
        <w:t>The Inspector may wish to assess the use of cast-in items for equipment bases and services, focusing on buildability, placement accuracy, and construction tolerances. This also applies to foundation or basement sumps with cast-in liners. Mock-ups or trials may be required to demonstrate quality assurance.</w:t>
      </w:r>
    </w:p>
    <w:p w14:paraId="1DA94C74" w14:textId="5BDD9E9C" w:rsidR="00783E41" w:rsidRPr="00E43135" w:rsidRDefault="00783E41" w:rsidP="00E43135">
      <w:pPr>
        <w:pStyle w:val="Heading3"/>
      </w:pPr>
      <w:r w:rsidRPr="00E43135">
        <w:t xml:space="preserve">Site </w:t>
      </w:r>
      <w:r w:rsidR="00E43135" w:rsidRPr="00E43135">
        <w:t>s</w:t>
      </w:r>
      <w:r w:rsidRPr="00E43135">
        <w:t xml:space="preserve">pecific </w:t>
      </w:r>
      <w:r w:rsidR="00E43135" w:rsidRPr="00E43135">
        <w:t>c</w:t>
      </w:r>
      <w:r w:rsidR="002935D8" w:rsidRPr="00E43135">
        <w:t>onsiderations</w:t>
      </w:r>
    </w:p>
    <w:p w14:paraId="52DB7317" w14:textId="77777777" w:rsidR="00A453C5" w:rsidRPr="00D04502" w:rsidRDefault="00A453C5" w:rsidP="00A453C5">
      <w:pPr>
        <w:pStyle w:val="F9-Paragraph"/>
        <w:ind w:left="851" w:hanging="851"/>
        <w:rPr>
          <w:rFonts w:eastAsia="Calibri"/>
        </w:rPr>
      </w:pPr>
      <w:r w:rsidRPr="00D04502">
        <w:rPr>
          <w:rFonts w:eastAsia="Calibri"/>
        </w:rPr>
        <w:t>The Inspector should be aware that, when the design approaches site specific consideration, the forward actions or commitments should be addressed in a more developed or detailed design phase. Such site-specific aspects could include:</w:t>
      </w:r>
    </w:p>
    <w:p w14:paraId="47DB11FF" w14:textId="77777777" w:rsidR="00A453C5" w:rsidRPr="00D04502" w:rsidRDefault="00A453C5" w:rsidP="00A453C5">
      <w:pPr>
        <w:pStyle w:val="Bulletlist1"/>
        <w:ind w:left="1418" w:hanging="357"/>
      </w:pPr>
      <w:r w:rsidRPr="00D04502">
        <w:t>water-tightness claims made on joints or membranes, waterstops or other ‘site specific’ or construction related design details,</w:t>
      </w:r>
    </w:p>
    <w:p w14:paraId="3A4E38E8" w14:textId="77777777" w:rsidR="00A453C5" w:rsidRPr="00D04502" w:rsidRDefault="00A453C5" w:rsidP="00A453C5">
      <w:pPr>
        <w:pStyle w:val="Bulletlist1"/>
        <w:ind w:left="1418" w:hanging="357"/>
      </w:pPr>
      <w:r w:rsidRPr="00D04502">
        <w:t>shrinkage and early age crack control on site,</w:t>
      </w:r>
    </w:p>
    <w:p w14:paraId="65E9EAE1" w14:textId="77777777" w:rsidR="00A453C5" w:rsidRPr="00D04502" w:rsidRDefault="00A453C5" w:rsidP="00A453C5">
      <w:pPr>
        <w:pStyle w:val="Bulletlist1"/>
        <w:ind w:left="1418" w:hanging="357"/>
      </w:pPr>
      <w:r w:rsidRPr="00D04502">
        <w:t>ground investigation results, including heave or uplift,</w:t>
      </w:r>
    </w:p>
    <w:p w14:paraId="59E4A855" w14:textId="77777777" w:rsidR="00A453C5" w:rsidRPr="00D04502" w:rsidRDefault="00A453C5" w:rsidP="00A453C5">
      <w:pPr>
        <w:pStyle w:val="Bulletlist1"/>
        <w:ind w:left="1418" w:hanging="357"/>
      </w:pPr>
      <w:r w:rsidRPr="00D04502">
        <w:t>settlement limits imposed by other disciplines,</w:t>
      </w:r>
    </w:p>
    <w:p w14:paraId="341AA29E" w14:textId="77777777" w:rsidR="00A453C5" w:rsidRPr="00D04502" w:rsidRDefault="00A453C5" w:rsidP="00A453C5">
      <w:pPr>
        <w:pStyle w:val="Bulletlist1"/>
        <w:ind w:left="1418" w:hanging="357"/>
      </w:pPr>
      <w:r w:rsidRPr="00D04502">
        <w:lastRenderedPageBreak/>
        <w:t>construction sequences to minimise edge restraint cracking,</w:t>
      </w:r>
    </w:p>
    <w:p w14:paraId="7CDD43CA" w14:textId="77777777" w:rsidR="00A453C5" w:rsidRPr="00D04502" w:rsidRDefault="00A453C5" w:rsidP="00A453C5">
      <w:pPr>
        <w:pStyle w:val="Bulletlist1"/>
        <w:ind w:left="1418" w:hanging="357"/>
      </w:pPr>
      <w:r w:rsidRPr="00D04502">
        <w:t>access requirements to facilitate construction stages and methodology.</w:t>
      </w:r>
    </w:p>
    <w:p w14:paraId="2A00C93B" w14:textId="77777777" w:rsidR="000C263E" w:rsidRPr="00D04502" w:rsidRDefault="000C263E" w:rsidP="00E43135">
      <w:pPr>
        <w:pStyle w:val="Heading3"/>
      </w:pPr>
      <w:r w:rsidRPr="00D04502">
        <w:t>Buildability</w:t>
      </w:r>
    </w:p>
    <w:p w14:paraId="278DB544" w14:textId="52ECB445" w:rsidR="004635EA" w:rsidRPr="00D04502" w:rsidRDefault="004635EA" w:rsidP="00CA63D3">
      <w:pPr>
        <w:pStyle w:val="F9-Paragraph"/>
        <w:ind w:left="851" w:hanging="851"/>
        <w:rPr>
          <w:rFonts w:eastAsia="Calibri"/>
        </w:rPr>
      </w:pPr>
      <w:r w:rsidRPr="00D04502">
        <w:t xml:space="preserve">The Inspector may refer to Designers’ Risk Assessments, prepared under </w:t>
      </w:r>
      <w:r w:rsidR="00E43135">
        <w:t>T</w:t>
      </w:r>
      <w:r w:rsidRPr="00D04502">
        <w:t>he Construction (Design and Management) Regulations</w:t>
      </w:r>
      <w:r w:rsidR="00E43135">
        <w:t xml:space="preserve"> 2015 (CDM2015)</w:t>
      </w:r>
      <w:r w:rsidRPr="00D04502">
        <w:t xml:space="preserve">, to confirm which risks have been identified and eliminated or mitigated through design. The Inspector </w:t>
      </w:r>
      <w:r w:rsidR="00EE57A3" w:rsidRPr="00D04502">
        <w:t xml:space="preserve">may wish to consider </w:t>
      </w:r>
      <w:r w:rsidRPr="00D04502">
        <w:t>that these assessments are suitably developed, align with the design stage and philosophy, and adequately address site-specific considerations. The expectations of SAP ECE.25 and ECE.18 regarding constructability and construction inspection should be kept in mind.</w:t>
      </w:r>
    </w:p>
    <w:p w14:paraId="026FC447" w14:textId="77777777" w:rsidR="004635EA" w:rsidRPr="00D04502" w:rsidRDefault="004635EA" w:rsidP="001D6432">
      <w:pPr>
        <w:pStyle w:val="F9-Paragraph"/>
        <w:ind w:left="851" w:hanging="851"/>
      </w:pPr>
      <w:r w:rsidRPr="00D04502">
        <w:t>Also, for sub-surface structures, the Inspector may wish to consider the buildability of connections to other buildings and overlying or interlaced structure, which might result in complex design details.</w:t>
      </w:r>
    </w:p>
    <w:p w14:paraId="14C991B7" w14:textId="77777777" w:rsidR="004635EA" w:rsidRPr="00D04502" w:rsidRDefault="004635EA" w:rsidP="001D6432">
      <w:pPr>
        <w:pStyle w:val="F9-Paragraph"/>
        <w:ind w:left="851" w:hanging="851"/>
      </w:pPr>
      <w:r w:rsidRPr="00D04502">
        <w:t>The Inspector should be aware that foundation selection and design for sub-surface structures is often based on many variable factors, and that there is a choice of forms of construction that can be adopted to overcome particular issues encountered on site to achieve the same end.</w:t>
      </w:r>
    </w:p>
    <w:p w14:paraId="13E7DC9F" w14:textId="766B1501" w:rsidR="004635EA" w:rsidRPr="00D04502" w:rsidRDefault="001D6432" w:rsidP="00B32C64">
      <w:pPr>
        <w:pStyle w:val="F9-Paragraph"/>
        <w:ind w:left="851" w:hanging="851"/>
      </w:pPr>
      <w:r w:rsidRPr="00D04502">
        <w:rPr>
          <w:rFonts w:eastAsia="Calibri"/>
        </w:rPr>
        <w:t xml:space="preserve">If suitable operational testing, inspection and surveillance procedures exist, the Inspector </w:t>
      </w:r>
      <w:r w:rsidR="00B32C64" w:rsidRPr="00D04502">
        <w:t xml:space="preserve">may wish to consider </w:t>
      </w:r>
      <w:r w:rsidRPr="00D04502">
        <w:rPr>
          <w:rFonts w:eastAsia="Calibri"/>
        </w:rPr>
        <w:t>whether these are adequate, coordinated with ONR human factors and health and safety inspectors, validated for their classification, and correctly included in the EIMT schedule in accordance with LC28 and SAP ECE.20.</w:t>
      </w:r>
    </w:p>
    <w:p w14:paraId="08D7154D" w14:textId="3BB30C33" w:rsidR="00EA5B50" w:rsidRPr="00D04502" w:rsidRDefault="00EA5B50" w:rsidP="00EA5B50">
      <w:pPr>
        <w:pStyle w:val="Heading2"/>
        <w:ind w:left="851" w:hanging="851"/>
      </w:pPr>
      <w:r w:rsidRPr="00D04502">
        <w:t xml:space="preserve">Foundations and </w:t>
      </w:r>
      <w:r w:rsidR="00E43135">
        <w:t>s</w:t>
      </w:r>
      <w:r w:rsidRPr="00D04502">
        <w:t xml:space="preserve">ub-structure </w:t>
      </w:r>
      <w:r w:rsidR="00E43135">
        <w:t>c</w:t>
      </w:r>
      <w:r w:rsidRPr="00D04502">
        <w:t>onstruction</w:t>
      </w:r>
    </w:p>
    <w:p w14:paraId="33E54A80" w14:textId="77777777" w:rsidR="00EF31DC" w:rsidRPr="00D04502" w:rsidRDefault="00EF31DC" w:rsidP="00EF31DC">
      <w:pPr>
        <w:pStyle w:val="F9-Paragraph"/>
        <w:ind w:left="851" w:hanging="851"/>
        <w:rPr>
          <w:rFonts w:eastAsia="Calibri"/>
        </w:rPr>
      </w:pPr>
      <w:r w:rsidRPr="00D04502">
        <w:rPr>
          <w:rFonts w:eastAsia="Calibri"/>
        </w:rPr>
        <w:t>The following key sub sections present principles that apply to the majority of earthworks and construction activities for foundations and sub-surface structures.</w:t>
      </w:r>
    </w:p>
    <w:p w14:paraId="304CEC96" w14:textId="44745166" w:rsidR="000C263E" w:rsidRPr="00D04502" w:rsidRDefault="000C263E" w:rsidP="00E43135">
      <w:pPr>
        <w:pStyle w:val="Heading3"/>
      </w:pPr>
      <w:r w:rsidRPr="00D04502">
        <w:t xml:space="preserve">Other </w:t>
      </w:r>
      <w:r w:rsidR="00E43135">
        <w:t>r</w:t>
      </w:r>
      <w:r w:rsidRPr="00D04502">
        <w:t xml:space="preserve">egulatory </w:t>
      </w:r>
      <w:r w:rsidR="00E43135">
        <w:t>i</w:t>
      </w:r>
      <w:r w:rsidR="002975D0" w:rsidRPr="00D04502">
        <w:t xml:space="preserve">nterest in </w:t>
      </w:r>
      <w:r w:rsidR="00E43135">
        <w:t>e</w:t>
      </w:r>
      <w:r w:rsidR="002975D0" w:rsidRPr="00D04502">
        <w:t xml:space="preserve">arly </w:t>
      </w:r>
      <w:r w:rsidR="00E43135">
        <w:t>c</w:t>
      </w:r>
      <w:r w:rsidR="002975D0" w:rsidRPr="00D04502">
        <w:t>onstruction</w:t>
      </w:r>
      <w:r w:rsidR="004948D2" w:rsidRPr="00D04502">
        <w:t xml:space="preserve"> and </w:t>
      </w:r>
      <w:r w:rsidR="00E43135">
        <w:t>g</w:t>
      </w:r>
      <w:r w:rsidR="00AC0AFA" w:rsidRPr="00D04502">
        <w:t xml:space="preserve">round </w:t>
      </w:r>
      <w:r w:rsidR="00E43135">
        <w:t>i</w:t>
      </w:r>
      <w:r w:rsidR="00AC0AFA" w:rsidRPr="00D04502">
        <w:t>nvestigation</w:t>
      </w:r>
    </w:p>
    <w:p w14:paraId="452874EE" w14:textId="6031F8B8" w:rsidR="000552F2" w:rsidRPr="00D04502" w:rsidRDefault="000552F2" w:rsidP="00F73844">
      <w:pPr>
        <w:pStyle w:val="F9-Paragraph"/>
        <w:ind w:left="851" w:hanging="851"/>
        <w:rPr>
          <w:rFonts w:eastAsia="Calibri"/>
        </w:rPr>
      </w:pPr>
      <w:r w:rsidRPr="00D04502">
        <w:rPr>
          <w:rFonts w:eastAsia="Calibri"/>
        </w:rPr>
        <w:t xml:space="preserve">The Inspector should note that early earthworks may face restrictions until a Development Consent Order (DCO) is approved. There may also be interactions with other regulators, such as the Planning Inspectorate and relevant environmental authorities, for activities beyond the licenced site’s boundaries. The Inspector </w:t>
      </w:r>
      <w:r w:rsidR="00F73844" w:rsidRPr="00D04502">
        <w:t>may wish to consider</w:t>
      </w:r>
      <w:r w:rsidRPr="00D04502">
        <w:rPr>
          <w:rFonts w:eastAsia="Calibri"/>
        </w:rPr>
        <w:t xml:space="preserve"> which DCO, planning, or environmental restrictions apply and whether any could affect early earthworks important to nuclear safety.</w:t>
      </w:r>
    </w:p>
    <w:p w14:paraId="5E045A5E" w14:textId="710047E4" w:rsidR="00FD751A" w:rsidRPr="00D04502" w:rsidRDefault="00FD751A" w:rsidP="00E43135">
      <w:pPr>
        <w:pStyle w:val="Heading3"/>
      </w:pPr>
      <w:r w:rsidRPr="00D04502">
        <w:t xml:space="preserve">Construction </w:t>
      </w:r>
      <w:r w:rsidR="00E43135">
        <w:t>m</w:t>
      </w:r>
      <w:r w:rsidRPr="00D04502">
        <w:t>anagement</w:t>
      </w:r>
    </w:p>
    <w:p w14:paraId="4B19DCF3" w14:textId="1470F520" w:rsidR="008367C9" w:rsidRPr="00D04502" w:rsidRDefault="008367C9" w:rsidP="00007A7B">
      <w:pPr>
        <w:pStyle w:val="F9-Paragraph"/>
        <w:ind w:left="851" w:hanging="851"/>
        <w:rPr>
          <w:rFonts w:eastAsia="Calibri"/>
        </w:rPr>
      </w:pPr>
      <w:r w:rsidRPr="00D04502">
        <w:t xml:space="preserve">The Inspector may wish to confirm that earthworks processes are </w:t>
      </w:r>
      <w:r w:rsidR="00007A7B" w:rsidRPr="00D04502">
        <w:t xml:space="preserve">adequate </w:t>
      </w:r>
      <w:r w:rsidRPr="00D04502">
        <w:t>and align with the requirements in the works information or contract specification, and that these documents reflect the original design intent.</w:t>
      </w:r>
    </w:p>
    <w:p w14:paraId="3A3E4639" w14:textId="4C62E88B" w:rsidR="008367C9" w:rsidRPr="00D04502" w:rsidRDefault="00007A7B" w:rsidP="00FA272D">
      <w:pPr>
        <w:pStyle w:val="F9-Paragraph"/>
        <w:ind w:left="851" w:hanging="851"/>
      </w:pPr>
      <w:r w:rsidRPr="00D04502">
        <w:lastRenderedPageBreak/>
        <w:t xml:space="preserve">The Inspector may wish to ensure the SQEP competence of those responsible for Structural Design Method Statements or similar documentation, which detail the work, associated risks and processes. </w:t>
      </w:r>
      <w:r w:rsidR="00FA272D" w:rsidRPr="00D04502">
        <w:t>Detailed</w:t>
      </w:r>
      <w:r w:rsidRPr="00D04502">
        <w:t xml:space="preserve"> site construction method statements help the Inspector confirm that the design philosophy and temporary works management align with the original intent and are effectively communicated to construction teams.</w:t>
      </w:r>
    </w:p>
    <w:p w14:paraId="0218BA6C" w14:textId="2E3C31A8" w:rsidR="008367C9" w:rsidRPr="00D04502" w:rsidRDefault="00FA272D" w:rsidP="001C25E9">
      <w:pPr>
        <w:pStyle w:val="F9-Paragraph"/>
        <w:ind w:left="851" w:hanging="851"/>
      </w:pPr>
      <w:r w:rsidRPr="00D04502">
        <w:t xml:space="preserve">The Inspector </w:t>
      </w:r>
      <w:r w:rsidR="001C25E9" w:rsidRPr="00D04502">
        <w:t xml:space="preserve">may seek assurance </w:t>
      </w:r>
      <w:r w:rsidRPr="00D04502">
        <w:t xml:space="preserve">that the dutyholder’s surveillance and technical teams are competent to oversee and manage works carried out by the supply chain. This includes identifying those fulfilling the roles of </w:t>
      </w:r>
      <w:r w:rsidR="008458E2">
        <w:t>the DA and IC</w:t>
      </w:r>
      <w:r w:rsidRPr="00D04502">
        <w:t>, as well as those responsible for final acceptance of completed works. The Inspector should also ensure that responsibilities for design decisions, justifications, and adherence to the original design intent are clear, with all roles and responsibilities documented and understood by all parties.</w:t>
      </w:r>
    </w:p>
    <w:p w14:paraId="6CA60801" w14:textId="77777777" w:rsidR="008367C9" w:rsidRPr="00D04502" w:rsidRDefault="008367C9" w:rsidP="00A77E21">
      <w:pPr>
        <w:pStyle w:val="F9-Paragraph"/>
        <w:ind w:left="851" w:hanging="851"/>
      </w:pPr>
      <w:r w:rsidRPr="00D04502">
        <w:t>Expectations for the management and monitoring of earthworks and groundwater are established by SAPs ECE.8, ECE.10, ECE.18 and ECE.20.</w:t>
      </w:r>
    </w:p>
    <w:p w14:paraId="388DEE0A" w14:textId="31D5F48B" w:rsidR="008367C9" w:rsidRPr="00D04502" w:rsidRDefault="008367C9" w:rsidP="00A77E21">
      <w:pPr>
        <w:pStyle w:val="F9-Paragraph"/>
        <w:ind w:left="851" w:hanging="851"/>
      </w:pPr>
      <w:r w:rsidRPr="00D04502">
        <w:t xml:space="preserve">For more detail on other key principles of construction management, </w:t>
      </w:r>
      <w:r w:rsidR="008458E2">
        <w:t xml:space="preserve">refer to Annex 4 of TAG 17 </w:t>
      </w:r>
      <w:sdt>
        <w:sdtPr>
          <w:id w:val="-399986064"/>
          <w:citation/>
        </w:sdtPr>
        <w:sdtContent>
          <w:r w:rsidR="008458E2">
            <w:fldChar w:fldCharType="begin"/>
          </w:r>
          <w:r w:rsidR="008458E2">
            <w:instrText xml:space="preserve"> CITATION ONR162 \l 2057 </w:instrText>
          </w:r>
          <w:r w:rsidR="008458E2">
            <w:fldChar w:fldCharType="separate"/>
          </w:r>
          <w:r w:rsidR="00401277">
            <w:rPr>
              <w:noProof/>
            </w:rPr>
            <w:t>[6]</w:t>
          </w:r>
          <w:r w:rsidR="008458E2">
            <w:fldChar w:fldCharType="end"/>
          </w:r>
        </w:sdtContent>
      </w:sdt>
      <w:r w:rsidR="008458E2">
        <w:t>.</w:t>
      </w:r>
    </w:p>
    <w:p w14:paraId="053477F8" w14:textId="1503F6ED" w:rsidR="00E82739" w:rsidRPr="00D04502" w:rsidRDefault="00E82739" w:rsidP="001A599F">
      <w:pPr>
        <w:pStyle w:val="Heading2"/>
        <w:ind w:left="851" w:hanging="851"/>
      </w:pPr>
      <w:r w:rsidRPr="00D04502">
        <w:t xml:space="preserve">Early </w:t>
      </w:r>
      <w:r w:rsidR="008458E2">
        <w:t>w</w:t>
      </w:r>
      <w:r w:rsidRPr="00D04502">
        <w:t xml:space="preserve">orks </w:t>
      </w:r>
      <w:r w:rsidR="008458E2">
        <w:t>d</w:t>
      </w:r>
      <w:r w:rsidRPr="00D04502">
        <w:t xml:space="preserve">utyholder </w:t>
      </w:r>
      <w:r w:rsidR="008458E2">
        <w:t>ov</w:t>
      </w:r>
      <w:r w:rsidRPr="00D04502">
        <w:t>ersight</w:t>
      </w:r>
    </w:p>
    <w:p w14:paraId="774A4BD2" w14:textId="781BD0EE" w:rsidR="007C2044" w:rsidRPr="00D04502" w:rsidRDefault="00FF1790" w:rsidP="00297855">
      <w:pPr>
        <w:pStyle w:val="F9-Paragraph"/>
        <w:ind w:left="851" w:hanging="851"/>
      </w:pPr>
      <w:r w:rsidRPr="00D04502">
        <w:t xml:space="preserve">MS.2 relate to capable organisation </w:t>
      </w:r>
      <w:r w:rsidR="00BD6697" w:rsidRPr="00D04502">
        <w:t xml:space="preserve">and </w:t>
      </w:r>
      <w:r w:rsidR="00297855" w:rsidRPr="00D04502">
        <w:t>requires an ‘intelligent customer’ capability to be maintained to ensure that the use of contractors in any part of the organisation does not adversely affect its ability to manage safety.</w:t>
      </w:r>
    </w:p>
    <w:p w14:paraId="31C16C2A" w14:textId="4129AFCE" w:rsidR="00C0163D" w:rsidRPr="00D04502" w:rsidRDefault="00C0163D" w:rsidP="006D5A3A">
      <w:pPr>
        <w:pStyle w:val="F9-Paragraph"/>
        <w:ind w:left="851" w:hanging="851"/>
      </w:pPr>
      <w:r w:rsidRPr="00D04502">
        <w:t>The Inspector should expect the dutyholder to have arrangements for checking, independent verification, oversight and validation of works, suited to the novelty and classification of the project. These</w:t>
      </w:r>
      <w:r w:rsidR="006D5A3A" w:rsidRPr="00D04502">
        <w:t xml:space="preserve"> arrangements need to </w:t>
      </w:r>
      <w:r w:rsidRPr="00D04502">
        <w:t>cover the entire supply chain and include audits appropriate to the structure’s classification, applied throughout design, construction and operation.</w:t>
      </w:r>
    </w:p>
    <w:p w14:paraId="645F424D" w14:textId="04DF780D" w:rsidR="00C0163D" w:rsidRPr="00D04502" w:rsidRDefault="006D5A3A" w:rsidP="005D350F">
      <w:pPr>
        <w:pStyle w:val="F9-Paragraph"/>
        <w:ind w:left="851" w:hanging="851"/>
      </w:pPr>
      <w:r w:rsidRPr="00D04502">
        <w:t xml:space="preserve">The Inspector should recognise that the </w:t>
      </w:r>
      <w:r w:rsidR="008458E2">
        <w:t>DA and IC</w:t>
      </w:r>
      <w:r w:rsidRPr="00D04502">
        <w:t xml:space="preserve"> functions are crucial in specifying procedures to ensure the original design intent, considerations and assumptions are maintained within site processes and contract specifications. As these roles may not be permanently based on site during early earthworks, the Inspector should identify who is responsible for communicating site matters to relevant personnel in other departments.</w:t>
      </w:r>
    </w:p>
    <w:p w14:paraId="357F62E8" w14:textId="01FBF5E6" w:rsidR="00C0163D" w:rsidRPr="00D04502" w:rsidRDefault="00C0163D" w:rsidP="005D350F">
      <w:pPr>
        <w:pStyle w:val="F9-Paragraph"/>
        <w:ind w:left="851" w:hanging="851"/>
      </w:pPr>
      <w:r w:rsidRPr="00D04502">
        <w:t xml:space="preserve">The earthworks are often undertaken by specialist earthworks contractors, so the Inspector should be aware of the contractual arrangements regarding risk allocation, alongside understanding who is undertaking the </w:t>
      </w:r>
      <w:r w:rsidR="008458E2">
        <w:t>IC</w:t>
      </w:r>
      <w:r w:rsidRPr="00D04502">
        <w:t xml:space="preserve"> function from the dutyholder regarding the contract, specification(s) and acceptance of works as complete.</w:t>
      </w:r>
    </w:p>
    <w:p w14:paraId="1B0A6E61" w14:textId="77777777" w:rsidR="008458E2" w:rsidRDefault="008458E2" w:rsidP="00DE0702">
      <w:pPr>
        <w:pStyle w:val="F9-Paragraph"/>
        <w:ind w:left="851" w:hanging="851"/>
        <w:sectPr w:rsidR="008458E2">
          <w:pgSz w:w="11906" w:h="16838"/>
          <w:pgMar w:top="1440" w:right="1440" w:bottom="1440" w:left="1440" w:header="708" w:footer="708" w:gutter="0"/>
          <w:cols w:space="708"/>
          <w:docGrid w:linePitch="360"/>
        </w:sectPr>
      </w:pPr>
    </w:p>
    <w:p w14:paraId="73023D70" w14:textId="0E58B045" w:rsidR="00C0163D" w:rsidRPr="00D04502" w:rsidRDefault="00D832E7" w:rsidP="00DE0702">
      <w:pPr>
        <w:pStyle w:val="F9-Paragraph"/>
        <w:ind w:left="851" w:hanging="851"/>
      </w:pPr>
      <w:r w:rsidRPr="00D04502">
        <w:lastRenderedPageBreak/>
        <w:t xml:space="preserve">Since earthworks mark the initial phase of construction, site processes may be in their early stages and newly implemented. The Inspector may seek assurance that suitable arrangements exist for contractors to raise queries with the dutyholder about the design, and that all parties are clear on the procedures to follow if contract or specification requirements cannot be met. Additionally, the Inspector </w:t>
      </w:r>
      <w:r w:rsidR="00F83520" w:rsidRPr="00D04502">
        <w:t xml:space="preserve">may seek assurance of the adequacy of the </w:t>
      </w:r>
      <w:r w:rsidRPr="00D04502">
        <w:t>processes are in place for escalating site issues to the dutyholder and for the dutyholder’s response. Any change requests affecting nuclear safety must be formally managed through a change control process, categorised according to pre-remediation safety, and linked to the original design intent and contract or works requirements.</w:t>
      </w:r>
    </w:p>
    <w:p w14:paraId="37FBE5C1" w14:textId="743E83EC" w:rsidR="00C0163D" w:rsidRPr="00D04502" w:rsidRDefault="00DE0702" w:rsidP="00A405B9">
      <w:pPr>
        <w:pStyle w:val="F9-Paragraph"/>
        <w:ind w:left="851" w:hanging="851"/>
      </w:pPr>
      <w:r w:rsidRPr="00D04502">
        <w:t xml:space="preserve">During early earthworks, oversight processes </w:t>
      </w:r>
      <w:r w:rsidR="00154731" w:rsidRPr="00D04502">
        <w:t xml:space="preserve">and procedures </w:t>
      </w:r>
      <w:r w:rsidRPr="00D04502">
        <w:t xml:space="preserve">may be in their infancy, so the Inspector should understand the extent of dutyholder oversight on nuclear safety significant works. As the project advances, the Inspector should monitor how oversight arrangements develop and assess how the dutyholder influences and maintains quality. It is important that the Inspector ensures early oversight levels match the safety significance of the earthworks and recognises that the dutyholder must not rely solely on contractor supervision but must provide their own oversight in line with </w:t>
      </w:r>
      <w:r w:rsidR="008458E2">
        <w:t>DA and IC</w:t>
      </w:r>
      <w:r w:rsidR="008458E2" w:rsidRPr="00D04502">
        <w:t xml:space="preserve"> </w:t>
      </w:r>
      <w:r w:rsidRPr="00D04502">
        <w:t>requirements. Oversight should always be proportionate to the level of hazard or nuclear safety significance involved. While there may be reasons to increase oversight, reductions should only occur with clear justification.</w:t>
      </w:r>
    </w:p>
    <w:p w14:paraId="55A9DE86" w14:textId="5CA6AA72" w:rsidR="00C0163D" w:rsidRPr="00D04502" w:rsidRDefault="00A405B9" w:rsidP="00E1609E">
      <w:pPr>
        <w:pStyle w:val="F9-Paragraph"/>
        <w:ind w:left="851" w:hanging="851"/>
      </w:pPr>
      <w:r w:rsidRPr="00D04502">
        <w:t xml:space="preserve">The Inspector should note that the dutyholder, via the </w:t>
      </w:r>
      <w:r w:rsidR="008458E2">
        <w:t>IC</w:t>
      </w:r>
      <w:r w:rsidRPr="00D04502">
        <w:t xml:space="preserve"> function, is responsible for ensuring contractors undertaking early works are competent. This includes verifying qualifications, training, experience, and assessing communication skills, decision-making, and ability to challenge, taking into account possible language differences on site. The Inspector may seek assurance that these aspects are effectively managed by the dutyholder.</w:t>
      </w:r>
    </w:p>
    <w:p w14:paraId="70CAAA78" w14:textId="16F3E7A2" w:rsidR="00C0163D" w:rsidRPr="00D04502" w:rsidRDefault="00E1609E" w:rsidP="00CB6B22">
      <w:pPr>
        <w:pStyle w:val="F9-Paragraph"/>
        <w:ind w:left="851" w:hanging="851"/>
      </w:pPr>
      <w:r w:rsidRPr="00D04502">
        <w:t xml:space="preserve">The Inspector </w:t>
      </w:r>
      <w:r w:rsidR="00CB6B22" w:rsidRPr="00D04502">
        <w:t xml:space="preserve">may wish to confirm </w:t>
      </w:r>
      <w:r w:rsidRPr="00D04502">
        <w:t>if clear, agreed procedures exist for managing foreseeable but unexpected events during earthworks, such as encountering hard or soft spots. These procedures should outline how the contractor should respond, leveraging their expertise while maintaining specified dutyholder oversight.</w:t>
      </w:r>
    </w:p>
    <w:p w14:paraId="29FABE19" w14:textId="77777777" w:rsidR="00C0163D" w:rsidRPr="00D04502" w:rsidRDefault="00C0163D" w:rsidP="00CB6B22">
      <w:pPr>
        <w:pStyle w:val="F9-Paragraph"/>
        <w:ind w:left="851" w:hanging="851"/>
      </w:pPr>
      <w:r w:rsidRPr="00D04502">
        <w:t>The inspector should also be aware of the interfaces between different contractors on site and understand the arrangements the dutyholder has in place to manage these.  In some cases, it is useful for the inspector to understand the nature of the contractual arrangements as these can, if not well administered, drive perverse behaviours.</w:t>
      </w:r>
    </w:p>
    <w:p w14:paraId="135B8C58" w14:textId="0CDA6C3F" w:rsidR="00C0163D" w:rsidRPr="00D04502" w:rsidRDefault="00C0163D" w:rsidP="00F46069">
      <w:pPr>
        <w:pStyle w:val="F9-Paragraph"/>
        <w:ind w:left="851" w:hanging="851"/>
      </w:pPr>
      <w:r w:rsidRPr="00D04502">
        <w:t xml:space="preserve">For more on the civil engineering principles for considerations of the </w:t>
      </w:r>
      <w:r w:rsidR="008458E2">
        <w:t>DA</w:t>
      </w:r>
      <w:r w:rsidRPr="00D04502">
        <w:t xml:space="preserve"> role and </w:t>
      </w:r>
      <w:r w:rsidR="008458E2">
        <w:t>IC</w:t>
      </w:r>
      <w:r w:rsidRPr="00D04502">
        <w:t xml:space="preserve"> functions, </w:t>
      </w:r>
      <w:r w:rsidR="008458E2">
        <w:t xml:space="preserve">refer to Annexes 1 and 4 of TAG 17 </w:t>
      </w:r>
      <w:sdt>
        <w:sdtPr>
          <w:id w:val="-840932079"/>
          <w:citation/>
        </w:sdtPr>
        <w:sdtContent>
          <w:r w:rsidR="008458E2">
            <w:fldChar w:fldCharType="begin"/>
          </w:r>
          <w:r w:rsidR="008458E2">
            <w:instrText xml:space="preserve"> CITATION ONR161 \l 2057  \m ONR162</w:instrText>
          </w:r>
          <w:r w:rsidR="008458E2">
            <w:fldChar w:fldCharType="separate"/>
          </w:r>
          <w:r w:rsidR="00401277">
            <w:rPr>
              <w:noProof/>
            </w:rPr>
            <w:t>[5, 6]</w:t>
          </w:r>
          <w:r w:rsidR="008458E2">
            <w:fldChar w:fldCharType="end"/>
          </w:r>
        </w:sdtContent>
      </w:sdt>
      <w:r w:rsidR="008458E2">
        <w:t>.</w:t>
      </w:r>
    </w:p>
    <w:p w14:paraId="41D16CDA" w14:textId="77777777" w:rsidR="008458E2" w:rsidRDefault="008458E2" w:rsidP="00F46069">
      <w:pPr>
        <w:pStyle w:val="F9-Paragraph"/>
        <w:ind w:left="851" w:hanging="851"/>
        <w:sectPr w:rsidR="008458E2">
          <w:pgSz w:w="11906" w:h="16838"/>
          <w:pgMar w:top="1440" w:right="1440" w:bottom="1440" w:left="1440" w:header="708" w:footer="708" w:gutter="0"/>
          <w:cols w:space="708"/>
          <w:docGrid w:linePitch="360"/>
        </w:sectPr>
      </w:pPr>
    </w:p>
    <w:p w14:paraId="25B603ED" w14:textId="2583E0F2" w:rsidR="00C0163D" w:rsidRPr="00D04502" w:rsidRDefault="00C0163D" w:rsidP="00F46069">
      <w:pPr>
        <w:pStyle w:val="F9-Paragraph"/>
        <w:ind w:left="851" w:hanging="851"/>
      </w:pPr>
      <w:r w:rsidRPr="00D04502">
        <w:lastRenderedPageBreak/>
        <w:t xml:space="preserve">For more on the wider ONR guidance of the </w:t>
      </w:r>
      <w:r w:rsidR="008458E2">
        <w:t>DA</w:t>
      </w:r>
      <w:r w:rsidRPr="00D04502">
        <w:t xml:space="preserve"> role and </w:t>
      </w:r>
      <w:r w:rsidR="008458E2">
        <w:t xml:space="preserve">IC </w:t>
      </w:r>
      <w:r w:rsidRPr="00D04502">
        <w:t xml:space="preserve">functions, </w:t>
      </w:r>
      <w:r w:rsidR="008458E2">
        <w:t>refer to</w:t>
      </w:r>
      <w:r w:rsidRPr="00D04502">
        <w:t>:</w:t>
      </w:r>
    </w:p>
    <w:p w14:paraId="3D7497B5" w14:textId="50A1C589" w:rsidR="008458E2" w:rsidRPr="00D04502" w:rsidRDefault="008458E2" w:rsidP="008458E2">
      <w:pPr>
        <w:pStyle w:val="Bulletlist1"/>
        <w:ind w:left="1418" w:hanging="357"/>
      </w:pPr>
      <w:r w:rsidRPr="00D04502">
        <w:t>NS-TAST-GD-049 ‘Licensee Core Safety and Intelligent Customer Capabilities’</w:t>
      </w:r>
      <w:r>
        <w:t xml:space="preserve"> </w:t>
      </w:r>
      <w:sdt>
        <w:sdtPr>
          <w:id w:val="-1373991561"/>
          <w:citation/>
        </w:sdtPr>
        <w:sdtContent>
          <w:r>
            <w:fldChar w:fldCharType="begin"/>
          </w:r>
          <w:r>
            <w:instrText xml:space="preserve"> CITATION ONR143 \l 2057 </w:instrText>
          </w:r>
          <w:r>
            <w:fldChar w:fldCharType="separate"/>
          </w:r>
          <w:r w:rsidR="00401277" w:rsidRPr="00401277">
            <w:t>[15]</w:t>
          </w:r>
          <w:r>
            <w:fldChar w:fldCharType="end"/>
          </w:r>
        </w:sdtContent>
      </w:sdt>
    </w:p>
    <w:p w14:paraId="52C15DDC" w14:textId="3D9550DB" w:rsidR="00C0163D" w:rsidRPr="00D04502" w:rsidRDefault="00C0163D" w:rsidP="00F46069">
      <w:pPr>
        <w:pStyle w:val="Bulletlist1"/>
        <w:ind w:left="1418" w:hanging="357"/>
      </w:pPr>
      <w:r w:rsidRPr="00D04502">
        <w:t>NS-TAST-GD-079 ‘Licensee Design Authority Capability’</w:t>
      </w:r>
      <w:r w:rsidR="008458E2">
        <w:t xml:space="preserve"> </w:t>
      </w:r>
      <w:sdt>
        <w:sdtPr>
          <w:id w:val="156278744"/>
          <w:citation/>
        </w:sdtPr>
        <w:sdtContent>
          <w:r w:rsidR="008458E2">
            <w:fldChar w:fldCharType="begin"/>
          </w:r>
          <w:r w:rsidR="008458E2">
            <w:instrText xml:space="preserve"> CITATION ONR102 \l 2057 </w:instrText>
          </w:r>
          <w:r w:rsidR="008458E2">
            <w:fldChar w:fldCharType="separate"/>
          </w:r>
          <w:r w:rsidR="00401277" w:rsidRPr="00401277">
            <w:t>[16]</w:t>
          </w:r>
          <w:r w:rsidR="008458E2">
            <w:fldChar w:fldCharType="end"/>
          </w:r>
        </w:sdtContent>
      </w:sdt>
    </w:p>
    <w:p w14:paraId="656726FC" w14:textId="04CD8037" w:rsidR="00C0163D" w:rsidRPr="00D04502" w:rsidRDefault="00C0163D" w:rsidP="00F46069">
      <w:pPr>
        <w:pStyle w:val="Bulletlist1"/>
        <w:ind w:left="1418" w:hanging="357"/>
      </w:pPr>
      <w:r w:rsidRPr="00D04502">
        <w:t>NS-TAST-GD-077 ‘Supply Chain Management Arrangements for the Procurement of Nuclear Safety Related Items or Services’</w:t>
      </w:r>
      <w:r w:rsidR="008458E2">
        <w:t xml:space="preserve"> </w:t>
      </w:r>
      <w:sdt>
        <w:sdtPr>
          <w:id w:val="-605801940"/>
          <w:citation/>
        </w:sdtPr>
        <w:sdtContent>
          <w:r w:rsidR="008458E2">
            <w:fldChar w:fldCharType="begin"/>
          </w:r>
          <w:r w:rsidR="008458E2">
            <w:instrText xml:space="preserve"> CITATION ONR76 \l 2057 </w:instrText>
          </w:r>
          <w:r w:rsidR="008458E2">
            <w:fldChar w:fldCharType="separate"/>
          </w:r>
          <w:r w:rsidR="00401277" w:rsidRPr="00401277">
            <w:t>[30]</w:t>
          </w:r>
          <w:r w:rsidR="008458E2">
            <w:fldChar w:fldCharType="end"/>
          </w:r>
        </w:sdtContent>
      </w:sdt>
    </w:p>
    <w:p w14:paraId="5E36A252" w14:textId="41541490" w:rsidR="00F204D0" w:rsidRPr="00D04502" w:rsidRDefault="00F204D0" w:rsidP="00E43135">
      <w:pPr>
        <w:pStyle w:val="Heading3"/>
      </w:pPr>
      <w:r w:rsidRPr="00D04502">
        <w:t xml:space="preserve">Earthworks, </w:t>
      </w:r>
      <w:r w:rsidR="008458E2">
        <w:t>ex</w:t>
      </w:r>
      <w:r w:rsidRPr="00D04502">
        <w:t xml:space="preserve">cavations and </w:t>
      </w:r>
      <w:r w:rsidR="008458E2">
        <w:t>s</w:t>
      </w:r>
      <w:r w:rsidRPr="00D04502">
        <w:t>lopes</w:t>
      </w:r>
    </w:p>
    <w:p w14:paraId="7DD9AD6C" w14:textId="47293450" w:rsidR="00C50C61" w:rsidRPr="00D04502" w:rsidRDefault="00C50C61" w:rsidP="00095703">
      <w:pPr>
        <w:pStyle w:val="F9-Paragraph"/>
        <w:ind w:left="851" w:hanging="851"/>
      </w:pPr>
      <w:r w:rsidRPr="00D04502">
        <w:t>Certain earthworks on site can affect the site's future nuclear safety and construction. The Inspector should identify which activities are nuclear safety significant and ensure arrangements are in place to manage their quality. Assurance should be sought that the safety case addresses site-specific, safety-related activities. For early construction, the Inspector should recognise where earthworks such as slope strengthening</w:t>
      </w:r>
      <w:r w:rsidR="004970D6" w:rsidRPr="00D04502">
        <w:t xml:space="preserve">, </w:t>
      </w:r>
      <w:r w:rsidRPr="00D04502">
        <w:t xml:space="preserve">retaining works </w:t>
      </w:r>
      <w:r w:rsidR="00305530" w:rsidRPr="00D04502">
        <w:t>and blinding layers for weathering protection</w:t>
      </w:r>
      <w:r w:rsidRPr="00D04502">
        <w:t xml:space="preserve"> are crucial to nuclear safety and where these are claimed in the safety case, including requirements like design life. The Inspector </w:t>
      </w:r>
      <w:r w:rsidR="00095703" w:rsidRPr="00D04502">
        <w:t>may seek to</w:t>
      </w:r>
      <w:r w:rsidRPr="00D04502">
        <w:t xml:space="preserve"> confirm that such claims are reflected in the project's scope, Works Information, or specifications, such as material quality. If slope stability is claimed, the Inspector </w:t>
      </w:r>
      <w:r w:rsidR="00095703" w:rsidRPr="00D04502">
        <w:t>may seek assurance of the</w:t>
      </w:r>
      <w:r w:rsidRPr="00D04502">
        <w:t xml:space="preserve"> adequacy of static monitoring systems for settlement and slope or excavation movement.</w:t>
      </w:r>
    </w:p>
    <w:p w14:paraId="22DF1554" w14:textId="3FB3527D" w:rsidR="00C50C61" w:rsidRPr="00D04502" w:rsidRDefault="00095703" w:rsidP="003C7CB1">
      <w:pPr>
        <w:pStyle w:val="F9-Paragraph"/>
        <w:ind w:left="851" w:hanging="851"/>
      </w:pPr>
      <w:r w:rsidRPr="00D04502">
        <w:t xml:space="preserve">During </w:t>
      </w:r>
      <w:r w:rsidR="003C7CB1" w:rsidRPr="00D04502">
        <w:t>early</w:t>
      </w:r>
      <w:r w:rsidRPr="00D04502">
        <w:t xml:space="preserve"> earthworks, trials and testing are carried out to assess ground conditions and how machinery interacts with them. These activities help demonstrate the suitability of construction equipment. The Inspector </w:t>
      </w:r>
      <w:r w:rsidR="003C7CB1" w:rsidRPr="00D04502">
        <w:t>could</w:t>
      </w:r>
      <w:r w:rsidRPr="00D04502">
        <w:t xml:space="preserve"> become familiar with these trials to confirm that earthworks will meet the required quality standards set out in the works information or contract specification. The Inspector may also wish to ensure that the acceptance criteria used in these trials and tests are sufficient to achieve the necessary quality.</w:t>
      </w:r>
    </w:p>
    <w:p w14:paraId="730EE1E0" w14:textId="5CBC5637" w:rsidR="00C50C61" w:rsidRPr="00D04502" w:rsidRDefault="00284B7B" w:rsidP="00E33078">
      <w:pPr>
        <w:pStyle w:val="F9-Paragraph"/>
        <w:ind w:left="851" w:hanging="851"/>
      </w:pPr>
      <w:r w:rsidRPr="00D04502">
        <w:t>When material is to be stockpiled for future use, the Inspector should consider its intended application and assess whether specific storage requirements are needed. The Inspector should be aware of the tests and acceptance criteria, as well as arrangements for conditioning material for reuse in nuclear safety significant activities. Specific geotechnical parameters—such as compaction, water content, and particle size—should be met for different backfill types. If the material on site does not meet these requirements, reconditioning may be suggested or material may be imported. The Inspector should ensure there are robust acceptance processes for both imported material and other supplied constituents, such as concrete, to confirm their compliance with the specification.</w:t>
      </w:r>
    </w:p>
    <w:p w14:paraId="5F800190" w14:textId="77777777" w:rsidR="008458E2" w:rsidRDefault="008458E2" w:rsidP="00E33078">
      <w:pPr>
        <w:pStyle w:val="F9-Paragraph"/>
        <w:ind w:left="851" w:hanging="851"/>
        <w:sectPr w:rsidR="008458E2">
          <w:pgSz w:w="11906" w:h="16838"/>
          <w:pgMar w:top="1440" w:right="1440" w:bottom="1440" w:left="1440" w:header="708" w:footer="708" w:gutter="0"/>
          <w:cols w:space="708"/>
          <w:docGrid w:linePitch="360"/>
        </w:sectPr>
      </w:pPr>
    </w:p>
    <w:p w14:paraId="1CFC328E" w14:textId="4098A5AE" w:rsidR="00C50C61" w:rsidRPr="00D04502" w:rsidRDefault="00E33078" w:rsidP="00E33078">
      <w:pPr>
        <w:pStyle w:val="F9-Paragraph"/>
        <w:ind w:left="851" w:hanging="851"/>
      </w:pPr>
      <w:r w:rsidRPr="00D04502">
        <w:lastRenderedPageBreak/>
        <w:t>The Inspector should be familiar with the arrangements for achieving formation levels and using ground stabilisation methods as required by the works information or contract. The</w:t>
      </w:r>
      <w:r w:rsidR="00511224" w:rsidRPr="00D04502">
        <w:t xml:space="preserve"> inspector</w:t>
      </w:r>
      <w:r w:rsidRPr="00D04502">
        <w:t xml:space="preserve"> should also recognise when ground anchors or soil nails are necessary and seek assurance that these will not adversely affect the permanent structure.</w:t>
      </w:r>
    </w:p>
    <w:p w14:paraId="122C45E2" w14:textId="65C6E1E2" w:rsidR="00C50C61" w:rsidRPr="00D04502" w:rsidRDefault="00511224" w:rsidP="00AB559F">
      <w:pPr>
        <w:pStyle w:val="F9-Paragraph"/>
        <w:ind w:left="851" w:hanging="851"/>
      </w:pPr>
      <w:r w:rsidRPr="00D04502">
        <w:t xml:space="preserve">The Inspector may wish to seek assurance that slope management arrangements are suitable and that slope steepness aligns with the Site Health and Safety Plan. For slopes with nuclear safety significance, the Inspector </w:t>
      </w:r>
      <w:r w:rsidR="00AB559F" w:rsidRPr="00D04502">
        <w:t xml:space="preserve">may wish to seek assurance that </w:t>
      </w:r>
      <w:r w:rsidRPr="00D04502">
        <w:t>their stability, identify whether they are matrix or designed slopes with wet or dry designs, and verify that design assumptions or requirements—such as slope angles, excavation lift heights, ground nailing or anchoring, and monitoring—are met during construction.</w:t>
      </w:r>
    </w:p>
    <w:p w14:paraId="4781AFD7" w14:textId="41138268" w:rsidR="00C50C61" w:rsidRPr="00D04502" w:rsidRDefault="00AB559F" w:rsidP="00AB559F">
      <w:pPr>
        <w:pStyle w:val="F9-Paragraph"/>
        <w:ind w:left="851" w:hanging="851"/>
      </w:pPr>
      <w:r w:rsidRPr="00D04502">
        <w:t>The Inspector may wish to seek assurance that effective arrangements exist for monitoring slope movement, that the dutyholder understands any significant movements detected, and that designers are kept informed. Insights gained from earth movements should be used to update and validate the ground model.</w:t>
      </w:r>
    </w:p>
    <w:p w14:paraId="5543A28C" w14:textId="077EC556" w:rsidR="00C50C61" w:rsidRPr="00D04502" w:rsidRDefault="00AB559F" w:rsidP="00E14301">
      <w:pPr>
        <w:pStyle w:val="F9-Paragraph"/>
        <w:ind w:left="851" w:hanging="851"/>
      </w:pPr>
      <w:r w:rsidRPr="00D04502">
        <w:t>The Inspector should note that contaminated soils uncovered during earthworks may pose handling and disposal issues, as outlined in the Site Health and Safety Plan. Upon identifying contamination, the Inspector should expect the site to consult with radioactive materials specialists and the relevant environment regulator.</w:t>
      </w:r>
    </w:p>
    <w:p w14:paraId="1EBFADBA" w14:textId="3867CD6D" w:rsidR="00C50C61" w:rsidRPr="00D04502" w:rsidRDefault="00E14301" w:rsidP="00E14301">
      <w:pPr>
        <w:pStyle w:val="F9-Paragraph"/>
        <w:ind w:left="851" w:hanging="851"/>
      </w:pPr>
      <w:r w:rsidRPr="00D04502">
        <w:t>The Inspector may wish to seek assurance that suitable arrangements exist for material movement on site, including any limitations such as storage space or vehicle access. For storage areas, the dutyholder should be aware of expected settlement and consolidation rates and address any risks related to soil creep.</w:t>
      </w:r>
    </w:p>
    <w:p w14:paraId="3A787C62" w14:textId="44361E88" w:rsidR="00C50C61" w:rsidRPr="00D04502" w:rsidRDefault="00E14301" w:rsidP="00564C5F">
      <w:pPr>
        <w:pStyle w:val="F9-Paragraph"/>
        <w:ind w:left="851" w:hanging="851"/>
      </w:pPr>
      <w:r w:rsidRPr="00D04502">
        <w:rPr>
          <w:rFonts w:eastAsia="Calibri"/>
        </w:rPr>
        <w:t>If ground improvement is required due to soft or unforeseen ground conditions, the Inspector should ensure the proposed methods can deliver the necessary properties specified in the design. The dutyholder should provide relevant testing or trial data to substantiate these claims. The Inspector</w:t>
      </w:r>
      <w:r w:rsidR="00EF2CBA" w:rsidRPr="00D04502">
        <w:t xml:space="preserve"> may wish seek assurance </w:t>
      </w:r>
      <w:r w:rsidR="000722C7" w:rsidRPr="00D04502">
        <w:t>that adequate</w:t>
      </w:r>
      <w:r w:rsidR="008D2DD2" w:rsidRPr="00D04502">
        <w:t xml:space="preserve"> </w:t>
      </w:r>
      <w:r w:rsidR="008D2DD2" w:rsidRPr="00D04502">
        <w:rPr>
          <w:rFonts w:eastAsia="Calibri"/>
        </w:rPr>
        <w:t>arrangements</w:t>
      </w:r>
      <w:r w:rsidRPr="00D04502">
        <w:rPr>
          <w:rFonts w:eastAsia="Calibri"/>
        </w:rPr>
        <w:t xml:space="preserve"> are in place for validating design properties and consider any factors—such as design life or maintenance—that might affect nuclear safety throughout the site's lifetime.</w:t>
      </w:r>
    </w:p>
    <w:p w14:paraId="7528608D" w14:textId="77777777" w:rsidR="008458E2" w:rsidRDefault="008458E2" w:rsidP="00E43135">
      <w:pPr>
        <w:pStyle w:val="Heading3"/>
        <w:sectPr w:rsidR="008458E2">
          <w:pgSz w:w="11906" w:h="16838"/>
          <w:pgMar w:top="1440" w:right="1440" w:bottom="1440" w:left="1440" w:header="708" w:footer="708" w:gutter="0"/>
          <w:cols w:space="708"/>
          <w:docGrid w:linePitch="360"/>
        </w:sectPr>
      </w:pPr>
    </w:p>
    <w:p w14:paraId="3FE368DA" w14:textId="531A0FCE" w:rsidR="00AF614C" w:rsidRPr="00D04502" w:rsidRDefault="003A23B3" w:rsidP="00E43135">
      <w:pPr>
        <w:pStyle w:val="Heading3"/>
      </w:pPr>
      <w:r w:rsidRPr="00D04502">
        <w:lastRenderedPageBreak/>
        <w:t xml:space="preserve">Groundwater </w:t>
      </w:r>
      <w:r w:rsidR="008458E2">
        <w:t>m</w:t>
      </w:r>
      <w:r w:rsidRPr="00D04502">
        <w:t>anagement</w:t>
      </w:r>
    </w:p>
    <w:p w14:paraId="7ABC9B9C" w14:textId="7ACBDBB8" w:rsidR="0019605F" w:rsidRPr="008458E2" w:rsidRDefault="00DC4996" w:rsidP="008458E2">
      <w:pPr>
        <w:pStyle w:val="F9-Paragraph"/>
        <w:ind w:left="851" w:hanging="851"/>
        <w:rPr>
          <w:rFonts w:eastAsia="Calibri"/>
        </w:rPr>
      </w:pPr>
      <w:r w:rsidRPr="00D04502">
        <w:rPr>
          <w:rFonts w:eastAsia="Calibri"/>
        </w:rPr>
        <w:t>Groundwater control measures are often implemented during deep excavations to maintain structural stability and prevent buoyancy issues. Passive systems, such as vertical wells connected to a collector that discharges off-site, are commonly used. However, these systems require effective EIMT to ensure reliable operation throughout their design life. Inspectors should note SAP EDR.1, which covers the reliability and inherent safety of civil engineering SSCs, and SAP ECE.10, which addresses groundwater management in civil engineering. For further details, refer to</w:t>
      </w:r>
      <w:r w:rsidR="008458E2">
        <w:rPr>
          <w:rFonts w:eastAsia="Calibri"/>
        </w:rPr>
        <w:t xml:space="preserve"> </w:t>
      </w:r>
      <w:r w:rsidR="0019605F" w:rsidRPr="00D04502">
        <w:t>CIRIA guide C750</w:t>
      </w:r>
      <w:r w:rsidR="00420CF6" w:rsidRPr="00D04502">
        <w:t>, ‘</w:t>
      </w:r>
      <w:r w:rsidR="0019605F" w:rsidRPr="00D04502">
        <w:t>Groundwater control: design and practice (second edition)</w:t>
      </w:r>
      <w:r w:rsidR="00420CF6" w:rsidRPr="00D04502">
        <w:t xml:space="preserve">’ </w:t>
      </w:r>
      <w:sdt>
        <w:sdtPr>
          <w:id w:val="948665263"/>
          <w:citation/>
        </w:sdtPr>
        <w:sdtEndPr/>
        <w:sdtContent>
          <w:r w:rsidR="00420CF6" w:rsidRPr="00D04502">
            <w:fldChar w:fldCharType="begin"/>
          </w:r>
          <w:r w:rsidR="00420CF6" w:rsidRPr="00D04502">
            <w:instrText xml:space="preserve"> CITATION CIR16 \l 2057 </w:instrText>
          </w:r>
          <w:r w:rsidR="00420CF6" w:rsidRPr="00D04502">
            <w:fldChar w:fldCharType="separate"/>
          </w:r>
          <w:r w:rsidR="00401277">
            <w:rPr>
              <w:noProof/>
            </w:rPr>
            <w:t>[31]</w:t>
          </w:r>
          <w:r w:rsidR="00420CF6" w:rsidRPr="00D04502">
            <w:fldChar w:fldCharType="end"/>
          </w:r>
        </w:sdtContent>
      </w:sdt>
      <w:r w:rsidR="0019605F" w:rsidRPr="00D04502">
        <w:t>.</w:t>
      </w:r>
    </w:p>
    <w:p w14:paraId="1DA307B6" w14:textId="2565BA42" w:rsidR="0019605F" w:rsidRPr="00D04502" w:rsidRDefault="000644D7" w:rsidP="00B72FA4">
      <w:pPr>
        <w:pStyle w:val="F9-Paragraph"/>
        <w:ind w:left="851" w:hanging="851"/>
        <w:rPr>
          <w:rFonts w:eastAsia="Calibri"/>
        </w:rPr>
      </w:pPr>
      <w:r w:rsidRPr="00D04502">
        <w:rPr>
          <w:rFonts w:eastAsia="Calibri"/>
        </w:rPr>
        <w:t>The Inspector should recognise that water significantly affects the geotechnical properties of soils and rocks, and must ensure both groundwater and surface water are effectively controlled. The Inspector should understand how site design provides for temporary groundwater management during construction and earthworks, seek assurance on groundwater monitoring throughout construction, and confirm that monitoring data informs validation of the permanent groundwater management scheme.</w:t>
      </w:r>
    </w:p>
    <w:p w14:paraId="126BA27E" w14:textId="4B6E49F6" w:rsidR="0019605F" w:rsidRPr="00D04502" w:rsidRDefault="00AC7404" w:rsidP="00E85E61">
      <w:pPr>
        <w:pStyle w:val="F9-Paragraph"/>
        <w:ind w:left="851" w:hanging="851"/>
        <w:rPr>
          <w:rFonts w:eastAsia="Calibri"/>
        </w:rPr>
      </w:pPr>
      <w:r w:rsidRPr="00D04502">
        <w:rPr>
          <w:rFonts w:eastAsia="Calibri"/>
        </w:rPr>
        <w:t>During the earthworks phase, the Inspector should seek assurance that arrangements for controlling groundwater and surface water are adequate, and that equipment is appropriate for pooling water and managing ground conditions. Instances of groundwater accumulating in excavations can yield valuable monitoring data for updating the groundwater model, and if removal is required, dutyholders should consult radioactive materials specialists or the environment regulator in the event of contamination. When water is pumped off site, the Inspector should ensure that the relevant environment regulators and discharge permits are involved, and also consider the impact of groundwater on nuclear safety significant construction activities, assessing whether measures to manage and relocate water are sufficient to prevent disruption to the works.</w:t>
      </w:r>
    </w:p>
    <w:p w14:paraId="3D90093D" w14:textId="6677FA60" w:rsidR="00DB515A" w:rsidRPr="00D04502" w:rsidRDefault="00DB515A" w:rsidP="00E43135">
      <w:pPr>
        <w:pStyle w:val="Heading3"/>
      </w:pPr>
      <w:r w:rsidRPr="00D04502">
        <w:t xml:space="preserve">Temporary </w:t>
      </w:r>
      <w:r w:rsidR="008458E2">
        <w:t>w</w:t>
      </w:r>
      <w:r w:rsidRPr="00D04502">
        <w:t>orks</w:t>
      </w:r>
    </w:p>
    <w:p w14:paraId="385EE075" w14:textId="2885BAFE" w:rsidR="00951C86" w:rsidRPr="00D04502" w:rsidRDefault="00951C86" w:rsidP="00951C86">
      <w:pPr>
        <w:pStyle w:val="F9-Paragraph"/>
        <w:ind w:left="851" w:hanging="851"/>
        <w:rPr>
          <w:rFonts w:eastAsia="Calibri"/>
        </w:rPr>
      </w:pPr>
      <w:r w:rsidRPr="00D04502">
        <w:rPr>
          <w:rFonts w:eastAsia="Calibri"/>
        </w:rPr>
        <w:t xml:space="preserve">The Inspector may wish to seek assurance that site restrictions do not have the potential to adversely impact on the quality of nuclear safety significant works, specifically during earthworks and deep excavations where there are other site restrictions </w:t>
      </w:r>
      <w:r w:rsidR="003F2F30">
        <w:rPr>
          <w:rFonts w:eastAsia="Calibri"/>
        </w:rPr>
        <w:t>for example,</w:t>
      </w:r>
      <w:r w:rsidRPr="00D04502">
        <w:rPr>
          <w:rFonts w:eastAsia="Calibri"/>
        </w:rPr>
        <w:t xml:space="preserve"> access, high risk areas and / or exclusion zones. </w:t>
      </w:r>
    </w:p>
    <w:p w14:paraId="2AD5CA23" w14:textId="77777777" w:rsidR="00951C86" w:rsidRPr="00D04502" w:rsidRDefault="00951C86" w:rsidP="00951C86">
      <w:pPr>
        <w:pStyle w:val="F9-Paragraph"/>
        <w:ind w:left="851" w:hanging="851"/>
        <w:rPr>
          <w:rFonts w:eastAsia="Calibri"/>
        </w:rPr>
      </w:pPr>
      <w:r w:rsidRPr="00D04502">
        <w:rPr>
          <w:rFonts w:eastAsia="Calibri"/>
        </w:rPr>
        <w:t>In the earthworks stage, the Inspector should expect the dutyholder to identify which areas have a nuclear safety function, and mitigate risks by sequencing the works accordingly to avoid interfaces that could impact quality.</w:t>
      </w:r>
    </w:p>
    <w:p w14:paraId="66B86E30" w14:textId="78EFC94E" w:rsidR="00951C86" w:rsidRPr="00D04502" w:rsidRDefault="00951C86" w:rsidP="00951C86">
      <w:pPr>
        <w:pStyle w:val="F9-Paragraph"/>
        <w:ind w:left="851" w:hanging="851"/>
        <w:rPr>
          <w:rFonts w:eastAsia="Calibri"/>
        </w:rPr>
      </w:pPr>
      <w:r w:rsidRPr="00D04502">
        <w:rPr>
          <w:rFonts w:eastAsia="Calibri"/>
        </w:rPr>
        <w:t xml:space="preserve">For further consideration of temporary works, </w:t>
      </w:r>
      <w:r w:rsidR="008458E2">
        <w:rPr>
          <w:rFonts w:eastAsia="Calibri"/>
        </w:rPr>
        <w:t xml:space="preserve">refer to Annex 4 of TAG 17 </w:t>
      </w:r>
      <w:sdt>
        <w:sdtPr>
          <w:rPr>
            <w:rFonts w:eastAsia="Calibri"/>
          </w:rPr>
          <w:id w:val="-351884161"/>
          <w:citation/>
        </w:sdtPr>
        <w:sdtContent>
          <w:r w:rsidR="008458E2">
            <w:rPr>
              <w:rFonts w:eastAsia="Calibri"/>
            </w:rPr>
            <w:fldChar w:fldCharType="begin"/>
          </w:r>
          <w:r w:rsidR="008458E2">
            <w:rPr>
              <w:rFonts w:eastAsia="Calibri"/>
            </w:rPr>
            <w:instrText xml:space="preserve"> CITATION ONR162 \l 2057 </w:instrText>
          </w:r>
          <w:r w:rsidR="008458E2">
            <w:rPr>
              <w:rFonts w:eastAsia="Calibri"/>
            </w:rPr>
            <w:fldChar w:fldCharType="separate"/>
          </w:r>
          <w:r w:rsidR="00401277" w:rsidRPr="00401277">
            <w:rPr>
              <w:rFonts w:eastAsia="Calibri"/>
              <w:noProof/>
            </w:rPr>
            <w:t>[6]</w:t>
          </w:r>
          <w:r w:rsidR="008458E2">
            <w:rPr>
              <w:rFonts w:eastAsia="Calibri"/>
            </w:rPr>
            <w:fldChar w:fldCharType="end"/>
          </w:r>
        </w:sdtContent>
      </w:sdt>
      <w:r w:rsidR="008458E2">
        <w:rPr>
          <w:rFonts w:eastAsia="Calibri"/>
        </w:rPr>
        <w:t>.</w:t>
      </w:r>
    </w:p>
    <w:p w14:paraId="4656F835" w14:textId="28419AF7" w:rsidR="000D0DC6" w:rsidRPr="00D04502" w:rsidRDefault="000D0DC6" w:rsidP="00E43135">
      <w:pPr>
        <w:pStyle w:val="Heading3"/>
      </w:pPr>
      <w:r w:rsidRPr="00D04502">
        <w:lastRenderedPageBreak/>
        <w:t xml:space="preserve">Confirmation of </w:t>
      </w:r>
      <w:r w:rsidR="008458E2">
        <w:t>f</w:t>
      </w:r>
      <w:r w:rsidRPr="00D04502">
        <w:t xml:space="preserve">ounding </w:t>
      </w:r>
      <w:r w:rsidR="008458E2">
        <w:t>l</w:t>
      </w:r>
      <w:r w:rsidRPr="00D04502">
        <w:t>evel</w:t>
      </w:r>
    </w:p>
    <w:p w14:paraId="300ACF12" w14:textId="7E0EB7DA" w:rsidR="00A849AE" w:rsidRPr="00D04502" w:rsidRDefault="00A849AE" w:rsidP="00785768">
      <w:pPr>
        <w:pStyle w:val="F9-Paragraph"/>
        <w:ind w:left="851" w:hanging="851"/>
        <w:rPr>
          <w:rFonts w:eastAsia="Calibri"/>
        </w:rPr>
      </w:pPr>
      <w:r w:rsidRPr="00D04502">
        <w:t>The aim of construction is to produce a foundation that meets the designer’s specifications, using safe and effective methods. Contractors must plan thoroughly, considering quality, health and safety, and setting out requirements. Inspectors should check whether ordnance or local datum is referenced on drawings and if conversion factors are used, and ensure reliable procedures are in place for measuring and verifying formation and foundation surface levels.</w:t>
      </w:r>
    </w:p>
    <w:p w14:paraId="29B6B484" w14:textId="33ACC595" w:rsidR="00A849AE" w:rsidRPr="00D04502" w:rsidRDefault="00785768" w:rsidP="00043B55">
      <w:pPr>
        <w:pStyle w:val="F9-Paragraph"/>
        <w:ind w:left="851" w:hanging="851"/>
      </w:pPr>
      <w:r w:rsidRPr="00D04502">
        <w:t>The Inspector should note that foundation site design relies on constructing foundations in the correct medium at the specified level. The designer selects the founding stratum based on its strength and deformation properties, and the Inspector should seek assurance these parameters have been verified on site. Confirming the founding strata also helps validate the ground model. The Inspector should also check that robust processes exist to manage significant anomalies, including procedures for design changes and for justifying and approving any deviations from the original design intent.</w:t>
      </w:r>
    </w:p>
    <w:p w14:paraId="6137F0A9" w14:textId="19A39C2A" w:rsidR="00A849AE" w:rsidRPr="00D04502" w:rsidRDefault="00043B55" w:rsidP="009D4404">
      <w:pPr>
        <w:pStyle w:val="F9-Paragraph"/>
        <w:ind w:left="851" w:hanging="851"/>
      </w:pPr>
      <w:r w:rsidRPr="00D04502">
        <w:t>The Inspector may wish to review the dutyholder’s arrangements for ensuring that a foundation is built according to the drawings and specifications. To do this, the Inspector could examine how the dutyholder controls the following aspects of the work:</w:t>
      </w:r>
    </w:p>
    <w:p w14:paraId="3A1872E3" w14:textId="77777777" w:rsidR="00A849AE" w:rsidRPr="00D04502" w:rsidRDefault="00A849AE" w:rsidP="009D4404">
      <w:pPr>
        <w:pStyle w:val="Bulletlist1"/>
        <w:ind w:left="1418" w:hanging="357"/>
      </w:pPr>
      <w:r w:rsidRPr="00D04502">
        <w:t>founding strata,</w:t>
      </w:r>
    </w:p>
    <w:p w14:paraId="56FC5318" w14:textId="77777777" w:rsidR="00A849AE" w:rsidRPr="00D04502" w:rsidRDefault="00A849AE" w:rsidP="009D4404">
      <w:pPr>
        <w:pStyle w:val="Bulletlist1"/>
        <w:ind w:left="1418" w:hanging="357"/>
      </w:pPr>
      <w:r w:rsidRPr="00D04502">
        <w:t>founding level,</w:t>
      </w:r>
    </w:p>
    <w:p w14:paraId="290C9763" w14:textId="77777777" w:rsidR="00A849AE" w:rsidRPr="00D04502" w:rsidRDefault="00A849AE" w:rsidP="009D4404">
      <w:pPr>
        <w:pStyle w:val="Bulletlist1"/>
        <w:ind w:left="1418" w:hanging="357"/>
      </w:pPr>
      <w:r w:rsidRPr="00D04502">
        <w:t>foundation dimensions,</w:t>
      </w:r>
    </w:p>
    <w:p w14:paraId="6318785F" w14:textId="77777777" w:rsidR="00A849AE" w:rsidRPr="00D04502" w:rsidRDefault="00A849AE" w:rsidP="009D4404">
      <w:pPr>
        <w:pStyle w:val="Bulletlist1"/>
        <w:ind w:left="1418" w:hanging="357"/>
      </w:pPr>
      <w:r w:rsidRPr="00D04502">
        <w:t>construction materials,</w:t>
      </w:r>
    </w:p>
    <w:p w14:paraId="3CCEB253" w14:textId="77777777" w:rsidR="00A849AE" w:rsidRPr="00D04502" w:rsidRDefault="00A849AE" w:rsidP="009D4404">
      <w:pPr>
        <w:pStyle w:val="Bulletlist1"/>
        <w:ind w:left="1418" w:hanging="357"/>
      </w:pPr>
      <w:r w:rsidRPr="00D04502">
        <w:t>connections to the super structure,</w:t>
      </w:r>
    </w:p>
    <w:p w14:paraId="609BDD83" w14:textId="77777777" w:rsidR="00A849AE" w:rsidRPr="00D04502" w:rsidRDefault="00A849AE" w:rsidP="009D4404">
      <w:pPr>
        <w:pStyle w:val="Bulletlist1"/>
        <w:ind w:left="1418" w:hanging="357"/>
      </w:pPr>
      <w:r w:rsidRPr="00D04502">
        <w:t>ground water levels.</w:t>
      </w:r>
    </w:p>
    <w:p w14:paraId="716903D0" w14:textId="6349BBCC" w:rsidR="0026695A" w:rsidRPr="00D04502" w:rsidRDefault="0026695A" w:rsidP="00E43135">
      <w:pPr>
        <w:pStyle w:val="Heading3"/>
      </w:pPr>
      <w:r w:rsidRPr="00D04502">
        <w:t xml:space="preserve">Weathering of </w:t>
      </w:r>
      <w:r w:rsidR="008458E2">
        <w:t>e</w:t>
      </w:r>
      <w:r w:rsidRPr="00D04502">
        <w:t xml:space="preserve">xposed </w:t>
      </w:r>
      <w:r w:rsidR="008458E2">
        <w:t>g</w:t>
      </w:r>
      <w:r w:rsidRPr="00D04502">
        <w:t>round</w:t>
      </w:r>
    </w:p>
    <w:p w14:paraId="66F54854" w14:textId="3C3F3A88" w:rsidR="006B5DCE" w:rsidRPr="00D04502" w:rsidRDefault="00126939" w:rsidP="00126939">
      <w:pPr>
        <w:pStyle w:val="F9-Paragraph"/>
        <w:ind w:left="851" w:hanging="851"/>
      </w:pPr>
      <w:r w:rsidRPr="00D04502">
        <w:rPr>
          <w:rFonts w:eastAsia="Calibri"/>
        </w:rPr>
        <w:t xml:space="preserve">The Inspector should review the acceptance criteria for the condition of the founding medium (formation level) before the contractor proceeds to the next construction phase, typically placing blinding concrete. As excavation, exposure, acceptance, and protection are time-sensitive—due to potential weathering of exposed strata—the Inspector should reference SAP ECE.16 regarding material suitability. Site trials often define permissible timeframes. The Inspector </w:t>
      </w:r>
      <w:r w:rsidRPr="00D04502">
        <w:t xml:space="preserve">may seek assurance that </w:t>
      </w:r>
      <w:r w:rsidRPr="00D04502">
        <w:rPr>
          <w:rFonts w:eastAsia="Calibri"/>
        </w:rPr>
        <w:t>these timings are agreed by the designer and that robust, proven processes are in place and followed by the contractor.</w:t>
      </w:r>
    </w:p>
    <w:p w14:paraId="2A34CE3C" w14:textId="77777777" w:rsidR="008458E2" w:rsidRDefault="008458E2" w:rsidP="00126939">
      <w:pPr>
        <w:pStyle w:val="Bulletlist1"/>
        <w:ind w:left="1418" w:hanging="357"/>
        <w:sectPr w:rsidR="008458E2">
          <w:pgSz w:w="11906" w:h="16838"/>
          <w:pgMar w:top="1440" w:right="1440" w:bottom="1440" w:left="1440" w:header="708" w:footer="708" w:gutter="0"/>
          <w:cols w:space="708"/>
          <w:docGrid w:linePitch="360"/>
        </w:sectPr>
      </w:pPr>
    </w:p>
    <w:p w14:paraId="6AE4A0F8" w14:textId="77777777" w:rsidR="006B5DCE" w:rsidRPr="00D04502" w:rsidRDefault="006B5DCE" w:rsidP="00126939">
      <w:pPr>
        <w:pStyle w:val="Bulletlist1"/>
        <w:ind w:left="1418" w:hanging="357"/>
      </w:pPr>
      <w:r w:rsidRPr="00D04502">
        <w:lastRenderedPageBreak/>
        <w:t xml:space="preserve">Coarse grained soils (sands and gravels) are easily disturbed by excavation. Excavation of at least the last 150mm of soil above founding level is often made by hand and protected (usually with blinding concrete). </w:t>
      </w:r>
    </w:p>
    <w:p w14:paraId="60003DDB" w14:textId="7AFD82DB" w:rsidR="006B5DCE" w:rsidRPr="00D04502" w:rsidRDefault="006B5DCE" w:rsidP="00126939">
      <w:pPr>
        <w:pStyle w:val="Bulletlist1"/>
        <w:ind w:left="1418" w:hanging="357"/>
      </w:pPr>
      <w:r w:rsidRPr="00D04502">
        <w:t xml:space="preserve">Fine grained soils </w:t>
      </w:r>
      <w:r w:rsidR="003F2F30">
        <w:t>(for example,</w:t>
      </w:r>
      <w:r w:rsidRPr="00D04502">
        <w:t xml:space="preserve"> silts and clays) can be softened by water and can be disturbed very easily so the surface protection (usually blinding concrete) follows after the founding elevation is exposed. The Inspector should note the local drain down points to keep ground water below excavated levels can be significant in these circumstances.</w:t>
      </w:r>
    </w:p>
    <w:p w14:paraId="0451ECD4" w14:textId="52E3CB17" w:rsidR="006B5DCE" w:rsidRPr="00D04502" w:rsidRDefault="006B5DCE" w:rsidP="00126939">
      <w:pPr>
        <w:pStyle w:val="Bulletlist1"/>
        <w:ind w:left="1418" w:hanging="357"/>
      </w:pPr>
      <w:r w:rsidRPr="00D04502">
        <w:t xml:space="preserve">Rock can break up under weathering and therefore a time restriction is often applied to prevent degradation of the rock after exposure. </w:t>
      </w:r>
      <w:r w:rsidR="008458E2">
        <w:br/>
      </w:r>
      <w:r w:rsidRPr="00D04502">
        <w:t xml:space="preserve">Often the last 0.5m of material is left prior to the final exposure of the formation level. The Inspector should note the surface of any rock excavation is ‘cleaned’ to dislodge loose material and highlight joint distribution, prior to inspection acceptance, and then covered up with a suitable material to protect from weathering (usually blinding concrete). The Inspector may wish to seek assurance as to how an acceptable level of ‘cleanliness’ of formation levels is demonstrated </w:t>
      </w:r>
      <w:r w:rsidR="003F2F30">
        <w:t>for example,</w:t>
      </w:r>
      <w:r w:rsidRPr="00D04502">
        <w:t xml:space="preserve"> with photograph examples to promote consistency across the site.</w:t>
      </w:r>
    </w:p>
    <w:p w14:paraId="55F73491" w14:textId="09CD797D" w:rsidR="006B5DCE" w:rsidRPr="00D04502" w:rsidRDefault="00E9108F" w:rsidP="00C10CA8">
      <w:pPr>
        <w:pStyle w:val="F9-Paragraph"/>
        <w:ind w:left="851" w:hanging="851"/>
      </w:pPr>
      <w:r w:rsidRPr="00D04502">
        <w:rPr>
          <w:rFonts w:eastAsia="Calibri"/>
        </w:rPr>
        <w:t xml:space="preserve">The Inspector </w:t>
      </w:r>
      <w:r w:rsidR="00C10CA8" w:rsidRPr="00D04502">
        <w:t xml:space="preserve">may seek assurance that </w:t>
      </w:r>
      <w:r w:rsidRPr="00D04502">
        <w:rPr>
          <w:rFonts w:eastAsia="Calibri"/>
        </w:rPr>
        <w:t xml:space="preserve">ground recording, testing, and record keeping are </w:t>
      </w:r>
      <w:r w:rsidR="00C10CA8" w:rsidRPr="00D04502">
        <w:t>adequate</w:t>
      </w:r>
      <w:r w:rsidRPr="00D04502">
        <w:rPr>
          <w:rFonts w:eastAsia="Calibri"/>
        </w:rPr>
        <w:t>, as quality evidence may not be retrievable once the formation level is covered.</w:t>
      </w:r>
    </w:p>
    <w:p w14:paraId="31473CF8" w14:textId="58F1E4CF" w:rsidR="00AE299B" w:rsidRPr="00D04502" w:rsidRDefault="00AE299B" w:rsidP="00AE299B">
      <w:pPr>
        <w:pStyle w:val="F9-Paragraph"/>
        <w:ind w:left="851" w:hanging="851"/>
        <w:rPr>
          <w:rFonts w:eastAsia="Calibri"/>
        </w:rPr>
      </w:pPr>
      <w:r w:rsidRPr="00D04502">
        <w:rPr>
          <w:rFonts w:eastAsia="Calibri"/>
        </w:rPr>
        <w:t xml:space="preserve">The Inspector should be aware of the processes in place to permit </w:t>
      </w:r>
      <w:r w:rsidR="008458E2">
        <w:rPr>
          <w:rFonts w:eastAsia="Calibri"/>
        </w:rPr>
        <w:t>IC</w:t>
      </w:r>
      <w:r w:rsidRPr="00D04502">
        <w:rPr>
          <w:rFonts w:eastAsia="Calibri"/>
        </w:rPr>
        <w:t xml:space="preserve"> function to accept the works as complete to conclude the earthworks contract, per area.</w:t>
      </w:r>
    </w:p>
    <w:p w14:paraId="14FAB9FB" w14:textId="104408A5" w:rsidR="00AE299B" w:rsidRPr="00D04502" w:rsidRDefault="00AE299B" w:rsidP="00AE299B">
      <w:pPr>
        <w:pStyle w:val="F9-Paragraph"/>
        <w:ind w:left="851" w:hanging="851"/>
        <w:rPr>
          <w:rFonts w:eastAsia="Calibri"/>
        </w:rPr>
      </w:pPr>
      <w:r w:rsidRPr="00D04502">
        <w:rPr>
          <w:rFonts w:eastAsia="Calibri"/>
        </w:rPr>
        <w:t xml:space="preserve">For more information on IC acceptance and records, </w:t>
      </w:r>
      <w:r w:rsidR="008458E2">
        <w:rPr>
          <w:rFonts w:eastAsia="Calibri"/>
        </w:rPr>
        <w:t>refer to</w:t>
      </w:r>
      <w:r w:rsidRPr="00D04502">
        <w:rPr>
          <w:rFonts w:eastAsia="Calibri"/>
        </w:rPr>
        <w:t>:</w:t>
      </w:r>
    </w:p>
    <w:p w14:paraId="4ADE5805" w14:textId="6C2B8194" w:rsidR="008458E2" w:rsidRPr="00D04502" w:rsidRDefault="008458E2" w:rsidP="008458E2">
      <w:pPr>
        <w:pStyle w:val="Bulletlist1"/>
        <w:ind w:left="1418" w:hanging="357"/>
      </w:pPr>
      <w:r w:rsidRPr="00D04502">
        <w:t>NS-TAST-GD-049 ‘Licensee Core Safety and Intelligent Customer Capabilities</w:t>
      </w:r>
      <w:r>
        <w:t xml:space="preserve">’ </w:t>
      </w:r>
      <w:sdt>
        <w:sdtPr>
          <w:id w:val="995220986"/>
          <w:citation/>
        </w:sdtPr>
        <w:sdtContent>
          <w:r>
            <w:fldChar w:fldCharType="begin"/>
          </w:r>
          <w:r>
            <w:instrText xml:space="preserve"> CITATION ONR143 \l 2057 </w:instrText>
          </w:r>
          <w:r>
            <w:fldChar w:fldCharType="separate"/>
          </w:r>
          <w:r w:rsidR="00401277" w:rsidRPr="00401277">
            <w:t>[15]</w:t>
          </w:r>
          <w:r>
            <w:fldChar w:fldCharType="end"/>
          </w:r>
        </w:sdtContent>
      </w:sdt>
    </w:p>
    <w:p w14:paraId="71BD9B63" w14:textId="653A0A1E" w:rsidR="00AE299B" w:rsidRPr="00D04502" w:rsidRDefault="00AE299B" w:rsidP="00AE299B">
      <w:pPr>
        <w:pStyle w:val="Bulletlist1"/>
        <w:ind w:left="1418" w:hanging="357"/>
      </w:pPr>
      <w:r w:rsidRPr="00D04502">
        <w:t>NS-TAST-GD-033 ‘Dutyholder Management of Records’</w:t>
      </w:r>
      <w:r w:rsidR="008458E2">
        <w:t xml:space="preserve"> </w:t>
      </w:r>
      <w:sdt>
        <w:sdtPr>
          <w:id w:val="-1603416716"/>
          <w:citation/>
        </w:sdtPr>
        <w:sdtContent>
          <w:r w:rsidR="008458E2">
            <w:fldChar w:fldCharType="begin"/>
          </w:r>
          <w:r w:rsidR="008458E2">
            <w:instrText xml:space="preserve"> CITATION ONR551 \l 2057 </w:instrText>
          </w:r>
          <w:r w:rsidR="008458E2">
            <w:fldChar w:fldCharType="separate"/>
          </w:r>
          <w:r w:rsidR="00401277" w:rsidRPr="00401277">
            <w:t>[21]</w:t>
          </w:r>
          <w:r w:rsidR="008458E2">
            <w:fldChar w:fldCharType="end"/>
          </w:r>
        </w:sdtContent>
      </w:sdt>
    </w:p>
    <w:p w14:paraId="56964652" w14:textId="0C1E02C8" w:rsidR="00EE4926" w:rsidRPr="00D04502" w:rsidRDefault="00EE4926" w:rsidP="00E43135">
      <w:pPr>
        <w:pStyle w:val="Heading3"/>
      </w:pPr>
      <w:r w:rsidRPr="00D04502">
        <w:t xml:space="preserve">Handover between </w:t>
      </w:r>
      <w:r w:rsidR="008458E2">
        <w:t>c</w:t>
      </w:r>
      <w:r w:rsidRPr="00D04502">
        <w:t>ontractors</w:t>
      </w:r>
    </w:p>
    <w:p w14:paraId="35D7488E" w14:textId="43D9A60A" w:rsidR="00FC2DA7" w:rsidRPr="00D04502" w:rsidRDefault="00FC2DA7" w:rsidP="0057299F">
      <w:pPr>
        <w:pStyle w:val="F9-Paragraph"/>
        <w:ind w:left="851" w:hanging="851"/>
        <w:rPr>
          <w:rFonts w:eastAsia="Calibri"/>
        </w:rPr>
      </w:pPr>
      <w:r w:rsidRPr="00D04502">
        <w:t xml:space="preserve">After the earthworks contractor completes their scope, a handover takes place to demonstrate completion to the required standard, allowing the structural or permanent works contractor to commence foundation or sub-surface construction. The Inspector should ensure this process is overseen and approved by the </w:t>
      </w:r>
      <w:r w:rsidR="008458E2">
        <w:t>IC</w:t>
      </w:r>
      <w:r w:rsidRPr="00D04502">
        <w:t xml:space="preserve"> function to confirm quality standards are met.</w:t>
      </w:r>
    </w:p>
    <w:p w14:paraId="4BA225ED" w14:textId="77777777" w:rsidR="008458E2" w:rsidRDefault="008458E2" w:rsidP="00D851D1">
      <w:pPr>
        <w:pStyle w:val="F9-Paragraph"/>
        <w:ind w:left="851" w:hanging="851"/>
        <w:sectPr w:rsidR="008458E2">
          <w:pgSz w:w="11906" w:h="16838"/>
          <w:pgMar w:top="1440" w:right="1440" w:bottom="1440" w:left="1440" w:header="708" w:footer="708" w:gutter="0"/>
          <w:cols w:space="708"/>
          <w:docGrid w:linePitch="360"/>
        </w:sectPr>
      </w:pPr>
    </w:p>
    <w:p w14:paraId="1F074621" w14:textId="765D7C3C" w:rsidR="00FC2DA7" w:rsidRPr="00D04502" w:rsidRDefault="00D851D1" w:rsidP="00D851D1">
      <w:pPr>
        <w:pStyle w:val="F9-Paragraph"/>
        <w:ind w:left="851" w:hanging="851"/>
      </w:pPr>
      <w:r w:rsidRPr="00D04502">
        <w:lastRenderedPageBreak/>
        <w:t xml:space="preserve">During the initial construction phase, when contractors are handing over areas </w:t>
      </w:r>
      <w:r w:rsidR="003F2F30">
        <w:t>(for example,</w:t>
      </w:r>
      <w:r w:rsidRPr="00D04502">
        <w:t xml:space="preserve"> from earthworks to permanent works), the Inspector should recognise that handover processes may not be fully developed. </w:t>
      </w:r>
      <w:r w:rsidR="008458E2">
        <w:br/>
      </w:r>
      <w:r w:rsidRPr="00D04502">
        <w:t>The Inspector may seek assurance that lessons learned are actively implemented, and arrangements are regularly updated to reflect ongoing changes, preventing errors and ensuring documentation remains current.</w:t>
      </w:r>
    </w:p>
    <w:p w14:paraId="751A31F5" w14:textId="2B3F0450" w:rsidR="00FC2DA7" w:rsidRPr="00D04502" w:rsidRDefault="00FC2DA7" w:rsidP="00D851D1">
      <w:pPr>
        <w:pStyle w:val="F9-Paragraph"/>
        <w:ind w:left="851" w:hanging="851"/>
      </w:pPr>
      <w:r w:rsidRPr="00D04502">
        <w:t xml:space="preserve">For more detail of the key civil engineering principles, </w:t>
      </w:r>
      <w:r w:rsidR="008458E2">
        <w:t xml:space="preserve">refer to Annex 4 of TAG 17 </w:t>
      </w:r>
      <w:sdt>
        <w:sdtPr>
          <w:id w:val="425852304"/>
          <w:citation/>
        </w:sdtPr>
        <w:sdtContent>
          <w:r w:rsidR="008458E2">
            <w:fldChar w:fldCharType="begin"/>
          </w:r>
          <w:r w:rsidR="008458E2">
            <w:instrText xml:space="preserve"> CITATION ONR162 \l 2057 </w:instrText>
          </w:r>
          <w:r w:rsidR="008458E2">
            <w:fldChar w:fldCharType="separate"/>
          </w:r>
          <w:r w:rsidR="00401277">
            <w:rPr>
              <w:noProof/>
            </w:rPr>
            <w:t>[6]</w:t>
          </w:r>
          <w:r w:rsidR="008458E2">
            <w:fldChar w:fldCharType="end"/>
          </w:r>
        </w:sdtContent>
      </w:sdt>
      <w:r w:rsidR="008458E2">
        <w:t>.</w:t>
      </w:r>
    </w:p>
    <w:p w14:paraId="78E735B5" w14:textId="77777777" w:rsidR="003F06B2" w:rsidRPr="00D04502" w:rsidRDefault="003F06B2" w:rsidP="00E43135">
      <w:pPr>
        <w:pStyle w:val="Heading3"/>
      </w:pPr>
      <w:bookmarkStart w:id="20" w:name="_Toc57904982"/>
      <w:r w:rsidRPr="00D04502">
        <w:t>Concrete and reinforcement for sub-surface structures</w:t>
      </w:r>
      <w:bookmarkEnd w:id="20"/>
      <w:r w:rsidRPr="00D04502">
        <w:t xml:space="preserve"> </w:t>
      </w:r>
    </w:p>
    <w:p w14:paraId="59045C76" w14:textId="2BCE9357" w:rsidR="003F06B2" w:rsidRPr="00D04502" w:rsidRDefault="003F06B2" w:rsidP="00926634">
      <w:pPr>
        <w:pStyle w:val="F9-Paragraph"/>
        <w:ind w:left="851" w:hanging="851"/>
      </w:pPr>
      <w:r w:rsidRPr="00D04502">
        <w:t xml:space="preserve">As foundations and sub-surface structures are typically the first works on site, the Inspector should recognise their ‘first of a kind’ status, which can serve to validate processes and methodologies on initial application. </w:t>
      </w:r>
      <w:r w:rsidR="008458E2">
        <w:br/>
      </w:r>
      <w:r w:rsidRPr="00D04502">
        <w:t xml:space="preserve">The Inspector may review mock-ups and trials used to confirm methodology and demonstrate quality before permanent construction begins. Additionally, the Inspector </w:t>
      </w:r>
      <w:r w:rsidR="00926634" w:rsidRPr="00D04502">
        <w:t xml:space="preserve">may wish to </w:t>
      </w:r>
      <w:r w:rsidRPr="00D04502">
        <w:t xml:space="preserve">seek assurance that processes and arrangements for construction materials—such as concrete and reinforcement steel—are robust. This includes verifying the adequacy of raw material receipt </w:t>
      </w:r>
      <w:r w:rsidR="003F2F30">
        <w:t>(for example,</w:t>
      </w:r>
      <w:r w:rsidRPr="00D04502">
        <w:t xml:space="preserve"> aggregates, cement, steel) and ensuring that management arrangements maintain material quality before use in nuclear safety construction.</w:t>
      </w:r>
    </w:p>
    <w:p w14:paraId="175BF083" w14:textId="2A94FD12" w:rsidR="003F06B2" w:rsidRPr="00D04502" w:rsidRDefault="00926634" w:rsidP="00A3794B">
      <w:pPr>
        <w:pStyle w:val="F9-Paragraph"/>
        <w:ind w:left="851" w:hanging="851"/>
      </w:pPr>
      <w:r w:rsidRPr="00D04502">
        <w:t>For sub-surface construction, the Inspector should recognise the risks posed by aggressive and other challenging ground conditions, which may require specific design and construction measures. Where additional protective measures are necessary to prevent concrete degradation from environmental chemicals, the Inspector should check these are properly addressed in the safety case and implemented on site, especially if the design depends on their effectiveness throughout the site's lifetime.</w:t>
      </w:r>
    </w:p>
    <w:p w14:paraId="16A3DFC9" w14:textId="09FF9248" w:rsidR="003F06B2" w:rsidRPr="00D04502" w:rsidRDefault="003F06B2" w:rsidP="008458E2">
      <w:pPr>
        <w:pStyle w:val="F9-Paragraph"/>
        <w:ind w:left="851" w:hanging="851"/>
      </w:pPr>
      <w:r w:rsidRPr="00D04502">
        <w:t xml:space="preserve">For more guidance on concrete and reinforcement, as well as general construction and site readiness reviews, </w:t>
      </w:r>
      <w:r w:rsidR="008458E2">
        <w:t xml:space="preserve">refer to Annex 4 of TAG 17 </w:t>
      </w:r>
      <w:sdt>
        <w:sdtPr>
          <w:id w:val="-1055785460"/>
          <w:citation/>
        </w:sdtPr>
        <w:sdtContent>
          <w:r w:rsidR="008458E2">
            <w:fldChar w:fldCharType="begin"/>
          </w:r>
          <w:r w:rsidR="008458E2">
            <w:instrText xml:space="preserve"> CITATION ONR162 \l 2057 </w:instrText>
          </w:r>
          <w:r w:rsidR="008458E2">
            <w:fldChar w:fldCharType="separate"/>
          </w:r>
          <w:r w:rsidR="00401277">
            <w:rPr>
              <w:noProof/>
            </w:rPr>
            <w:t>[6]</w:t>
          </w:r>
          <w:r w:rsidR="008458E2">
            <w:fldChar w:fldCharType="end"/>
          </w:r>
        </w:sdtContent>
      </w:sdt>
      <w:r w:rsidR="008458E2">
        <w:t xml:space="preserve"> and </w:t>
      </w:r>
      <w:r w:rsidRPr="00D04502">
        <w:t>L153 ‘Managing health and safety in constructio</w:t>
      </w:r>
      <w:r w:rsidR="00A3794B" w:rsidRPr="00D04502">
        <w:t xml:space="preserve">n </w:t>
      </w:r>
      <w:sdt>
        <w:sdtPr>
          <w:id w:val="-549534790"/>
          <w:citation/>
        </w:sdtPr>
        <w:sdtEndPr/>
        <w:sdtContent>
          <w:r w:rsidR="00A3794B" w:rsidRPr="00D04502">
            <w:fldChar w:fldCharType="begin"/>
          </w:r>
          <w:r w:rsidR="00A3794B" w:rsidRPr="00D04502">
            <w:instrText xml:space="preserve"> CITATION HSE \l 2057 </w:instrText>
          </w:r>
          <w:r w:rsidR="00A3794B" w:rsidRPr="00D04502">
            <w:fldChar w:fldCharType="separate"/>
          </w:r>
          <w:r w:rsidR="00401277">
            <w:rPr>
              <w:noProof/>
            </w:rPr>
            <w:t>[32]</w:t>
          </w:r>
          <w:r w:rsidR="00A3794B" w:rsidRPr="00D04502">
            <w:fldChar w:fldCharType="end"/>
          </w:r>
        </w:sdtContent>
      </w:sdt>
      <w:r w:rsidRPr="00D04502">
        <w:t>.</w:t>
      </w:r>
    </w:p>
    <w:p w14:paraId="345EDBA6" w14:textId="68648413" w:rsidR="001E5B8B" w:rsidRPr="00D04502" w:rsidRDefault="001E5B8B" w:rsidP="00E43135">
      <w:pPr>
        <w:pStyle w:val="Heading3"/>
      </w:pPr>
      <w:bookmarkStart w:id="21" w:name="_Toc57904983"/>
      <w:r w:rsidRPr="00D04502">
        <w:t xml:space="preserve">Earthworks, </w:t>
      </w:r>
      <w:r w:rsidR="008458E2">
        <w:t>f</w:t>
      </w:r>
      <w:r w:rsidRPr="00D04502">
        <w:t xml:space="preserve">oundations and </w:t>
      </w:r>
      <w:r w:rsidR="008458E2">
        <w:t>s</w:t>
      </w:r>
      <w:r w:rsidRPr="00D04502">
        <w:t xml:space="preserve">ub-surface </w:t>
      </w:r>
      <w:r w:rsidR="008458E2">
        <w:t>s</w:t>
      </w:r>
      <w:r w:rsidRPr="00D04502">
        <w:t xml:space="preserve">tructure </w:t>
      </w:r>
      <w:r w:rsidR="008458E2">
        <w:t>c</w:t>
      </w:r>
      <w:r w:rsidRPr="00D04502">
        <w:t xml:space="preserve">onstruction </w:t>
      </w:r>
      <w:r w:rsidR="008458E2">
        <w:t>s</w:t>
      </w:r>
      <w:r w:rsidRPr="00D04502">
        <w:t xml:space="preserve">ite </w:t>
      </w:r>
      <w:r w:rsidR="008458E2">
        <w:t>h</w:t>
      </w:r>
      <w:r w:rsidRPr="00D04502">
        <w:t>azards</w:t>
      </w:r>
      <w:bookmarkEnd w:id="21"/>
    </w:p>
    <w:p w14:paraId="47477DA5" w14:textId="77777777" w:rsidR="00111157" w:rsidRPr="00D04502" w:rsidRDefault="00111157" w:rsidP="00111157">
      <w:pPr>
        <w:pStyle w:val="F9-Paragraph"/>
        <w:ind w:left="851" w:hanging="851"/>
      </w:pPr>
      <w:r w:rsidRPr="00D04502">
        <w:t>The Inspector should be aware that foundation or sub-surface structure construction is one of the most hazardous phases during the construction process on site. Typical hazards encountered in foundation construction may include:</w:t>
      </w:r>
    </w:p>
    <w:p w14:paraId="1CAC0327" w14:textId="77777777" w:rsidR="00111157" w:rsidRPr="00D04502" w:rsidRDefault="00111157" w:rsidP="00111157">
      <w:pPr>
        <w:pStyle w:val="Bulletlist1"/>
        <w:ind w:left="1418" w:hanging="357"/>
      </w:pPr>
      <w:r w:rsidRPr="00D04502">
        <w:t>congested working areas in which different types of plant are manoeuvring,</w:t>
      </w:r>
    </w:p>
    <w:p w14:paraId="0E01AB57" w14:textId="77777777" w:rsidR="00111157" w:rsidRPr="00D04502" w:rsidRDefault="00111157" w:rsidP="00111157">
      <w:pPr>
        <w:pStyle w:val="Bulletlist1"/>
        <w:ind w:left="1418" w:hanging="357"/>
      </w:pPr>
      <w:r w:rsidRPr="00D04502">
        <w:t>equipment / plant, that are difficult to guard at all times, especially when rotating at high speed,</w:t>
      </w:r>
    </w:p>
    <w:p w14:paraId="7116D69C" w14:textId="77777777" w:rsidR="00111157" w:rsidRPr="00D04502" w:rsidRDefault="00111157" w:rsidP="00111157">
      <w:pPr>
        <w:pStyle w:val="Bulletlist1"/>
        <w:ind w:left="1418" w:hanging="357"/>
      </w:pPr>
      <w:r w:rsidRPr="00D04502">
        <w:lastRenderedPageBreak/>
        <w:t>activities being carried out in poor light or limited visibility, often in muddy conditions on uneven ground,</w:t>
      </w:r>
    </w:p>
    <w:p w14:paraId="14340CBF" w14:textId="77777777" w:rsidR="00111157" w:rsidRPr="00D04502" w:rsidRDefault="00111157" w:rsidP="00111157">
      <w:pPr>
        <w:pStyle w:val="Bulletlist1"/>
        <w:ind w:left="1418" w:hanging="357"/>
      </w:pPr>
      <w:r w:rsidRPr="00D04502">
        <w:t>open excavations which often contain projecting reinforcement immediately adjacent to the working area,</w:t>
      </w:r>
    </w:p>
    <w:p w14:paraId="2BD9A86C" w14:textId="77777777" w:rsidR="00111157" w:rsidRPr="00D04502" w:rsidRDefault="00111157" w:rsidP="00111157">
      <w:pPr>
        <w:pStyle w:val="Bulletlist1"/>
        <w:ind w:left="1418" w:hanging="357"/>
      </w:pPr>
      <w:r w:rsidRPr="00D04502">
        <w:t>open trenches, some of which may be full of bentonite,</w:t>
      </w:r>
    </w:p>
    <w:p w14:paraId="581EF114" w14:textId="77777777" w:rsidR="00111157" w:rsidRPr="00D04502" w:rsidRDefault="00111157" w:rsidP="00111157">
      <w:pPr>
        <w:pStyle w:val="Bulletlist1"/>
        <w:ind w:left="1418" w:hanging="357"/>
      </w:pPr>
      <w:r w:rsidRPr="00D04502">
        <w:t>partly constructed open basement or sump areas which could fill with water or harmful gases without sufficient pumping or ventilation,</w:t>
      </w:r>
    </w:p>
    <w:p w14:paraId="36136ECC" w14:textId="77777777" w:rsidR="00111157" w:rsidRPr="00D04502" w:rsidRDefault="00111157" w:rsidP="00111157">
      <w:pPr>
        <w:pStyle w:val="Bulletlist1"/>
        <w:ind w:left="1418" w:hanging="357"/>
      </w:pPr>
      <w:r w:rsidRPr="00D04502">
        <w:t>contaminated land and biological hazards such as leptospirosis,</w:t>
      </w:r>
    </w:p>
    <w:p w14:paraId="228E5C7B" w14:textId="77777777" w:rsidR="00111157" w:rsidRPr="00D04502" w:rsidRDefault="00111157" w:rsidP="00111157">
      <w:pPr>
        <w:pStyle w:val="Bulletlist1"/>
        <w:ind w:left="1418" w:hanging="357"/>
      </w:pPr>
      <w:r w:rsidRPr="00D04502">
        <w:t>working with and handling chemicals and cement grouts,</w:t>
      </w:r>
    </w:p>
    <w:p w14:paraId="701B1591" w14:textId="5832DE5B" w:rsidR="00023CE4" w:rsidRPr="00D04502" w:rsidRDefault="00023CE4" w:rsidP="00111157">
      <w:pPr>
        <w:pStyle w:val="Bulletlist1"/>
        <w:ind w:left="1418" w:hanging="357"/>
      </w:pPr>
      <w:r w:rsidRPr="00D04502">
        <w:t>working at height</w:t>
      </w:r>
      <w:r w:rsidR="00123187" w:rsidRPr="00D04502">
        <w:t>,</w:t>
      </w:r>
    </w:p>
    <w:p w14:paraId="4A7EA264" w14:textId="539E0462" w:rsidR="00111157" w:rsidRPr="00D04502" w:rsidRDefault="00111157" w:rsidP="00111157">
      <w:pPr>
        <w:pStyle w:val="Bulletlist1"/>
        <w:ind w:left="1418" w:hanging="357"/>
      </w:pPr>
      <w:r w:rsidRPr="00D04502">
        <w:t>working at depth, including falling object risks,</w:t>
      </w:r>
    </w:p>
    <w:p w14:paraId="7728A9A5" w14:textId="77777777" w:rsidR="00111157" w:rsidRPr="00D04502" w:rsidRDefault="00111157" w:rsidP="00111157">
      <w:pPr>
        <w:pStyle w:val="Bulletlist1"/>
        <w:ind w:left="1418" w:hanging="357"/>
      </w:pPr>
      <w:r w:rsidRPr="00D04502">
        <w:t>working near open water or partly flooded excavations,</w:t>
      </w:r>
    </w:p>
    <w:p w14:paraId="6E011E8B" w14:textId="77777777" w:rsidR="00111157" w:rsidRPr="00D04502" w:rsidRDefault="00111157" w:rsidP="00111157">
      <w:pPr>
        <w:pStyle w:val="Bulletlist1"/>
        <w:ind w:left="1418" w:hanging="357"/>
      </w:pPr>
      <w:r w:rsidRPr="00D04502">
        <w:t>lifting and handling plant and materials,</w:t>
      </w:r>
    </w:p>
    <w:p w14:paraId="3BFDA139" w14:textId="77777777" w:rsidR="00111157" w:rsidRPr="00D04502" w:rsidRDefault="00111157" w:rsidP="00111157">
      <w:pPr>
        <w:pStyle w:val="Bulletlist1"/>
        <w:ind w:left="1418" w:hanging="357"/>
      </w:pPr>
      <w:r w:rsidRPr="00D04502">
        <w:t>confined spaces,</w:t>
      </w:r>
    </w:p>
    <w:p w14:paraId="0C1EE2C0" w14:textId="77777777" w:rsidR="00111157" w:rsidRPr="00D04502" w:rsidRDefault="00111157" w:rsidP="00111157">
      <w:pPr>
        <w:pStyle w:val="Bulletlist1"/>
        <w:ind w:left="1418" w:hanging="357"/>
      </w:pPr>
      <w:r w:rsidRPr="00D04502">
        <w:t xml:space="preserve">noise, </w:t>
      </w:r>
    </w:p>
    <w:p w14:paraId="17ED8777" w14:textId="77777777" w:rsidR="00111157" w:rsidRPr="00D04502" w:rsidRDefault="00111157" w:rsidP="00111157">
      <w:pPr>
        <w:pStyle w:val="Bulletlist1"/>
        <w:ind w:left="1418" w:hanging="357"/>
      </w:pPr>
      <w:r w:rsidRPr="00D04502">
        <w:t>dust.</w:t>
      </w:r>
    </w:p>
    <w:p w14:paraId="0E729E0D" w14:textId="77777777" w:rsidR="00111157" w:rsidRPr="00D04502" w:rsidRDefault="00111157" w:rsidP="00111157">
      <w:pPr>
        <w:pStyle w:val="F9-Paragraph"/>
        <w:ind w:left="851" w:hanging="851"/>
      </w:pPr>
      <w:r w:rsidRPr="00D04502">
        <w:t>The Inspector may wish to consider relevant work Risk Assessments and Method Statements (RAMS) for the works being undertaken.</w:t>
      </w:r>
    </w:p>
    <w:p w14:paraId="2321C21F" w14:textId="77777777" w:rsidR="00111157" w:rsidRPr="00D04502" w:rsidRDefault="00111157" w:rsidP="00111157">
      <w:pPr>
        <w:pStyle w:val="F9-Paragraph"/>
        <w:ind w:left="851" w:hanging="851"/>
      </w:pPr>
      <w:r w:rsidRPr="00D04502">
        <w:t>The Inspector should be aware of potential problems that may be encountered due to the nature of the ground, and may wish to seek assurance that trials, mock-ups or tests to be undertaken to demonstrate that methodologies in place are adequate to manage these potential health and safety considerations, including but not limited to:</w:t>
      </w:r>
    </w:p>
    <w:p w14:paraId="6120D189" w14:textId="77777777" w:rsidR="00111157" w:rsidRPr="00D04502" w:rsidRDefault="00111157" w:rsidP="00D968F8">
      <w:pPr>
        <w:pStyle w:val="F9-Paragraph"/>
        <w:numPr>
          <w:ilvl w:val="0"/>
          <w:numId w:val="0"/>
        </w:numPr>
        <w:ind w:left="851"/>
        <w:rPr>
          <w:b/>
          <w:bCs/>
        </w:rPr>
      </w:pPr>
      <w:r w:rsidRPr="00D04502">
        <w:rPr>
          <w:b/>
          <w:bCs/>
        </w:rPr>
        <w:t>Made ground:</w:t>
      </w:r>
    </w:p>
    <w:p w14:paraId="43137067" w14:textId="77777777" w:rsidR="00111157" w:rsidRPr="00D04502" w:rsidRDefault="00111157" w:rsidP="00E20090">
      <w:pPr>
        <w:pStyle w:val="Bulletlist1"/>
        <w:ind w:left="1418" w:hanging="357"/>
      </w:pPr>
      <w:r w:rsidRPr="00D04502">
        <w:t>obstructions,</w:t>
      </w:r>
    </w:p>
    <w:p w14:paraId="5BCBEE04" w14:textId="77777777" w:rsidR="00111157" w:rsidRPr="00D04502" w:rsidRDefault="00111157" w:rsidP="00E20090">
      <w:pPr>
        <w:pStyle w:val="Bulletlist1"/>
        <w:ind w:left="1418" w:hanging="357"/>
      </w:pPr>
      <w:r w:rsidRPr="00D04502">
        <w:t>sudden collapse of fills,</w:t>
      </w:r>
    </w:p>
    <w:p w14:paraId="3976FE0C" w14:textId="77777777" w:rsidR="00111157" w:rsidRPr="00D04502" w:rsidRDefault="00111157" w:rsidP="00E20090">
      <w:pPr>
        <w:pStyle w:val="Bulletlist1"/>
        <w:ind w:left="1418" w:hanging="357"/>
      </w:pPr>
      <w:r w:rsidRPr="00D04502">
        <w:t>chemical and organic contamination,</w:t>
      </w:r>
    </w:p>
    <w:p w14:paraId="24FCF019" w14:textId="77777777" w:rsidR="00111157" w:rsidRPr="00D04502" w:rsidRDefault="00111157" w:rsidP="00E20090">
      <w:pPr>
        <w:pStyle w:val="Bulletlist1"/>
        <w:ind w:left="1418" w:hanging="357"/>
      </w:pPr>
      <w:r w:rsidRPr="00D04502">
        <w:t>variability in composition,</w:t>
      </w:r>
    </w:p>
    <w:p w14:paraId="1693AB7A" w14:textId="77777777" w:rsidR="00111157" w:rsidRPr="00D04502" w:rsidRDefault="00111157" w:rsidP="00E20090">
      <w:pPr>
        <w:pStyle w:val="Bulletlist1"/>
        <w:ind w:left="1418" w:hanging="357"/>
      </w:pPr>
      <w:r w:rsidRPr="00D04502">
        <w:t>site material re-use and on-site storage, spoil heap protection,</w:t>
      </w:r>
    </w:p>
    <w:p w14:paraId="3A262A3B" w14:textId="77777777" w:rsidR="00111157" w:rsidRPr="00D04502" w:rsidRDefault="00111157" w:rsidP="00E20090">
      <w:pPr>
        <w:pStyle w:val="Bulletlist1"/>
        <w:ind w:left="1418" w:hanging="357"/>
      </w:pPr>
      <w:r w:rsidRPr="00D04502">
        <w:t>restrictions on off-site disposal,</w:t>
      </w:r>
    </w:p>
    <w:p w14:paraId="652EFB23" w14:textId="77777777" w:rsidR="00111157" w:rsidRPr="00D04502" w:rsidRDefault="00111157" w:rsidP="00E20090">
      <w:pPr>
        <w:pStyle w:val="Bulletlist1"/>
        <w:ind w:left="1418" w:hanging="357"/>
      </w:pPr>
      <w:r w:rsidRPr="00D04502">
        <w:lastRenderedPageBreak/>
        <w:t>on site processing sequencing,</w:t>
      </w:r>
    </w:p>
    <w:p w14:paraId="56656885" w14:textId="77777777" w:rsidR="00111157" w:rsidRPr="00D04502" w:rsidRDefault="00111157" w:rsidP="00E20090">
      <w:pPr>
        <w:pStyle w:val="Bulletlist1"/>
        <w:ind w:left="1418" w:hanging="357"/>
      </w:pPr>
      <w:r w:rsidRPr="00D04502">
        <w:t>storage issues and weathering post processing,</w:t>
      </w:r>
    </w:p>
    <w:p w14:paraId="0B67AB5C" w14:textId="77777777" w:rsidR="00111157" w:rsidRPr="00D04502" w:rsidRDefault="00111157" w:rsidP="00E20090">
      <w:pPr>
        <w:pStyle w:val="Bulletlist1"/>
        <w:ind w:left="1418" w:hanging="357"/>
      </w:pPr>
      <w:r w:rsidRPr="00D04502">
        <w:t>compaction difficulties and trials to demonstrate adequacy,</w:t>
      </w:r>
    </w:p>
    <w:p w14:paraId="23259143" w14:textId="77777777" w:rsidR="00111157" w:rsidRPr="00D04502" w:rsidRDefault="00111157" w:rsidP="00D968F8">
      <w:pPr>
        <w:pStyle w:val="F9-Paragraph"/>
        <w:numPr>
          <w:ilvl w:val="0"/>
          <w:numId w:val="0"/>
        </w:numPr>
        <w:ind w:left="851"/>
        <w:rPr>
          <w:b/>
          <w:bCs/>
        </w:rPr>
      </w:pPr>
      <w:r w:rsidRPr="00D04502">
        <w:rPr>
          <w:b/>
          <w:bCs/>
        </w:rPr>
        <w:t>Soft clays, silts and loose sands:</w:t>
      </w:r>
    </w:p>
    <w:p w14:paraId="73426A97" w14:textId="77777777" w:rsidR="00111157" w:rsidRPr="00D04502" w:rsidRDefault="00111157" w:rsidP="00E20090">
      <w:pPr>
        <w:pStyle w:val="Bulletlist1"/>
        <w:ind w:left="1418" w:hanging="357"/>
      </w:pPr>
      <w:r w:rsidRPr="00D04502">
        <w:t>unstable cut slopes,</w:t>
      </w:r>
    </w:p>
    <w:p w14:paraId="560005FC" w14:textId="77777777" w:rsidR="00111157" w:rsidRPr="00D04502" w:rsidRDefault="00111157" w:rsidP="00E20090">
      <w:pPr>
        <w:pStyle w:val="Bulletlist1"/>
        <w:ind w:left="1418" w:hanging="357"/>
      </w:pPr>
      <w:r w:rsidRPr="00D04502">
        <w:t>plant and equipment not compatible with muddy conditions,</w:t>
      </w:r>
    </w:p>
    <w:p w14:paraId="59F27A60" w14:textId="77777777" w:rsidR="00111157" w:rsidRPr="00D04502" w:rsidRDefault="00111157" w:rsidP="00E20090">
      <w:pPr>
        <w:pStyle w:val="Bulletlist1"/>
        <w:ind w:left="1418" w:hanging="357"/>
      </w:pPr>
      <w:r w:rsidRPr="00D04502">
        <w:t>lateral squeezing into unlined pile shafts,</w:t>
      </w:r>
    </w:p>
    <w:p w14:paraId="464D88F2" w14:textId="77777777" w:rsidR="00111157" w:rsidRPr="00D04502" w:rsidRDefault="00111157" w:rsidP="00E20090">
      <w:pPr>
        <w:pStyle w:val="Bulletlist1"/>
        <w:ind w:left="1418" w:hanging="357"/>
      </w:pPr>
      <w:r w:rsidRPr="00D04502">
        <w:t>soft spots,</w:t>
      </w:r>
    </w:p>
    <w:p w14:paraId="278B7E1D" w14:textId="77777777" w:rsidR="00111157" w:rsidRPr="00D04502" w:rsidRDefault="00111157" w:rsidP="00E20090">
      <w:pPr>
        <w:pStyle w:val="Bulletlist1"/>
        <w:ind w:left="1418" w:hanging="357"/>
      </w:pPr>
      <w:r w:rsidRPr="00D04502">
        <w:t>‘boiling’ in open excavations and shafts,</w:t>
      </w:r>
    </w:p>
    <w:p w14:paraId="2D71DBFA" w14:textId="77777777" w:rsidR="00111157" w:rsidRPr="00D04502" w:rsidRDefault="00111157" w:rsidP="00E20090">
      <w:pPr>
        <w:pStyle w:val="Bulletlist1"/>
        <w:ind w:left="1418" w:hanging="357"/>
      </w:pPr>
      <w:r w:rsidRPr="00D04502">
        <w:t>liquefaction.</w:t>
      </w:r>
    </w:p>
    <w:p w14:paraId="0410DD91" w14:textId="77777777" w:rsidR="00111157" w:rsidRPr="00D04502" w:rsidRDefault="00111157" w:rsidP="00D968F8">
      <w:pPr>
        <w:pStyle w:val="F9-Paragraph"/>
        <w:numPr>
          <w:ilvl w:val="0"/>
          <w:numId w:val="0"/>
        </w:numPr>
        <w:ind w:left="851"/>
        <w:rPr>
          <w:b/>
          <w:bCs/>
        </w:rPr>
      </w:pPr>
      <w:r w:rsidRPr="00D04502">
        <w:rPr>
          <w:b/>
          <w:bCs/>
        </w:rPr>
        <w:t>Stiff Clays, Silts and Weak Rock:</w:t>
      </w:r>
    </w:p>
    <w:p w14:paraId="1610ABB1" w14:textId="77777777" w:rsidR="00111157" w:rsidRPr="00D04502" w:rsidRDefault="00111157" w:rsidP="00E20090">
      <w:pPr>
        <w:pStyle w:val="Bulletlist1"/>
        <w:ind w:left="1418" w:hanging="357"/>
      </w:pPr>
      <w:r w:rsidRPr="00D04502">
        <w:t>boulders,</w:t>
      </w:r>
    </w:p>
    <w:p w14:paraId="189758A1" w14:textId="77777777" w:rsidR="00111157" w:rsidRPr="00D04502" w:rsidRDefault="00111157" w:rsidP="00E20090">
      <w:pPr>
        <w:pStyle w:val="Bulletlist1"/>
        <w:ind w:left="1418" w:hanging="357"/>
      </w:pPr>
      <w:r w:rsidRPr="00D04502">
        <w:t>indurated zones (hard layers),</w:t>
      </w:r>
    </w:p>
    <w:p w14:paraId="012FDC3A" w14:textId="77777777" w:rsidR="00111157" w:rsidRPr="00D04502" w:rsidRDefault="00111157" w:rsidP="00E20090">
      <w:pPr>
        <w:pStyle w:val="Bulletlist1"/>
        <w:ind w:left="1418" w:hanging="357"/>
      </w:pPr>
      <w:r w:rsidRPr="00D04502">
        <w:t>base heave,</w:t>
      </w:r>
    </w:p>
    <w:p w14:paraId="24205857" w14:textId="77777777" w:rsidR="00111157" w:rsidRPr="00D04502" w:rsidRDefault="00111157" w:rsidP="00E20090">
      <w:pPr>
        <w:pStyle w:val="Bulletlist1"/>
        <w:ind w:left="1418" w:hanging="357"/>
      </w:pPr>
      <w:r w:rsidRPr="00D04502">
        <w:t>unstable joints and fissures,</w:t>
      </w:r>
    </w:p>
    <w:p w14:paraId="07E9CF16" w14:textId="77777777" w:rsidR="00111157" w:rsidRPr="00D04502" w:rsidRDefault="00111157" w:rsidP="00E20090">
      <w:pPr>
        <w:pStyle w:val="Bulletlist1"/>
        <w:ind w:left="1418" w:hanging="357"/>
      </w:pPr>
      <w:r w:rsidRPr="00D04502">
        <w:t>hard spots,</w:t>
      </w:r>
    </w:p>
    <w:p w14:paraId="2FBA36ED" w14:textId="77777777" w:rsidR="00111157" w:rsidRPr="00D04502" w:rsidRDefault="00111157" w:rsidP="00E20090">
      <w:pPr>
        <w:pStyle w:val="Bulletlist1"/>
        <w:ind w:left="1418" w:hanging="357"/>
      </w:pPr>
      <w:r w:rsidRPr="00D04502">
        <w:t>swelling soils.</w:t>
      </w:r>
    </w:p>
    <w:p w14:paraId="15D9FF93" w14:textId="77777777" w:rsidR="00111157" w:rsidRPr="00D04502" w:rsidRDefault="00111157" w:rsidP="00D968F8">
      <w:pPr>
        <w:pStyle w:val="F9-Paragraph"/>
        <w:numPr>
          <w:ilvl w:val="0"/>
          <w:numId w:val="0"/>
        </w:numPr>
        <w:ind w:left="851"/>
        <w:rPr>
          <w:b/>
          <w:bCs/>
        </w:rPr>
      </w:pPr>
      <w:r w:rsidRPr="00D04502">
        <w:rPr>
          <w:b/>
          <w:bCs/>
        </w:rPr>
        <w:t>Rock Excavation:</w:t>
      </w:r>
    </w:p>
    <w:p w14:paraId="672E6196" w14:textId="77777777" w:rsidR="00111157" w:rsidRPr="00D04502" w:rsidRDefault="00111157" w:rsidP="00E20090">
      <w:pPr>
        <w:pStyle w:val="Bulletlist1"/>
        <w:ind w:left="1418" w:hanging="357"/>
      </w:pPr>
      <w:r w:rsidRPr="00D04502">
        <w:t>ability to excavate very hard rock,</w:t>
      </w:r>
    </w:p>
    <w:p w14:paraId="79629C01" w14:textId="77777777" w:rsidR="00111157" w:rsidRPr="00D04502" w:rsidRDefault="00111157" w:rsidP="00E20090">
      <w:pPr>
        <w:pStyle w:val="Bulletlist1"/>
        <w:ind w:left="1418" w:hanging="357"/>
      </w:pPr>
      <w:r w:rsidRPr="00D04502">
        <w:t>unstable joint orientation, faulting,</w:t>
      </w:r>
    </w:p>
    <w:p w14:paraId="5707D915" w14:textId="77777777" w:rsidR="00111157" w:rsidRPr="00D04502" w:rsidRDefault="00111157" w:rsidP="00E20090">
      <w:pPr>
        <w:pStyle w:val="Bulletlist1"/>
        <w:ind w:left="1418" w:hanging="357"/>
      </w:pPr>
      <w:r w:rsidRPr="00D04502">
        <w:t>vibration and noise,</w:t>
      </w:r>
    </w:p>
    <w:p w14:paraId="631FEB3F" w14:textId="77777777" w:rsidR="00111157" w:rsidRPr="00D04502" w:rsidRDefault="00111157" w:rsidP="00E20090">
      <w:pPr>
        <w:pStyle w:val="Bulletlist1"/>
        <w:ind w:left="1418" w:hanging="357"/>
      </w:pPr>
      <w:r w:rsidRPr="00D04502">
        <w:t>potential fly-rock from blasting or trimming activities.</w:t>
      </w:r>
    </w:p>
    <w:p w14:paraId="30C30468" w14:textId="71788D02" w:rsidR="009A275F" w:rsidRPr="00D04502" w:rsidRDefault="009A275F" w:rsidP="00E43135">
      <w:pPr>
        <w:pStyle w:val="Heading3"/>
      </w:pPr>
      <w:r w:rsidRPr="00D04502">
        <w:t xml:space="preserve">Piled </w:t>
      </w:r>
      <w:r w:rsidR="008458E2">
        <w:t>f</w:t>
      </w:r>
      <w:r w:rsidRPr="00D04502">
        <w:t xml:space="preserve">oundation </w:t>
      </w:r>
      <w:r w:rsidR="008458E2">
        <w:t>d</w:t>
      </w:r>
      <w:r w:rsidRPr="00D04502">
        <w:t>esign</w:t>
      </w:r>
    </w:p>
    <w:p w14:paraId="554AD961" w14:textId="77777777" w:rsidR="000A3CFA" w:rsidRPr="00D04502" w:rsidRDefault="001C3F88" w:rsidP="000A3CFA">
      <w:pPr>
        <w:pStyle w:val="F9-Paragraph"/>
        <w:ind w:left="851" w:hanging="851"/>
      </w:pPr>
      <w:r w:rsidRPr="00D04502">
        <w:t>SAP ECS.3 requires that SSCs important to safety are designed and constructed, tested and maintained etc. to appropriate standards.</w:t>
      </w:r>
    </w:p>
    <w:p w14:paraId="6864B83C" w14:textId="77777777" w:rsidR="008458E2" w:rsidRDefault="008458E2" w:rsidP="000A3CFA">
      <w:pPr>
        <w:pStyle w:val="F9-Paragraph"/>
        <w:ind w:left="851" w:hanging="851"/>
        <w:sectPr w:rsidR="008458E2">
          <w:pgSz w:w="11906" w:h="16838"/>
          <w:pgMar w:top="1440" w:right="1440" w:bottom="1440" w:left="1440" w:header="708" w:footer="708" w:gutter="0"/>
          <w:cols w:space="708"/>
          <w:docGrid w:linePitch="360"/>
        </w:sectPr>
      </w:pPr>
    </w:p>
    <w:p w14:paraId="5202108E" w14:textId="52CE7427" w:rsidR="0043026F" w:rsidRPr="00D04502" w:rsidRDefault="0043026F" w:rsidP="000A3CFA">
      <w:pPr>
        <w:pStyle w:val="F9-Paragraph"/>
        <w:ind w:left="851" w:hanging="851"/>
      </w:pPr>
      <w:r w:rsidRPr="00D04502">
        <w:lastRenderedPageBreak/>
        <w:t>ECE.2 requires the justification for piling to be supported by several independent arguments. SAP paragraph 282 provides the basis for this consideration, while paragraph 284 establishes it as the standard for all classification levels, with the level of stringency varying by classification. Mechanical structures principles are relevant to civil engineering design cases.</w:t>
      </w:r>
    </w:p>
    <w:p w14:paraId="3441EEE1" w14:textId="77777777" w:rsidR="0043026F" w:rsidRPr="00D04502" w:rsidRDefault="0043026F" w:rsidP="000A3CFA">
      <w:pPr>
        <w:pStyle w:val="F9-Paragraph"/>
        <w:ind w:left="851" w:hanging="851"/>
      </w:pPr>
      <w:r w:rsidRPr="00D04502">
        <w:t>In addition, the Inspector should be aware that the margins to failure under progressive failure of the system should be determined in line with the expectations of SC.5, ERL.4 and EAD.2, where the design should take account of:</w:t>
      </w:r>
    </w:p>
    <w:p w14:paraId="60760FAB" w14:textId="77777777" w:rsidR="0043026F" w:rsidRPr="00D04502" w:rsidRDefault="0043026F" w:rsidP="000A3CFA">
      <w:pPr>
        <w:pStyle w:val="Bulletlist1"/>
        <w:ind w:left="1418" w:hanging="357"/>
      </w:pPr>
      <w:r w:rsidRPr="00D04502">
        <w:t>individual unit loading,</w:t>
      </w:r>
    </w:p>
    <w:p w14:paraId="2C43FC79" w14:textId="77777777" w:rsidR="0043026F" w:rsidRPr="00D04502" w:rsidRDefault="0043026F" w:rsidP="000A3CFA">
      <w:pPr>
        <w:pStyle w:val="Bulletlist1"/>
        <w:ind w:left="1418" w:hanging="357"/>
      </w:pPr>
      <w:r w:rsidRPr="00D04502">
        <w:t>system loadings,</w:t>
      </w:r>
    </w:p>
    <w:p w14:paraId="47397045" w14:textId="77777777" w:rsidR="0043026F" w:rsidRPr="00D04502" w:rsidRDefault="0043026F" w:rsidP="000A3CFA">
      <w:pPr>
        <w:pStyle w:val="Bulletlist1"/>
        <w:ind w:left="1418" w:hanging="357"/>
      </w:pPr>
      <w:r w:rsidRPr="00D04502">
        <w:t>margin determination should include structural limits for failure of several adjacent individual units,</w:t>
      </w:r>
    </w:p>
    <w:p w14:paraId="0194D765" w14:textId="77777777" w:rsidR="0043026F" w:rsidRPr="00D04502" w:rsidRDefault="0043026F" w:rsidP="000A3CFA">
      <w:pPr>
        <w:pStyle w:val="Bulletlist1"/>
        <w:ind w:left="1418" w:hanging="357"/>
      </w:pPr>
      <w:r w:rsidRPr="00D04502">
        <w:t>the level of redundancy in each situation should be appropriate to the Safety Classification of the system.</w:t>
      </w:r>
    </w:p>
    <w:p w14:paraId="6CE455E5" w14:textId="7AFCB746" w:rsidR="00C22D2E" w:rsidRPr="00D04502" w:rsidRDefault="0043026F" w:rsidP="00C22D2E">
      <w:pPr>
        <w:pStyle w:val="F9-Paragraph"/>
        <w:ind w:left="851" w:hanging="851"/>
      </w:pPr>
      <w:r w:rsidRPr="00D04502">
        <w:t xml:space="preserve">As inspection and testing in operation is not generally practicable, inspection and validation of the works during construction is significant as it is this aspect which will give confidence in the ageing and durability qualities of the system. The expectations for inspection and validation are addressed by SAP’s ECE.8, ECE.18, ECE.20, EQU.1. The Inspector may wish to seek assurance that the design is based where practicable on relevant tests. </w:t>
      </w:r>
      <w:r w:rsidR="008458E2">
        <w:br/>
      </w:r>
      <w:r w:rsidRPr="00D04502">
        <w:t>For example, piles subject to Tension ‘uplift tests’, pile compression tests, laterally loaded piles tested to failure to determine lateral, rotational and ultimate performance of the design. The Inspector may wish to seek assurance that a conservative analysis and design is carried out with enhanced load factors where high safety significance, and / or low confidence in material properties exist. The Inspector may wish to seek assurance that the design is clear and explicit in terms of the margins available in the design under all loading conditions considered, in line with the expectations of ECS.5.</w:t>
      </w:r>
    </w:p>
    <w:p w14:paraId="4617E661" w14:textId="47FA9EBA" w:rsidR="0043026F" w:rsidRPr="00D04502" w:rsidRDefault="000A3CFA" w:rsidP="00C22D2E">
      <w:pPr>
        <w:pStyle w:val="F9-Paragraph"/>
        <w:ind w:left="851" w:hanging="851"/>
      </w:pPr>
      <w:r w:rsidRPr="00D04502">
        <w:t xml:space="preserve">Since inspection and testing during operation is typically impractical, thorough inspection and validation during construction are crucial to ensure the system’s long-term durability and ageing performance. SAPs ECE.8, ECE.18, ECE.20, and EQU.1 outline these expectations. Inspectors </w:t>
      </w:r>
      <w:r w:rsidR="00BD4175" w:rsidRPr="00D04502">
        <w:t>may wish to</w:t>
      </w:r>
      <w:r w:rsidRPr="00D04502">
        <w:t xml:space="preserve"> verify that the design is, where possible, supported by relevant tests—such as pile uplift, compression, and lateral load tests to failure—to confirm all aspects of performance. </w:t>
      </w:r>
      <w:r w:rsidR="00BD4175" w:rsidRPr="00D04502">
        <w:t xml:space="preserve">The Inspector may wish to seek assurance that </w:t>
      </w:r>
      <w:r w:rsidRPr="00D04502">
        <w:t>conservative analysis and design, including enhanced load factors, are applied where safety significance is high or material properties are uncertain. Additionally, the design should clearly specify the safety margins under all anticipated loading conditions, as required by ECS.5.</w:t>
      </w:r>
    </w:p>
    <w:p w14:paraId="1DEDE2EB" w14:textId="1B496DCA" w:rsidR="0043026F" w:rsidRPr="00D04502" w:rsidRDefault="00DC324A" w:rsidP="0072752E">
      <w:pPr>
        <w:pStyle w:val="F9-Paragraph"/>
        <w:ind w:left="851" w:hanging="851"/>
      </w:pPr>
      <w:r w:rsidRPr="00D04502">
        <w:rPr>
          <w:rFonts w:eastAsia="Calibri"/>
        </w:rPr>
        <w:lastRenderedPageBreak/>
        <w:t>The Inspector should ensure that the quality standards established in the design phase continue through construction, with workmanship, inspection, testing, and validation during construction appropriately matched to the system’s classification, in line with ECS.5 and EQU.1 expectations.</w:t>
      </w:r>
    </w:p>
    <w:p w14:paraId="6247D907" w14:textId="603EDC66" w:rsidR="00020552" w:rsidRPr="00D04502" w:rsidRDefault="00020552" w:rsidP="00020552">
      <w:pPr>
        <w:pStyle w:val="F9-Paragraph"/>
        <w:ind w:left="851" w:hanging="851"/>
      </w:pPr>
      <w:r w:rsidRPr="00D04502">
        <w:t>The inspector should be aware of the issues regarding pile design under seismic loading such as complexity of the assessment (nonlinear SSI), loss of soil support and buckling</w:t>
      </w:r>
      <w:r w:rsidR="00A92036" w:rsidRPr="00D04502">
        <w:t>.</w:t>
      </w:r>
    </w:p>
    <w:p w14:paraId="1E8E5C88" w14:textId="500E7841" w:rsidR="00F06499" w:rsidRPr="00D04502" w:rsidRDefault="00F06499" w:rsidP="00E43135">
      <w:pPr>
        <w:pStyle w:val="Heading3"/>
      </w:pPr>
      <w:r w:rsidRPr="00D04502">
        <w:t xml:space="preserve">Pile </w:t>
      </w:r>
      <w:r w:rsidR="00C609BC">
        <w:t>c</w:t>
      </w:r>
      <w:r w:rsidRPr="00D04502">
        <w:t xml:space="preserve">onstruction and </w:t>
      </w:r>
      <w:r w:rsidR="00C609BC">
        <w:t>t</w:t>
      </w:r>
      <w:r w:rsidRPr="00D04502">
        <w:t>esting</w:t>
      </w:r>
    </w:p>
    <w:p w14:paraId="6A25A6FC" w14:textId="56283FA3" w:rsidR="008C53A1" w:rsidRPr="00D04502" w:rsidRDefault="008C53A1" w:rsidP="008C53A1">
      <w:pPr>
        <w:pStyle w:val="F9-Paragraph"/>
        <w:ind w:left="851" w:hanging="851"/>
      </w:pPr>
      <w:r w:rsidRPr="00D04502">
        <w:t xml:space="preserve">The Inspector should recognise the importance of accurately setting out, positioning, and aligning piles to ensure their effectiveness. The dutyholder must not accept the founding level of a driven pile based solely on ‘set’. </w:t>
      </w:r>
      <w:r w:rsidR="00C609BC">
        <w:br/>
      </w:r>
      <w:r w:rsidRPr="00D04502">
        <w:t>The Inspector may wish to confirm that construction assurance measures are in place to verify piles are installed in the correct stratum.</w:t>
      </w:r>
    </w:p>
    <w:p w14:paraId="41841126" w14:textId="16E40BA8" w:rsidR="008C53A1" w:rsidRPr="00D04502" w:rsidRDefault="00C4274E" w:rsidP="00C4274E">
      <w:pPr>
        <w:pStyle w:val="F9-Paragraph"/>
        <w:ind w:left="851" w:hanging="851"/>
      </w:pPr>
      <w:r w:rsidRPr="00D04502">
        <w:t>Inspectors should note that while testing rates for conventional structures (class 3) may follow standard industry practice, higher classifications require increased testing rates in line with ECS.4 and ECS.5, especially where safety demands are high.</w:t>
      </w:r>
    </w:p>
    <w:p w14:paraId="0292C576" w14:textId="35B9DCDC" w:rsidR="008C53A1" w:rsidRPr="00D04502" w:rsidRDefault="008C53A1" w:rsidP="00C4274E">
      <w:pPr>
        <w:pStyle w:val="F9-Paragraph"/>
        <w:ind w:left="851" w:hanging="851"/>
      </w:pPr>
      <w:r w:rsidRPr="00D04502">
        <w:t xml:space="preserve">The Inspector may wish to use </w:t>
      </w:r>
      <w:r w:rsidR="00C609BC">
        <w:fldChar w:fldCharType="begin"/>
      </w:r>
      <w:r w:rsidR="00C609BC">
        <w:instrText xml:space="preserve"> REF _Ref234831506 \h </w:instrText>
      </w:r>
      <w:r w:rsidR="00C609BC">
        <w:fldChar w:fldCharType="separate"/>
      </w:r>
      <w:r w:rsidR="00C609BC">
        <w:t xml:space="preserve">Table </w:t>
      </w:r>
      <w:r w:rsidR="00C609BC">
        <w:rPr>
          <w:noProof/>
        </w:rPr>
        <w:t>1</w:t>
      </w:r>
      <w:r w:rsidR="00C609BC">
        <w:fldChar w:fldCharType="end"/>
      </w:r>
      <w:r w:rsidR="00C609BC">
        <w:t xml:space="preserve"> </w:t>
      </w:r>
      <w:r w:rsidRPr="00D04502">
        <w:t>as guidance when assessing dutyholders arrangements intended to demonstrate assurance of system attributes for each class of SSC:</w:t>
      </w:r>
    </w:p>
    <w:p w14:paraId="6DBD2AB7" w14:textId="24CFE495" w:rsidR="00C609BC" w:rsidRDefault="00C609BC" w:rsidP="00C609BC">
      <w:pPr>
        <w:pStyle w:val="Caption"/>
        <w:keepNext/>
        <w:spacing w:before="240" w:after="120"/>
        <w:ind w:left="851"/>
      </w:pPr>
      <w:bookmarkStart w:id="22" w:name="_Ref234831506"/>
      <w:r>
        <w:t xml:space="preserve">Table </w:t>
      </w:r>
      <w:fldSimple w:instr=" SEQ Table \* ARABIC ">
        <w:r>
          <w:rPr>
            <w:noProof/>
          </w:rPr>
          <w:t>1</w:t>
        </w:r>
      </w:fldSimple>
      <w:bookmarkEnd w:id="22"/>
      <w:r>
        <w:t xml:space="preserve"> - </w:t>
      </w:r>
      <w:r w:rsidRPr="00036E38">
        <w:t>Basis of expectations of piling validation based on classification.</w:t>
      </w:r>
    </w:p>
    <w:tbl>
      <w:tblPr>
        <w:tblStyle w:val="TableGrid"/>
        <w:tblW w:w="7933" w:type="dxa"/>
        <w:tblInd w:w="851" w:type="dxa"/>
        <w:tblLook w:val="01E0" w:firstRow="1" w:lastRow="1" w:firstColumn="1" w:lastColumn="1" w:noHBand="0" w:noVBand="0"/>
      </w:tblPr>
      <w:tblGrid>
        <w:gridCol w:w="2126"/>
        <w:gridCol w:w="3544"/>
        <w:gridCol w:w="2263"/>
      </w:tblGrid>
      <w:tr w:rsidR="00C13537" w:rsidRPr="00D04502" w14:paraId="413AC2A4" w14:textId="77777777" w:rsidTr="00C609BC">
        <w:tc>
          <w:tcPr>
            <w:tcW w:w="2126" w:type="dxa"/>
            <w:tcBorders>
              <w:top w:val="nil"/>
              <w:left w:val="nil"/>
              <w:bottom w:val="single" w:sz="4" w:space="0" w:color="auto"/>
            </w:tcBorders>
            <w:shd w:val="clear" w:color="auto" w:fill="D4EFE5"/>
          </w:tcPr>
          <w:p w14:paraId="4CB54A5B" w14:textId="77777777" w:rsidR="00C13537" w:rsidRPr="00D04502" w:rsidRDefault="00C13537" w:rsidP="00C609BC">
            <w:pPr>
              <w:spacing w:before="60" w:after="60"/>
              <w:rPr>
                <w:b/>
              </w:rPr>
            </w:pPr>
            <w:r w:rsidRPr="00D04502">
              <w:rPr>
                <w:b/>
              </w:rPr>
              <w:t>Attribute</w:t>
            </w:r>
          </w:p>
        </w:tc>
        <w:tc>
          <w:tcPr>
            <w:tcW w:w="3544" w:type="dxa"/>
            <w:tcBorders>
              <w:top w:val="nil"/>
              <w:bottom w:val="single" w:sz="4" w:space="0" w:color="auto"/>
            </w:tcBorders>
            <w:shd w:val="clear" w:color="auto" w:fill="D4EFE5"/>
          </w:tcPr>
          <w:p w14:paraId="61F26FE8" w14:textId="77777777" w:rsidR="00C13537" w:rsidRPr="00D04502" w:rsidRDefault="00C13537" w:rsidP="00C609BC">
            <w:pPr>
              <w:spacing w:before="60" w:after="60"/>
              <w:rPr>
                <w:b/>
              </w:rPr>
            </w:pPr>
            <w:r w:rsidRPr="00D04502">
              <w:rPr>
                <w:b/>
              </w:rPr>
              <w:t>Class 1 and Class 2</w:t>
            </w:r>
          </w:p>
        </w:tc>
        <w:tc>
          <w:tcPr>
            <w:tcW w:w="2263" w:type="dxa"/>
            <w:tcBorders>
              <w:top w:val="nil"/>
              <w:bottom w:val="single" w:sz="4" w:space="0" w:color="auto"/>
              <w:right w:val="nil"/>
            </w:tcBorders>
            <w:shd w:val="clear" w:color="auto" w:fill="D4EFE5"/>
          </w:tcPr>
          <w:p w14:paraId="2CBBF1DF" w14:textId="77777777" w:rsidR="00C13537" w:rsidRPr="00D04502" w:rsidRDefault="00C13537" w:rsidP="00C609BC">
            <w:pPr>
              <w:spacing w:before="60" w:after="60"/>
              <w:rPr>
                <w:b/>
              </w:rPr>
            </w:pPr>
            <w:r w:rsidRPr="00D04502">
              <w:rPr>
                <w:b/>
              </w:rPr>
              <w:t>Class 3</w:t>
            </w:r>
          </w:p>
        </w:tc>
      </w:tr>
      <w:tr w:rsidR="00C13537" w:rsidRPr="00D04502" w14:paraId="060145D2" w14:textId="77777777" w:rsidTr="00C609BC">
        <w:tc>
          <w:tcPr>
            <w:tcW w:w="2126" w:type="dxa"/>
            <w:tcBorders>
              <w:left w:val="nil"/>
            </w:tcBorders>
          </w:tcPr>
          <w:p w14:paraId="0649E420" w14:textId="77777777" w:rsidR="00C13537" w:rsidRPr="00D04502" w:rsidRDefault="00C13537" w:rsidP="00C609BC">
            <w:pPr>
              <w:spacing w:before="60" w:after="60"/>
            </w:pPr>
            <w:r w:rsidRPr="00D04502">
              <w:t>Load Factors</w:t>
            </w:r>
          </w:p>
        </w:tc>
        <w:tc>
          <w:tcPr>
            <w:tcW w:w="3544" w:type="dxa"/>
          </w:tcPr>
          <w:p w14:paraId="21700BB3" w14:textId="1F3A64E1" w:rsidR="00C13537" w:rsidRPr="00D04502" w:rsidRDefault="00C13537" w:rsidP="00C609BC">
            <w:pPr>
              <w:spacing w:before="60" w:after="60"/>
            </w:pPr>
            <w:r w:rsidRPr="00D04502">
              <w:t>Nuclear Standard</w:t>
            </w:r>
            <w:r w:rsidR="00506200" w:rsidRPr="00D04502">
              <w:br/>
            </w:r>
            <w:r w:rsidRPr="00D04502">
              <w:t>ACI 349 or equivalent</w:t>
            </w:r>
          </w:p>
        </w:tc>
        <w:tc>
          <w:tcPr>
            <w:tcW w:w="2263" w:type="dxa"/>
            <w:tcBorders>
              <w:right w:val="nil"/>
            </w:tcBorders>
          </w:tcPr>
          <w:p w14:paraId="627D8FC4" w14:textId="77777777" w:rsidR="00C13537" w:rsidRPr="00D04502" w:rsidRDefault="00C13537" w:rsidP="00C609BC">
            <w:pPr>
              <w:spacing w:before="60" w:after="60"/>
            </w:pPr>
            <w:r w:rsidRPr="00D04502">
              <w:t>BS6399 / BSEN1991</w:t>
            </w:r>
          </w:p>
        </w:tc>
      </w:tr>
      <w:tr w:rsidR="00C13537" w:rsidRPr="00D04502" w14:paraId="3AF420E5" w14:textId="77777777" w:rsidTr="00C609BC">
        <w:tc>
          <w:tcPr>
            <w:tcW w:w="2126" w:type="dxa"/>
            <w:tcBorders>
              <w:left w:val="nil"/>
            </w:tcBorders>
          </w:tcPr>
          <w:p w14:paraId="79E0472D" w14:textId="77777777" w:rsidR="00C13537" w:rsidRPr="00D04502" w:rsidRDefault="00C13537" w:rsidP="00C609BC">
            <w:pPr>
              <w:spacing w:before="60" w:after="60"/>
            </w:pPr>
            <w:r w:rsidRPr="00D04502">
              <w:t>Analysis</w:t>
            </w:r>
          </w:p>
        </w:tc>
        <w:tc>
          <w:tcPr>
            <w:tcW w:w="3544" w:type="dxa"/>
          </w:tcPr>
          <w:p w14:paraId="1E3875A5" w14:textId="66A9DC48" w:rsidR="00C13537" w:rsidRPr="00D04502" w:rsidRDefault="00C13537" w:rsidP="00C609BC">
            <w:pPr>
              <w:spacing w:before="60" w:after="60"/>
            </w:pPr>
            <w:r w:rsidRPr="00D04502">
              <w:t>Nuclear Standard</w:t>
            </w:r>
            <w:r w:rsidR="00506200" w:rsidRPr="00D04502">
              <w:br/>
            </w:r>
            <w:r w:rsidRPr="00D04502">
              <w:t xml:space="preserve">ASCE 4-16 </w:t>
            </w:r>
          </w:p>
        </w:tc>
        <w:tc>
          <w:tcPr>
            <w:tcW w:w="2263" w:type="dxa"/>
            <w:tcBorders>
              <w:right w:val="nil"/>
            </w:tcBorders>
          </w:tcPr>
          <w:p w14:paraId="7705F77B" w14:textId="77777777" w:rsidR="00C13537" w:rsidRPr="00D04502" w:rsidRDefault="00C13537" w:rsidP="00C609BC">
            <w:pPr>
              <w:spacing w:before="60" w:after="60"/>
            </w:pPr>
            <w:r w:rsidRPr="00D04502">
              <w:t>Static Analysis</w:t>
            </w:r>
          </w:p>
        </w:tc>
      </w:tr>
      <w:tr w:rsidR="00C13537" w:rsidRPr="00D04502" w14:paraId="5C4C31F2" w14:textId="77777777" w:rsidTr="00C609BC">
        <w:tc>
          <w:tcPr>
            <w:tcW w:w="2126" w:type="dxa"/>
            <w:tcBorders>
              <w:left w:val="nil"/>
              <w:bottom w:val="single" w:sz="4" w:space="0" w:color="auto"/>
            </w:tcBorders>
          </w:tcPr>
          <w:p w14:paraId="429ECABB" w14:textId="77777777" w:rsidR="00C13537" w:rsidRPr="00D04502" w:rsidRDefault="00C13537" w:rsidP="00C609BC">
            <w:pPr>
              <w:spacing w:before="60" w:after="60"/>
            </w:pPr>
            <w:r w:rsidRPr="00D04502">
              <w:t>Margins</w:t>
            </w:r>
          </w:p>
        </w:tc>
        <w:tc>
          <w:tcPr>
            <w:tcW w:w="3544" w:type="dxa"/>
            <w:tcBorders>
              <w:bottom w:val="single" w:sz="4" w:space="0" w:color="auto"/>
            </w:tcBorders>
          </w:tcPr>
          <w:p w14:paraId="60D44418" w14:textId="77777777" w:rsidR="00C13537" w:rsidRPr="00D04502" w:rsidRDefault="00C13537" w:rsidP="00C609BC">
            <w:pPr>
              <w:spacing w:before="60" w:after="60"/>
            </w:pPr>
            <w:r w:rsidRPr="00D04502">
              <w:t>Normal and hazard loads. Progressive failure margin</w:t>
            </w:r>
          </w:p>
        </w:tc>
        <w:tc>
          <w:tcPr>
            <w:tcW w:w="2263" w:type="dxa"/>
            <w:tcBorders>
              <w:bottom w:val="single" w:sz="4" w:space="0" w:color="auto"/>
              <w:right w:val="nil"/>
            </w:tcBorders>
          </w:tcPr>
          <w:p w14:paraId="4A453698" w14:textId="77777777" w:rsidR="00C13537" w:rsidRPr="00D04502" w:rsidRDefault="00C13537" w:rsidP="00C609BC">
            <w:pPr>
              <w:spacing w:before="60" w:after="60"/>
            </w:pPr>
            <w:r w:rsidRPr="00D04502">
              <w:t>Relevant good practice</w:t>
            </w:r>
          </w:p>
        </w:tc>
      </w:tr>
      <w:tr w:rsidR="00C13537" w:rsidRPr="00D04502" w14:paraId="3CB5A629" w14:textId="77777777" w:rsidTr="00C609BC">
        <w:tc>
          <w:tcPr>
            <w:tcW w:w="2126" w:type="dxa"/>
            <w:tcBorders>
              <w:left w:val="nil"/>
            </w:tcBorders>
          </w:tcPr>
          <w:p w14:paraId="7224EAC0" w14:textId="77777777" w:rsidR="00C13537" w:rsidRPr="00D04502" w:rsidRDefault="00C13537" w:rsidP="00C609BC">
            <w:pPr>
              <w:spacing w:before="60" w:after="60"/>
            </w:pPr>
            <w:r w:rsidRPr="00D04502">
              <w:t>Pile inspection in construction</w:t>
            </w:r>
          </w:p>
        </w:tc>
        <w:tc>
          <w:tcPr>
            <w:tcW w:w="3544" w:type="dxa"/>
          </w:tcPr>
          <w:p w14:paraId="7165591C" w14:textId="2F6D66FE" w:rsidR="00C13537" w:rsidRPr="00D04502" w:rsidRDefault="00C13537" w:rsidP="00C609BC">
            <w:pPr>
              <w:spacing w:before="60" w:after="60"/>
            </w:pPr>
            <w:r w:rsidRPr="00D04502">
              <w:t>Full inspection of ground at toe prior to placement.</w:t>
            </w:r>
            <w:r w:rsidR="00506200" w:rsidRPr="00D04502">
              <w:br/>
            </w:r>
            <w:r w:rsidRPr="00D04502">
              <w:t xml:space="preserve">Inspection of reinforcement including cover </w:t>
            </w:r>
            <w:r w:rsidR="00506200" w:rsidRPr="00D04502">
              <w:br/>
            </w:r>
            <w:r w:rsidRPr="00D04502">
              <w:t xml:space="preserve">Full monitoring of concrete quality. </w:t>
            </w:r>
          </w:p>
        </w:tc>
        <w:tc>
          <w:tcPr>
            <w:tcW w:w="2263" w:type="dxa"/>
            <w:tcBorders>
              <w:right w:val="nil"/>
            </w:tcBorders>
          </w:tcPr>
          <w:p w14:paraId="5818710B" w14:textId="77777777" w:rsidR="00C13537" w:rsidRPr="00D04502" w:rsidRDefault="00C13537" w:rsidP="00C609BC">
            <w:pPr>
              <w:spacing w:before="60" w:after="60"/>
            </w:pPr>
            <w:r w:rsidRPr="00D04502">
              <w:t>Relevant Good Practice</w:t>
            </w:r>
          </w:p>
        </w:tc>
      </w:tr>
      <w:tr w:rsidR="00C13537" w:rsidRPr="00D04502" w14:paraId="1252BE22" w14:textId="77777777" w:rsidTr="00C609BC">
        <w:tc>
          <w:tcPr>
            <w:tcW w:w="2126" w:type="dxa"/>
            <w:tcBorders>
              <w:left w:val="nil"/>
            </w:tcBorders>
          </w:tcPr>
          <w:p w14:paraId="1FB453B4" w14:textId="77777777" w:rsidR="00C13537" w:rsidRPr="00D04502" w:rsidRDefault="00C13537" w:rsidP="00C609BC">
            <w:pPr>
              <w:spacing w:before="60" w:after="60"/>
              <w:rPr>
                <w:color w:val="0000FF"/>
              </w:rPr>
            </w:pPr>
            <w:r w:rsidRPr="00D04502">
              <w:t>Tests Inspection and checking</w:t>
            </w:r>
          </w:p>
        </w:tc>
        <w:tc>
          <w:tcPr>
            <w:tcW w:w="3544" w:type="dxa"/>
          </w:tcPr>
          <w:p w14:paraId="63FBEDF1" w14:textId="77777777" w:rsidR="00C13537" w:rsidRPr="00D04502" w:rsidRDefault="00C13537" w:rsidP="00C609BC">
            <w:pPr>
              <w:spacing w:before="60" w:after="60"/>
            </w:pPr>
            <w:r w:rsidRPr="00D04502">
              <w:t>100% Independent testing and inspection during design and construction.</w:t>
            </w:r>
          </w:p>
        </w:tc>
        <w:tc>
          <w:tcPr>
            <w:tcW w:w="2263" w:type="dxa"/>
            <w:tcBorders>
              <w:right w:val="nil"/>
            </w:tcBorders>
          </w:tcPr>
          <w:p w14:paraId="52E41050" w14:textId="77777777" w:rsidR="00C13537" w:rsidRPr="00D04502" w:rsidRDefault="00C13537" w:rsidP="00C609BC">
            <w:pPr>
              <w:keepNext/>
              <w:spacing w:before="60" w:after="60"/>
            </w:pPr>
            <w:r w:rsidRPr="00D04502">
              <w:t>In house inspection and testing by SQEPs</w:t>
            </w:r>
          </w:p>
        </w:tc>
      </w:tr>
    </w:tbl>
    <w:p w14:paraId="42B7062E" w14:textId="77777777" w:rsidR="00C609BC" w:rsidRDefault="00C609BC" w:rsidP="00562643">
      <w:pPr>
        <w:pStyle w:val="F9-Paragraph"/>
        <w:ind w:left="851" w:hanging="851"/>
        <w:rPr>
          <w:rFonts w:eastAsia="Calibri"/>
        </w:rPr>
        <w:sectPr w:rsidR="00C609BC">
          <w:pgSz w:w="11906" w:h="16838"/>
          <w:pgMar w:top="1440" w:right="1440" w:bottom="1440" w:left="1440" w:header="708" w:footer="708" w:gutter="0"/>
          <w:cols w:space="708"/>
          <w:docGrid w:linePitch="360"/>
        </w:sectPr>
      </w:pPr>
    </w:p>
    <w:p w14:paraId="6D9B3070" w14:textId="5B55E6E0" w:rsidR="006E0702" w:rsidRPr="00D04502" w:rsidRDefault="006E0702" w:rsidP="00562643">
      <w:pPr>
        <w:pStyle w:val="F9-Paragraph"/>
        <w:ind w:left="851" w:hanging="851"/>
      </w:pPr>
      <w:r w:rsidRPr="00D04502">
        <w:rPr>
          <w:rFonts w:eastAsia="Calibri"/>
        </w:rPr>
        <w:lastRenderedPageBreak/>
        <w:t xml:space="preserve">Numerous proprietary piling systems are available, each with distinct advantages and disadvantages depending on various factors. </w:t>
      </w:r>
      <w:r w:rsidR="00C609BC">
        <w:rPr>
          <w:rFonts w:eastAsia="Calibri"/>
        </w:rPr>
        <w:br/>
      </w:r>
      <w:r w:rsidRPr="00D04502">
        <w:rPr>
          <w:rFonts w:eastAsia="Calibri"/>
        </w:rPr>
        <w:t xml:space="preserve">Dutyholders typically appoint specialist piling contractors, and their choice of system may be influenced by considerations beyond quality. </w:t>
      </w:r>
      <w:r w:rsidR="00C609BC">
        <w:rPr>
          <w:rFonts w:eastAsia="Calibri"/>
        </w:rPr>
        <w:br/>
      </w:r>
      <w:r w:rsidRPr="00D04502">
        <w:rPr>
          <w:rFonts w:eastAsia="Calibri"/>
        </w:rPr>
        <w:t>Inspectors should note that the selection of piling method is often determined by ground conditions, groundwater, and other site-specific factors.</w:t>
      </w:r>
    </w:p>
    <w:p w14:paraId="1DAE1937" w14:textId="1BF685EE" w:rsidR="00904CFA" w:rsidRPr="00D04502" w:rsidRDefault="00904CFA" w:rsidP="00E43135">
      <w:pPr>
        <w:pStyle w:val="Heading3"/>
      </w:pPr>
      <w:r w:rsidRPr="00D04502">
        <w:t xml:space="preserve">Tension </w:t>
      </w:r>
      <w:r w:rsidR="00C609BC">
        <w:t>s</w:t>
      </w:r>
      <w:r w:rsidRPr="00D04502">
        <w:t>ystems</w:t>
      </w:r>
    </w:p>
    <w:p w14:paraId="0BA7A5BC" w14:textId="77777777" w:rsidR="00093094" w:rsidRPr="00D04502" w:rsidRDefault="00093094" w:rsidP="00093094">
      <w:pPr>
        <w:pStyle w:val="F9-Paragraph"/>
        <w:ind w:left="851" w:hanging="851"/>
      </w:pPr>
      <w:r w:rsidRPr="00D04502">
        <w:t xml:space="preserve">Tension systems are not specifically covered within the civil engineering SAPs. During assessment of tension systems, the Inspector should be aware of the brittle failure modes and particular measures are required to ensure that this type of failure is precluded. </w:t>
      </w:r>
    </w:p>
    <w:p w14:paraId="398DC59C" w14:textId="77777777" w:rsidR="00093094" w:rsidRPr="00D04502" w:rsidRDefault="00093094" w:rsidP="00093094">
      <w:pPr>
        <w:pStyle w:val="F9-Paragraph"/>
        <w:ind w:left="851" w:hanging="851"/>
      </w:pPr>
      <w:r w:rsidRPr="00D04502">
        <w:t>Where systems rely on anchorage in the ground (including rock), for example, ground or rock anchors, the Inspector may wish to focus assessment on the analysis and design and seek assurance that failure will not occur under seismic excitation or upwards forces due to overturning or floatation.</w:t>
      </w:r>
    </w:p>
    <w:p w14:paraId="0EE2C0E0" w14:textId="77777777" w:rsidR="00093094" w:rsidRPr="00D04502" w:rsidRDefault="00093094" w:rsidP="00093094">
      <w:pPr>
        <w:pStyle w:val="F9-Paragraph"/>
        <w:ind w:left="851" w:hanging="851"/>
      </w:pPr>
      <w:r w:rsidRPr="00D04502">
        <w:t>The Inspector should be aware that any loosening of the material around the anchorage area may lead to premature failure of the system at a load below the design load. The Inspector should also consider under-reaming or similar processes that could undermine the anchors.</w:t>
      </w:r>
    </w:p>
    <w:p w14:paraId="2C0E04A1" w14:textId="25D33B4A" w:rsidR="00093094" w:rsidRPr="00D04502" w:rsidRDefault="00093094" w:rsidP="00093094">
      <w:pPr>
        <w:pStyle w:val="F9-Paragraph"/>
        <w:ind w:left="851" w:hanging="851"/>
      </w:pPr>
      <w:r w:rsidRPr="00D04502">
        <w:t xml:space="preserve">For more detail on structural tension systems, </w:t>
      </w:r>
      <w:r w:rsidR="00C609BC">
        <w:t xml:space="preserve">refer to Annex 2 of TAG 17 </w:t>
      </w:r>
      <w:sdt>
        <w:sdtPr>
          <w:id w:val="1388444414"/>
          <w:citation/>
        </w:sdtPr>
        <w:sdtContent>
          <w:r w:rsidR="00C609BC">
            <w:fldChar w:fldCharType="begin"/>
          </w:r>
          <w:r w:rsidR="00C609BC">
            <w:instrText xml:space="preserve"> CITATION ONR163 \l 2057 </w:instrText>
          </w:r>
          <w:r w:rsidR="00C609BC">
            <w:fldChar w:fldCharType="separate"/>
          </w:r>
          <w:r w:rsidR="00401277">
            <w:rPr>
              <w:noProof/>
            </w:rPr>
            <w:t>[33]</w:t>
          </w:r>
          <w:r w:rsidR="00C609BC">
            <w:fldChar w:fldCharType="end"/>
          </w:r>
        </w:sdtContent>
      </w:sdt>
      <w:r w:rsidR="00C609BC">
        <w:t>.</w:t>
      </w:r>
    </w:p>
    <w:p w14:paraId="3F86E3B3" w14:textId="66FA0E42" w:rsidR="001E2D5F" w:rsidRPr="00D04502" w:rsidRDefault="001E2D5F" w:rsidP="00E43135">
      <w:pPr>
        <w:pStyle w:val="Heading3"/>
      </w:pPr>
      <w:r w:rsidRPr="00D04502">
        <w:t xml:space="preserve">Rock </w:t>
      </w:r>
      <w:r w:rsidR="00C609BC">
        <w:t>a</w:t>
      </w:r>
      <w:r w:rsidRPr="00D04502">
        <w:t>nchors</w:t>
      </w:r>
    </w:p>
    <w:p w14:paraId="604BC5A7" w14:textId="77777777" w:rsidR="00982640" w:rsidRPr="00D04502" w:rsidRDefault="002A6335" w:rsidP="002A6335">
      <w:pPr>
        <w:pStyle w:val="F9-Paragraph"/>
        <w:ind w:left="851" w:hanging="851"/>
      </w:pPr>
      <w:r w:rsidRPr="00D04502">
        <w:t xml:space="preserve">Because of the need to interpret ground conditions the preferable solution is to provide concrete foundations directly onto competent rock. The Inspector should acknowledge that this can be impractical, leading to large-scale excavation, large and uneconomic volumes of concrete and associated temporary works. Where there needs to be restraint against uplift or sliding forces, rock anchors can be a suitable option where the use of alternatives are not appropriate. </w:t>
      </w:r>
    </w:p>
    <w:p w14:paraId="33D55081" w14:textId="77777777" w:rsidR="002A6335" w:rsidRPr="00D04502" w:rsidRDefault="002A6335" w:rsidP="0070712E">
      <w:pPr>
        <w:pStyle w:val="F9-Paragraph"/>
        <w:ind w:left="851" w:hanging="851"/>
      </w:pPr>
      <w:r w:rsidRPr="00D04502">
        <w:t>Soil nailing and rock bolting are very similar to rock anchoring in terms of their construction and the same assessment principles apply, although their use is more likely to be related to stabilisation of ground in excavations rather than restraining structures.</w:t>
      </w:r>
    </w:p>
    <w:p w14:paraId="197E25AE" w14:textId="77777777" w:rsidR="002A6335" w:rsidRPr="00D04502" w:rsidRDefault="002A6335" w:rsidP="0070712E">
      <w:pPr>
        <w:pStyle w:val="F9-Paragraph"/>
        <w:ind w:left="851" w:hanging="851"/>
      </w:pPr>
      <w:r w:rsidRPr="00D04502">
        <w:t>SAP ECS.3 requires that SSCs important to safety are designed, constructed, tested and maintained to appropriate standards.</w:t>
      </w:r>
    </w:p>
    <w:p w14:paraId="17783C43" w14:textId="77777777" w:rsidR="002A6335" w:rsidRPr="00D04502" w:rsidRDefault="002A6335" w:rsidP="0070712E">
      <w:pPr>
        <w:pStyle w:val="F9-Paragraph"/>
        <w:ind w:left="851" w:hanging="851"/>
      </w:pPr>
      <w:r w:rsidRPr="00D04502">
        <w:t>The following guidance applies to the design and construction of soil and rock anchors:</w:t>
      </w:r>
    </w:p>
    <w:p w14:paraId="7AAC84B8" w14:textId="57C8844C" w:rsidR="002A6335" w:rsidRPr="00D04502" w:rsidRDefault="002A6335" w:rsidP="0070712E">
      <w:pPr>
        <w:pStyle w:val="Bulletlist1"/>
        <w:ind w:left="1418" w:hanging="357"/>
      </w:pPr>
      <w:r w:rsidRPr="00D04502">
        <w:t>BS 8081:</w:t>
      </w:r>
      <w:r w:rsidR="00F023D1" w:rsidRPr="00D04502">
        <w:t>2015+A2:2018</w:t>
      </w:r>
      <w:r w:rsidRPr="00D04502">
        <w:t xml:space="preserve"> </w:t>
      </w:r>
      <w:r w:rsidR="00431424" w:rsidRPr="00D04502">
        <w:t>‘</w:t>
      </w:r>
      <w:r w:rsidRPr="00D04502">
        <w:t xml:space="preserve">Code of </w:t>
      </w:r>
      <w:r w:rsidR="00F023D1" w:rsidRPr="00D04502">
        <w:t>p</w:t>
      </w:r>
      <w:r w:rsidRPr="00D04502">
        <w:t xml:space="preserve">ractice for </w:t>
      </w:r>
      <w:r w:rsidR="00F023D1" w:rsidRPr="00D04502">
        <w:t>g</w:t>
      </w:r>
      <w:r w:rsidRPr="00D04502">
        <w:t>ro</w:t>
      </w:r>
      <w:r w:rsidR="00F023D1" w:rsidRPr="00D04502">
        <w:t>uted anchors</w:t>
      </w:r>
      <w:r w:rsidR="00431424" w:rsidRPr="00D04502">
        <w:t>’</w:t>
      </w:r>
      <w:r w:rsidR="00BB7907" w:rsidRPr="00D04502">
        <w:t xml:space="preserve"> </w:t>
      </w:r>
      <w:sdt>
        <w:sdtPr>
          <w:id w:val="2014800900"/>
          <w:citation/>
        </w:sdtPr>
        <w:sdtEndPr/>
        <w:sdtContent>
          <w:r w:rsidR="0028018C" w:rsidRPr="00D04502">
            <w:fldChar w:fldCharType="begin"/>
          </w:r>
          <w:r w:rsidR="00F023D1" w:rsidRPr="00D04502">
            <w:instrText xml:space="preserve">CITATION BSI8 \l 2057 </w:instrText>
          </w:r>
          <w:r w:rsidR="0028018C" w:rsidRPr="00D04502">
            <w:fldChar w:fldCharType="separate"/>
          </w:r>
          <w:r w:rsidR="00401277" w:rsidRPr="00401277">
            <w:t>[34]</w:t>
          </w:r>
          <w:r w:rsidR="0028018C" w:rsidRPr="00D04502">
            <w:fldChar w:fldCharType="end"/>
          </w:r>
        </w:sdtContent>
      </w:sdt>
      <w:r w:rsidRPr="00D04502">
        <w:t>,</w:t>
      </w:r>
    </w:p>
    <w:p w14:paraId="476C7164" w14:textId="5062DEB8" w:rsidR="002A6335" w:rsidRPr="00D04502" w:rsidRDefault="002A6335" w:rsidP="0070712E">
      <w:pPr>
        <w:pStyle w:val="Bulletlist1"/>
        <w:ind w:left="1418" w:hanging="357"/>
      </w:pPr>
      <w:r w:rsidRPr="00D04502">
        <w:lastRenderedPageBreak/>
        <w:t>BS EN ISO 22477-5</w:t>
      </w:r>
      <w:r w:rsidR="009C64D8" w:rsidRPr="00D04502">
        <w:t>:2018</w:t>
      </w:r>
      <w:r w:rsidRPr="00D04502">
        <w:t xml:space="preserve"> </w:t>
      </w:r>
      <w:r w:rsidR="00A73F9A" w:rsidRPr="00D04502">
        <w:t>‘</w:t>
      </w:r>
      <w:r w:rsidRPr="00D04502">
        <w:t>Geotechnical Investigation and Testing – Testing of geotechnical structures</w:t>
      </w:r>
      <w:r w:rsidR="00A73F9A" w:rsidRPr="00D04502">
        <w:t xml:space="preserve">. Testing of grouted anchors’ </w:t>
      </w:r>
      <w:sdt>
        <w:sdtPr>
          <w:id w:val="1183171166"/>
          <w:citation/>
        </w:sdtPr>
        <w:sdtEndPr/>
        <w:sdtContent>
          <w:r w:rsidR="00E64F30" w:rsidRPr="00D04502">
            <w:fldChar w:fldCharType="begin"/>
          </w:r>
          <w:r w:rsidR="00E64F30" w:rsidRPr="00D04502">
            <w:instrText xml:space="preserve"> CITATION BSI9 \l 2057 </w:instrText>
          </w:r>
          <w:r w:rsidR="00E64F30" w:rsidRPr="00D04502">
            <w:fldChar w:fldCharType="separate"/>
          </w:r>
          <w:r w:rsidR="00401277" w:rsidRPr="00401277">
            <w:t>[35]</w:t>
          </w:r>
          <w:r w:rsidR="00E64F30" w:rsidRPr="00D04502">
            <w:fldChar w:fldCharType="end"/>
          </w:r>
        </w:sdtContent>
      </w:sdt>
      <w:r w:rsidRPr="00D04502">
        <w:t>,</w:t>
      </w:r>
    </w:p>
    <w:p w14:paraId="2646EE8F" w14:textId="6384AA9E" w:rsidR="002A6335" w:rsidRPr="00D04502" w:rsidRDefault="002A6335" w:rsidP="0070712E">
      <w:pPr>
        <w:pStyle w:val="Bulletlist1"/>
        <w:ind w:left="1418" w:hanging="357"/>
      </w:pPr>
      <w:r w:rsidRPr="00D04502">
        <w:t>BS EN 1537:20</w:t>
      </w:r>
      <w:r w:rsidR="009A1E7B" w:rsidRPr="00D04502">
        <w:t>13</w:t>
      </w:r>
      <w:r w:rsidRPr="00D04502">
        <w:t xml:space="preserve"> </w:t>
      </w:r>
      <w:r w:rsidR="009A1E7B" w:rsidRPr="00D04502">
        <w:t>‘</w:t>
      </w:r>
      <w:r w:rsidRPr="00D04502">
        <w:t>Execution of special geotechnical work</w:t>
      </w:r>
      <w:r w:rsidR="009A1E7B" w:rsidRPr="00D04502">
        <w:t>’</w:t>
      </w:r>
      <w:r w:rsidR="00811246" w:rsidRPr="00D04502">
        <w:t xml:space="preserve"> </w:t>
      </w:r>
      <w:sdt>
        <w:sdtPr>
          <w:id w:val="-1960018587"/>
          <w:citation/>
        </w:sdtPr>
        <w:sdtEndPr/>
        <w:sdtContent>
          <w:r w:rsidR="00811246" w:rsidRPr="00D04502">
            <w:fldChar w:fldCharType="begin"/>
          </w:r>
          <w:r w:rsidR="00811246" w:rsidRPr="00D04502">
            <w:instrText xml:space="preserve"> CITATION BSI10 \l 2057 </w:instrText>
          </w:r>
          <w:r w:rsidR="00811246" w:rsidRPr="00D04502">
            <w:fldChar w:fldCharType="separate"/>
          </w:r>
          <w:r w:rsidR="00401277" w:rsidRPr="00401277">
            <w:t>[36]</w:t>
          </w:r>
          <w:r w:rsidR="00811246" w:rsidRPr="00D04502">
            <w:fldChar w:fldCharType="end"/>
          </w:r>
        </w:sdtContent>
      </w:sdt>
      <w:r w:rsidRPr="00D04502">
        <w:t>,</w:t>
      </w:r>
    </w:p>
    <w:p w14:paraId="0A3AA6A4" w14:textId="2EE7B96F" w:rsidR="002A6335" w:rsidRPr="00D04502" w:rsidRDefault="001A1277" w:rsidP="0070712E">
      <w:pPr>
        <w:pStyle w:val="Bulletlist1"/>
        <w:ind w:left="1418" w:hanging="357"/>
        <w:rPr>
          <w:lang w:val="fr-FR"/>
        </w:rPr>
      </w:pPr>
      <w:r w:rsidRPr="00D04502">
        <w:rPr>
          <w:lang w:val="fr-FR"/>
        </w:rPr>
        <w:t xml:space="preserve">BS </w:t>
      </w:r>
      <w:r w:rsidR="002A6335" w:rsidRPr="00D04502">
        <w:rPr>
          <w:lang w:val="fr-FR"/>
        </w:rPr>
        <w:t>EN 1997-</w:t>
      </w:r>
      <w:r w:rsidR="00823428" w:rsidRPr="00D04502">
        <w:rPr>
          <w:lang w:val="fr-FR"/>
        </w:rPr>
        <w:t>3</w:t>
      </w:r>
      <w:r w:rsidR="002A6335" w:rsidRPr="00D04502">
        <w:rPr>
          <w:lang w:val="fr-FR"/>
        </w:rPr>
        <w:t>:20</w:t>
      </w:r>
      <w:r w:rsidR="00E7013D" w:rsidRPr="00D04502">
        <w:rPr>
          <w:lang w:val="fr-FR"/>
        </w:rPr>
        <w:t>25, ‘Eurocode 7 – Geotechnical Design, Part 3:Geotechnical structures</w:t>
      </w:r>
      <w:r w:rsidRPr="00D04502">
        <w:rPr>
          <w:lang w:val="fr-FR"/>
        </w:rPr>
        <w:t xml:space="preserve">’ </w:t>
      </w:r>
      <w:sdt>
        <w:sdtPr>
          <w:rPr>
            <w:lang w:val="fr-FR"/>
          </w:rPr>
          <w:id w:val="-971985018"/>
          <w:citation/>
        </w:sdtPr>
        <w:sdtEndPr/>
        <w:sdtContent>
          <w:r w:rsidR="008B2C23" w:rsidRPr="00D04502">
            <w:rPr>
              <w:lang w:val="fr-FR"/>
            </w:rPr>
            <w:fldChar w:fldCharType="begin"/>
          </w:r>
          <w:r w:rsidR="008B2C23" w:rsidRPr="00D04502">
            <w:instrText xml:space="preserve"> CITATION BSI11 \l 2057 </w:instrText>
          </w:r>
          <w:r w:rsidR="008B2C23" w:rsidRPr="00D04502">
            <w:rPr>
              <w:lang w:val="fr-FR"/>
            </w:rPr>
            <w:fldChar w:fldCharType="separate"/>
          </w:r>
          <w:r w:rsidR="00401277" w:rsidRPr="00401277">
            <w:t>[37]</w:t>
          </w:r>
          <w:r w:rsidR="008B2C23" w:rsidRPr="00D04502">
            <w:rPr>
              <w:lang w:val="fr-FR"/>
            </w:rPr>
            <w:fldChar w:fldCharType="end"/>
          </w:r>
        </w:sdtContent>
      </w:sdt>
      <w:r w:rsidR="002A6335" w:rsidRPr="00D04502">
        <w:rPr>
          <w:lang w:val="fr-FR"/>
        </w:rPr>
        <w:t>.</w:t>
      </w:r>
    </w:p>
    <w:p w14:paraId="07178805" w14:textId="72AE4E09" w:rsidR="002A6335" w:rsidRPr="00D04502" w:rsidRDefault="002A6335" w:rsidP="008B2C23">
      <w:pPr>
        <w:pStyle w:val="F9-Paragraph"/>
        <w:ind w:left="851" w:hanging="851"/>
        <w:rPr>
          <w:rFonts w:eastAsia="Calibri"/>
        </w:rPr>
      </w:pPr>
      <w:r w:rsidRPr="00D04502">
        <w:rPr>
          <w:rFonts w:eastAsia="Calibri"/>
        </w:rPr>
        <w:t xml:space="preserve">Generally these standards are not specific to the nuclear industry and should form the minimum applied standard suitable for construction forming Class 3 SSCs. For higher classifications, enhancements to these standards would be expected, </w:t>
      </w:r>
      <w:r w:rsidR="00C609BC">
        <w:rPr>
          <w:rFonts w:eastAsia="Calibri"/>
        </w:rPr>
        <w:t>refer to</w:t>
      </w:r>
      <w:r w:rsidRPr="00D04502">
        <w:rPr>
          <w:rFonts w:eastAsia="Calibri"/>
        </w:rPr>
        <w:t xml:space="preserve"> the expectations of ECS.4 and ECS.5.</w:t>
      </w:r>
    </w:p>
    <w:p w14:paraId="2CC9E243" w14:textId="724C9A59" w:rsidR="002A6335" w:rsidRPr="00D04502" w:rsidRDefault="002A6335" w:rsidP="008B2C23">
      <w:pPr>
        <w:pStyle w:val="F9-Paragraph"/>
        <w:ind w:left="851" w:hanging="851"/>
        <w:rPr>
          <w:rFonts w:eastAsia="Calibri"/>
        </w:rPr>
      </w:pPr>
      <w:r w:rsidRPr="00D04502">
        <w:rPr>
          <w:rFonts w:eastAsia="Calibri"/>
        </w:rPr>
        <w:t xml:space="preserve">The </w:t>
      </w:r>
      <w:r w:rsidR="00C609BC">
        <w:rPr>
          <w:rFonts w:eastAsia="Calibri"/>
        </w:rPr>
        <w:t>SAPs</w:t>
      </w:r>
      <w:r w:rsidRPr="00D04502">
        <w:rPr>
          <w:rFonts w:eastAsia="Calibri"/>
        </w:rPr>
        <w:t xml:space="preserve"> give broad expectations for the acceptability of civil engineering structures. The general principles of designing rock anchors for reliability apply, as with foundations and sub-surface structures. SAPs ECE.1 and ECE.19 apply to the design and construction of anchored foundations, with SAPs ECE.2, ECE.8, ECE.18 and ECE.20 highlighting aspects for further consideration.</w:t>
      </w:r>
    </w:p>
    <w:p w14:paraId="57F9F1E4" w14:textId="77777777" w:rsidR="002A6335" w:rsidRPr="00D04502" w:rsidRDefault="002A6335" w:rsidP="008B2C23">
      <w:pPr>
        <w:pStyle w:val="F9-Paragraph"/>
        <w:ind w:left="851" w:hanging="851"/>
        <w:rPr>
          <w:rFonts w:eastAsia="Calibri"/>
        </w:rPr>
      </w:pPr>
      <w:r w:rsidRPr="00D04502">
        <w:rPr>
          <w:rFonts w:eastAsia="Calibri"/>
        </w:rPr>
        <w:t>When assessing existing nuclear facilities, the Inspector may find that the system will not meet current expectations. In this case, the system needs to be considered on its own merits, and consideration should be given to provision of reasonably practicable improvements.</w:t>
      </w:r>
    </w:p>
    <w:p w14:paraId="2AC19198" w14:textId="224850CD" w:rsidR="002A6335" w:rsidRPr="00D04502" w:rsidRDefault="002D65A2" w:rsidP="009433BE">
      <w:pPr>
        <w:pStyle w:val="F9-Paragraph"/>
        <w:ind w:left="851" w:hanging="851"/>
        <w:rPr>
          <w:rFonts w:eastAsia="Calibri"/>
        </w:rPr>
      </w:pPr>
      <w:r w:rsidRPr="00D04502">
        <w:t xml:space="preserve">The Inspector may wish to seek assurance on the adequacy of full-scale tests, mock-ups, or trials. For design validation, it is expected that several test anchors are pulled to failure, using conservative analysis and increased load factors where safety significance is high or material properties are uncertain. The Inspector </w:t>
      </w:r>
      <w:r w:rsidR="009433BE" w:rsidRPr="00D04502">
        <w:t xml:space="preserve">may wish to </w:t>
      </w:r>
      <w:r w:rsidRPr="00D04502">
        <w:t>confirm that the design clearly states the available safety margins under all loading conditions and that margins to failure, including progressive failure, are determined with appropriate test procedures (EQU.1).</w:t>
      </w:r>
    </w:p>
    <w:p w14:paraId="5EFB3EEC" w14:textId="1F93B868" w:rsidR="002A6335" w:rsidRPr="00D04502" w:rsidRDefault="001E6D23" w:rsidP="001E6D23">
      <w:pPr>
        <w:pStyle w:val="F9-Paragraph"/>
        <w:ind w:left="851" w:hanging="851"/>
      </w:pPr>
      <w:r w:rsidRPr="00D04502">
        <w:t>The Inspector may wish to consider the design by considering both individual and system loadings, ensuring that structural failure limits are determined for multiple adjacent units. The degree of redundancy must align with the system's safety classification, as outlined in ECS.2 and ERL.1.</w:t>
      </w:r>
    </w:p>
    <w:p w14:paraId="67A9C13E" w14:textId="77777777" w:rsidR="002A6335" w:rsidRPr="00D04502" w:rsidRDefault="002A6335" w:rsidP="001E6D23">
      <w:pPr>
        <w:pStyle w:val="F9-Paragraph"/>
        <w:ind w:left="851" w:hanging="851"/>
      </w:pPr>
      <w:r w:rsidRPr="00D04502">
        <w:t xml:space="preserve">Inspection and validation of the works during construction is of utmost importance and it is this aspect which will give confidence in the ageing and durability qualities of the system. Expected testing rates for conventional structures (class 3) may be set out in various standards. However, for higher classifications it is expected that these rates are increased. (SAPs paragraph 361) The rates may be significant where the safety requirements are onerous. </w:t>
      </w:r>
    </w:p>
    <w:p w14:paraId="76675BBC" w14:textId="4127D91A" w:rsidR="002A6335" w:rsidRPr="00D04502" w:rsidRDefault="002A6335" w:rsidP="00E42FBD">
      <w:pPr>
        <w:pStyle w:val="F9-Paragraph"/>
        <w:ind w:left="851" w:hanging="851"/>
      </w:pPr>
      <w:r w:rsidRPr="00D04502">
        <w:t xml:space="preserve">The guidance below in </w:t>
      </w:r>
      <w:r w:rsidR="00C609BC">
        <w:fldChar w:fldCharType="begin"/>
      </w:r>
      <w:r w:rsidR="00C609BC">
        <w:instrText xml:space="preserve"> REF _Ref234831638 \h </w:instrText>
      </w:r>
      <w:r w:rsidR="00C609BC">
        <w:fldChar w:fldCharType="separate"/>
      </w:r>
      <w:r w:rsidR="00C609BC">
        <w:t xml:space="preserve">Table </w:t>
      </w:r>
      <w:r w:rsidR="00C609BC">
        <w:rPr>
          <w:noProof/>
        </w:rPr>
        <w:t>2</w:t>
      </w:r>
      <w:r w:rsidR="00C609BC">
        <w:fldChar w:fldCharType="end"/>
      </w:r>
      <w:r w:rsidR="00C609BC">
        <w:t xml:space="preserve"> </w:t>
      </w:r>
      <w:r w:rsidRPr="00D04502">
        <w:t>demonstrates the expectations for system attributes for each class of SSC.</w:t>
      </w:r>
    </w:p>
    <w:p w14:paraId="7377F2E7" w14:textId="77777777" w:rsidR="00C609BC" w:rsidRDefault="00C609BC">
      <w:pPr>
        <w:rPr>
          <w:b/>
        </w:rPr>
        <w:sectPr w:rsidR="00C609BC">
          <w:pgSz w:w="11906" w:h="16838"/>
          <w:pgMar w:top="1440" w:right="1440" w:bottom="1440" w:left="1440" w:header="708" w:footer="708" w:gutter="0"/>
          <w:cols w:space="708"/>
          <w:docGrid w:linePitch="360"/>
        </w:sectPr>
      </w:pPr>
    </w:p>
    <w:p w14:paraId="67AF3E26" w14:textId="38F9E1AF" w:rsidR="00C609BC" w:rsidRDefault="00C609BC" w:rsidP="00C609BC">
      <w:pPr>
        <w:pStyle w:val="Caption"/>
        <w:keepNext/>
        <w:spacing w:before="240" w:after="120"/>
        <w:ind w:left="851"/>
      </w:pPr>
      <w:bookmarkStart w:id="23" w:name="_Ref234831638"/>
      <w:r>
        <w:lastRenderedPageBreak/>
        <w:t xml:space="preserve">Table </w:t>
      </w:r>
      <w:fldSimple w:instr=" SEQ Table \* ARABIC ">
        <w:r>
          <w:rPr>
            <w:noProof/>
          </w:rPr>
          <w:t>2</w:t>
        </w:r>
      </w:fldSimple>
      <w:bookmarkEnd w:id="23"/>
      <w:r>
        <w:t xml:space="preserve"> - </w:t>
      </w:r>
      <w:r w:rsidRPr="00597DDA">
        <w:t>Rock anchor system expectations for systems of different classification</w:t>
      </w:r>
    </w:p>
    <w:tbl>
      <w:tblPr>
        <w:tblW w:w="835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430"/>
        <w:gridCol w:w="2410"/>
      </w:tblGrid>
      <w:tr w:rsidR="002A6335" w:rsidRPr="00D04502" w14:paraId="61C4EC29" w14:textId="77777777" w:rsidTr="00C609BC">
        <w:tc>
          <w:tcPr>
            <w:tcW w:w="2518" w:type="dxa"/>
            <w:tcBorders>
              <w:top w:val="nil"/>
              <w:left w:val="nil"/>
              <w:bottom w:val="single" w:sz="4" w:space="0" w:color="auto"/>
              <w:right w:val="single" w:sz="4" w:space="0" w:color="auto"/>
            </w:tcBorders>
            <w:shd w:val="clear" w:color="auto" w:fill="D4EFE5"/>
            <w:hideMark/>
          </w:tcPr>
          <w:p w14:paraId="763730EE" w14:textId="77777777" w:rsidR="002A6335" w:rsidRPr="00D04502" w:rsidRDefault="002A6335" w:rsidP="00C609BC">
            <w:pPr>
              <w:spacing w:before="60" w:after="60"/>
              <w:rPr>
                <w:b/>
              </w:rPr>
            </w:pPr>
            <w:r w:rsidRPr="00D04502">
              <w:rPr>
                <w:b/>
              </w:rPr>
              <w:t>Attribute</w:t>
            </w:r>
          </w:p>
        </w:tc>
        <w:tc>
          <w:tcPr>
            <w:tcW w:w="3430" w:type="dxa"/>
            <w:tcBorders>
              <w:top w:val="nil"/>
              <w:left w:val="single" w:sz="4" w:space="0" w:color="auto"/>
              <w:bottom w:val="single" w:sz="4" w:space="0" w:color="auto"/>
              <w:right w:val="single" w:sz="4" w:space="0" w:color="auto"/>
            </w:tcBorders>
            <w:shd w:val="clear" w:color="auto" w:fill="D4EFE5"/>
            <w:hideMark/>
          </w:tcPr>
          <w:p w14:paraId="3E5D218F" w14:textId="77777777" w:rsidR="002A6335" w:rsidRPr="00D04502" w:rsidRDefault="002A6335" w:rsidP="00C609BC">
            <w:pPr>
              <w:spacing w:before="60" w:after="60"/>
              <w:rPr>
                <w:b/>
              </w:rPr>
            </w:pPr>
            <w:r w:rsidRPr="00D04502">
              <w:rPr>
                <w:b/>
              </w:rPr>
              <w:t>Class 1 and Class 2</w:t>
            </w:r>
          </w:p>
        </w:tc>
        <w:tc>
          <w:tcPr>
            <w:tcW w:w="2410" w:type="dxa"/>
            <w:tcBorders>
              <w:top w:val="nil"/>
              <w:left w:val="single" w:sz="4" w:space="0" w:color="auto"/>
              <w:bottom w:val="single" w:sz="4" w:space="0" w:color="auto"/>
              <w:right w:val="nil"/>
            </w:tcBorders>
            <w:shd w:val="clear" w:color="auto" w:fill="D4EFE5"/>
            <w:hideMark/>
          </w:tcPr>
          <w:p w14:paraId="15DD319C" w14:textId="77777777" w:rsidR="002A6335" w:rsidRPr="00D04502" w:rsidRDefault="002A6335" w:rsidP="00C609BC">
            <w:pPr>
              <w:spacing w:before="60" w:after="60"/>
              <w:rPr>
                <w:b/>
              </w:rPr>
            </w:pPr>
            <w:r w:rsidRPr="00D04502">
              <w:rPr>
                <w:b/>
              </w:rPr>
              <w:t>Class 3</w:t>
            </w:r>
          </w:p>
        </w:tc>
      </w:tr>
      <w:tr w:rsidR="002A6335" w:rsidRPr="00D04502" w14:paraId="3EC2140A" w14:textId="77777777" w:rsidTr="00C609BC">
        <w:tc>
          <w:tcPr>
            <w:tcW w:w="2518" w:type="dxa"/>
            <w:tcBorders>
              <w:top w:val="single" w:sz="4" w:space="0" w:color="auto"/>
              <w:left w:val="nil"/>
              <w:bottom w:val="single" w:sz="4" w:space="0" w:color="auto"/>
              <w:right w:val="single" w:sz="4" w:space="0" w:color="auto"/>
            </w:tcBorders>
            <w:hideMark/>
          </w:tcPr>
          <w:p w14:paraId="5AA4CD77" w14:textId="77777777" w:rsidR="002A6335" w:rsidRPr="00D04502" w:rsidRDefault="002A6335" w:rsidP="00C609BC">
            <w:pPr>
              <w:spacing w:before="60" w:after="60"/>
            </w:pPr>
            <w:r w:rsidRPr="00D04502">
              <w:t>Load Factors</w:t>
            </w:r>
          </w:p>
        </w:tc>
        <w:tc>
          <w:tcPr>
            <w:tcW w:w="3430" w:type="dxa"/>
            <w:tcBorders>
              <w:top w:val="single" w:sz="4" w:space="0" w:color="auto"/>
              <w:left w:val="single" w:sz="4" w:space="0" w:color="auto"/>
              <w:bottom w:val="single" w:sz="4" w:space="0" w:color="auto"/>
              <w:right w:val="single" w:sz="4" w:space="0" w:color="auto"/>
            </w:tcBorders>
            <w:hideMark/>
          </w:tcPr>
          <w:p w14:paraId="7F6B2FA2" w14:textId="6F977E7E" w:rsidR="002A6335" w:rsidRPr="00D04502" w:rsidRDefault="002A6335" w:rsidP="00C609BC">
            <w:pPr>
              <w:spacing w:before="60" w:after="60"/>
            </w:pPr>
            <w:r w:rsidRPr="00D04502">
              <w:t xml:space="preserve">Nuclear Standards </w:t>
            </w:r>
            <w:r w:rsidR="003F2F30">
              <w:t>for example,</w:t>
            </w:r>
            <w:r w:rsidRPr="00D04502">
              <w:t xml:space="preserve"> AC1 349</w:t>
            </w:r>
          </w:p>
        </w:tc>
        <w:tc>
          <w:tcPr>
            <w:tcW w:w="2410" w:type="dxa"/>
            <w:tcBorders>
              <w:top w:val="single" w:sz="4" w:space="0" w:color="auto"/>
              <w:left w:val="single" w:sz="4" w:space="0" w:color="auto"/>
              <w:bottom w:val="single" w:sz="4" w:space="0" w:color="auto"/>
              <w:right w:val="nil"/>
            </w:tcBorders>
            <w:hideMark/>
          </w:tcPr>
          <w:p w14:paraId="4E0F5F26" w14:textId="77777777" w:rsidR="002A6335" w:rsidRPr="00D04502" w:rsidRDefault="002A6335" w:rsidP="00C609BC">
            <w:pPr>
              <w:spacing w:before="60" w:after="60"/>
            </w:pPr>
            <w:r w:rsidRPr="00D04502">
              <w:t>BSEN1991</w:t>
            </w:r>
          </w:p>
        </w:tc>
      </w:tr>
      <w:tr w:rsidR="002A6335" w:rsidRPr="00D04502" w14:paraId="6D0338F8" w14:textId="77777777" w:rsidTr="00C609BC">
        <w:tc>
          <w:tcPr>
            <w:tcW w:w="2518" w:type="dxa"/>
            <w:tcBorders>
              <w:top w:val="single" w:sz="4" w:space="0" w:color="auto"/>
              <w:left w:val="nil"/>
              <w:bottom w:val="single" w:sz="4" w:space="0" w:color="auto"/>
              <w:right w:val="single" w:sz="4" w:space="0" w:color="auto"/>
            </w:tcBorders>
            <w:hideMark/>
          </w:tcPr>
          <w:p w14:paraId="3687984D" w14:textId="77777777" w:rsidR="002A6335" w:rsidRPr="00D04502" w:rsidRDefault="002A6335" w:rsidP="00C609BC">
            <w:pPr>
              <w:spacing w:before="60" w:after="60"/>
            </w:pPr>
            <w:r w:rsidRPr="00D04502">
              <w:t>Analysis</w:t>
            </w:r>
          </w:p>
        </w:tc>
        <w:tc>
          <w:tcPr>
            <w:tcW w:w="3430" w:type="dxa"/>
            <w:tcBorders>
              <w:top w:val="single" w:sz="4" w:space="0" w:color="auto"/>
              <w:left w:val="single" w:sz="4" w:space="0" w:color="auto"/>
              <w:bottom w:val="single" w:sz="4" w:space="0" w:color="auto"/>
              <w:right w:val="single" w:sz="4" w:space="0" w:color="auto"/>
            </w:tcBorders>
            <w:hideMark/>
          </w:tcPr>
          <w:p w14:paraId="0AEAA58E" w14:textId="77777777" w:rsidR="002A6335" w:rsidRPr="00D04502" w:rsidRDefault="002A6335" w:rsidP="00C609BC">
            <w:pPr>
              <w:spacing w:before="60" w:after="60"/>
            </w:pPr>
            <w:r w:rsidRPr="00D04502">
              <w:t>ASCE 4-16</w:t>
            </w:r>
          </w:p>
        </w:tc>
        <w:tc>
          <w:tcPr>
            <w:tcW w:w="2410" w:type="dxa"/>
            <w:tcBorders>
              <w:top w:val="single" w:sz="4" w:space="0" w:color="auto"/>
              <w:left w:val="single" w:sz="4" w:space="0" w:color="auto"/>
              <w:bottom w:val="single" w:sz="4" w:space="0" w:color="auto"/>
              <w:right w:val="nil"/>
            </w:tcBorders>
            <w:hideMark/>
          </w:tcPr>
          <w:p w14:paraId="66DDFB6C" w14:textId="77777777" w:rsidR="002A6335" w:rsidRPr="00D04502" w:rsidRDefault="002A6335" w:rsidP="00C609BC">
            <w:pPr>
              <w:spacing w:before="60" w:after="60"/>
            </w:pPr>
            <w:r w:rsidRPr="00D04502">
              <w:t>BSEN1991</w:t>
            </w:r>
          </w:p>
        </w:tc>
      </w:tr>
      <w:tr w:rsidR="002A6335" w:rsidRPr="00D04502" w14:paraId="6B7BA76B" w14:textId="77777777" w:rsidTr="00C609BC">
        <w:tc>
          <w:tcPr>
            <w:tcW w:w="2518" w:type="dxa"/>
            <w:tcBorders>
              <w:top w:val="single" w:sz="4" w:space="0" w:color="auto"/>
              <w:left w:val="nil"/>
              <w:bottom w:val="single" w:sz="4" w:space="0" w:color="auto"/>
              <w:right w:val="single" w:sz="4" w:space="0" w:color="auto"/>
            </w:tcBorders>
            <w:hideMark/>
          </w:tcPr>
          <w:p w14:paraId="2FAD8106" w14:textId="77777777" w:rsidR="002A6335" w:rsidRPr="00D04502" w:rsidRDefault="002A6335" w:rsidP="00C609BC">
            <w:pPr>
              <w:spacing w:before="60" w:after="60"/>
            </w:pPr>
            <w:r w:rsidRPr="00D04502">
              <w:t>Margins</w:t>
            </w:r>
          </w:p>
        </w:tc>
        <w:tc>
          <w:tcPr>
            <w:tcW w:w="3430" w:type="dxa"/>
            <w:tcBorders>
              <w:top w:val="single" w:sz="4" w:space="0" w:color="auto"/>
              <w:left w:val="single" w:sz="4" w:space="0" w:color="auto"/>
              <w:bottom w:val="single" w:sz="4" w:space="0" w:color="auto"/>
              <w:right w:val="single" w:sz="4" w:space="0" w:color="auto"/>
            </w:tcBorders>
            <w:hideMark/>
          </w:tcPr>
          <w:p w14:paraId="2E3B91A2" w14:textId="77777777" w:rsidR="002A6335" w:rsidRPr="00D04502" w:rsidRDefault="002A6335" w:rsidP="00C609BC">
            <w:pPr>
              <w:spacing w:before="60" w:after="60"/>
            </w:pPr>
            <w:r w:rsidRPr="00D04502">
              <w:t>Normal and hazard loads. Progressive failure margin</w:t>
            </w:r>
          </w:p>
        </w:tc>
        <w:tc>
          <w:tcPr>
            <w:tcW w:w="2410" w:type="dxa"/>
            <w:tcBorders>
              <w:top w:val="single" w:sz="4" w:space="0" w:color="auto"/>
              <w:left w:val="single" w:sz="4" w:space="0" w:color="auto"/>
              <w:bottom w:val="single" w:sz="4" w:space="0" w:color="auto"/>
              <w:right w:val="nil"/>
            </w:tcBorders>
            <w:hideMark/>
          </w:tcPr>
          <w:p w14:paraId="3E4EAE25" w14:textId="77777777" w:rsidR="002A6335" w:rsidRPr="00D04502" w:rsidRDefault="002A6335" w:rsidP="00C609BC">
            <w:pPr>
              <w:spacing w:before="60" w:after="60"/>
            </w:pPr>
            <w:r w:rsidRPr="00D04502">
              <w:t>BS Relevant good practice</w:t>
            </w:r>
          </w:p>
        </w:tc>
      </w:tr>
      <w:tr w:rsidR="002A6335" w:rsidRPr="00D04502" w14:paraId="1A806D41" w14:textId="77777777" w:rsidTr="00C609BC">
        <w:tc>
          <w:tcPr>
            <w:tcW w:w="2518" w:type="dxa"/>
            <w:tcBorders>
              <w:top w:val="single" w:sz="4" w:space="0" w:color="auto"/>
              <w:left w:val="nil"/>
              <w:bottom w:val="single" w:sz="4" w:space="0" w:color="auto"/>
              <w:right w:val="single" w:sz="4" w:space="0" w:color="auto"/>
            </w:tcBorders>
            <w:hideMark/>
          </w:tcPr>
          <w:p w14:paraId="01D295E2" w14:textId="77777777" w:rsidR="002A6335" w:rsidRPr="00D04502" w:rsidRDefault="002A6335" w:rsidP="00C609BC">
            <w:pPr>
              <w:spacing w:before="60" w:after="60"/>
            </w:pPr>
            <w:r w:rsidRPr="00D04502">
              <w:t>Ground /rock anchor test at installation</w:t>
            </w:r>
          </w:p>
        </w:tc>
        <w:tc>
          <w:tcPr>
            <w:tcW w:w="3430" w:type="dxa"/>
            <w:tcBorders>
              <w:top w:val="single" w:sz="4" w:space="0" w:color="auto"/>
              <w:left w:val="single" w:sz="4" w:space="0" w:color="auto"/>
              <w:bottom w:val="single" w:sz="4" w:space="0" w:color="auto"/>
              <w:right w:val="single" w:sz="4" w:space="0" w:color="auto"/>
            </w:tcBorders>
            <w:hideMark/>
          </w:tcPr>
          <w:p w14:paraId="06CCA2B2" w14:textId="77777777" w:rsidR="002A6335" w:rsidRPr="00D04502" w:rsidRDefault="002A6335" w:rsidP="00C609BC">
            <w:pPr>
              <w:spacing w:before="60" w:after="60"/>
            </w:pPr>
            <w:r w:rsidRPr="00D04502">
              <w:t>In line with BS8081</w:t>
            </w:r>
          </w:p>
        </w:tc>
        <w:tc>
          <w:tcPr>
            <w:tcW w:w="2410" w:type="dxa"/>
            <w:tcBorders>
              <w:top w:val="single" w:sz="4" w:space="0" w:color="auto"/>
              <w:left w:val="single" w:sz="4" w:space="0" w:color="auto"/>
              <w:bottom w:val="single" w:sz="4" w:space="0" w:color="auto"/>
              <w:right w:val="nil"/>
            </w:tcBorders>
            <w:hideMark/>
          </w:tcPr>
          <w:p w14:paraId="738A44DB" w14:textId="77777777" w:rsidR="002A6335" w:rsidRPr="00D04502" w:rsidRDefault="002A6335" w:rsidP="00C609BC">
            <w:pPr>
              <w:spacing w:before="60" w:after="60"/>
            </w:pPr>
            <w:r w:rsidRPr="00D04502">
              <w:t>In line with BS8081</w:t>
            </w:r>
          </w:p>
        </w:tc>
      </w:tr>
      <w:tr w:rsidR="002A6335" w:rsidRPr="00D04502" w14:paraId="7D361DBC" w14:textId="77777777" w:rsidTr="00C609BC">
        <w:tc>
          <w:tcPr>
            <w:tcW w:w="2518" w:type="dxa"/>
            <w:tcBorders>
              <w:top w:val="single" w:sz="4" w:space="0" w:color="auto"/>
              <w:left w:val="nil"/>
              <w:bottom w:val="single" w:sz="4" w:space="0" w:color="auto"/>
              <w:right w:val="single" w:sz="4" w:space="0" w:color="auto"/>
            </w:tcBorders>
          </w:tcPr>
          <w:p w14:paraId="39462649" w14:textId="5D5053BD" w:rsidR="002A6335" w:rsidRPr="00D04502" w:rsidRDefault="002A6335" w:rsidP="00C609BC">
            <w:pPr>
              <w:spacing w:before="60" w:after="60"/>
              <w:rPr>
                <w:color w:val="0000FF"/>
              </w:rPr>
            </w:pPr>
            <w:r w:rsidRPr="00D04502">
              <w:t>Validation of Tests Inspection and checking</w:t>
            </w:r>
          </w:p>
        </w:tc>
        <w:tc>
          <w:tcPr>
            <w:tcW w:w="3430" w:type="dxa"/>
            <w:tcBorders>
              <w:top w:val="single" w:sz="4" w:space="0" w:color="auto"/>
              <w:left w:val="single" w:sz="4" w:space="0" w:color="auto"/>
              <w:bottom w:val="single" w:sz="4" w:space="0" w:color="auto"/>
              <w:right w:val="single" w:sz="4" w:space="0" w:color="auto"/>
            </w:tcBorders>
            <w:hideMark/>
          </w:tcPr>
          <w:p w14:paraId="5337A026" w14:textId="77777777" w:rsidR="002A6335" w:rsidRPr="00D04502" w:rsidRDefault="002A6335" w:rsidP="00C609BC">
            <w:pPr>
              <w:spacing w:before="60" w:after="60"/>
            </w:pPr>
            <w:r w:rsidRPr="00D04502">
              <w:t>Proportionate independent testing and inspection during design and construction.</w:t>
            </w:r>
          </w:p>
        </w:tc>
        <w:tc>
          <w:tcPr>
            <w:tcW w:w="2410" w:type="dxa"/>
            <w:tcBorders>
              <w:top w:val="single" w:sz="4" w:space="0" w:color="auto"/>
              <w:left w:val="single" w:sz="4" w:space="0" w:color="auto"/>
              <w:bottom w:val="single" w:sz="4" w:space="0" w:color="auto"/>
              <w:right w:val="nil"/>
            </w:tcBorders>
            <w:hideMark/>
          </w:tcPr>
          <w:p w14:paraId="1807C5A6" w14:textId="77777777" w:rsidR="002A6335" w:rsidRPr="00D04502" w:rsidRDefault="002A6335" w:rsidP="00C609BC">
            <w:pPr>
              <w:keepNext/>
              <w:spacing w:before="60" w:after="60"/>
            </w:pPr>
            <w:r w:rsidRPr="00D04502">
              <w:t>In house inspection and testing by SQEPs</w:t>
            </w:r>
          </w:p>
        </w:tc>
      </w:tr>
    </w:tbl>
    <w:p w14:paraId="79DC342E" w14:textId="29F12164" w:rsidR="002A6335" w:rsidRPr="00D04502" w:rsidRDefault="002A6335" w:rsidP="00E42FBD">
      <w:pPr>
        <w:pStyle w:val="F9-Paragraph"/>
        <w:ind w:left="851" w:hanging="851"/>
      </w:pPr>
      <w:r w:rsidRPr="00D04502">
        <w:t xml:space="preserve">Often, anchor locations within existing facilities prohibit further access for EIMT during the working life. The Inspector may wish to seek assurance that the design has assessed risk and reduced the risk as part of the design, where stress losses due to creep and relaxation during operation would not be measurable. The Inspector should consider the reduction of risk in design and seek assurance that risks are reduced where possible </w:t>
      </w:r>
      <w:r w:rsidR="003F2F30">
        <w:t>for example,</w:t>
      </w:r>
      <w:r w:rsidRPr="00D04502">
        <w:t xml:space="preserve"> new build construction, with alternative solutions to be adopted as appropriate.</w:t>
      </w:r>
    </w:p>
    <w:p w14:paraId="748C53A9" w14:textId="14D83CF5" w:rsidR="00FE58E9" w:rsidRPr="00D04502" w:rsidRDefault="00FE58E9" w:rsidP="00D44D51">
      <w:pPr>
        <w:pStyle w:val="Heading2"/>
        <w:ind w:left="851" w:hanging="851"/>
      </w:pPr>
      <w:bookmarkStart w:id="24" w:name="_Toc24398274"/>
      <w:bookmarkStart w:id="25" w:name="_Toc57904984"/>
      <w:r w:rsidRPr="00D04502">
        <w:t xml:space="preserve">Sub-surface (underground) </w:t>
      </w:r>
      <w:r w:rsidR="00C609BC">
        <w:t>s</w:t>
      </w:r>
      <w:r w:rsidRPr="00D04502">
        <w:t>tructures</w:t>
      </w:r>
      <w:bookmarkEnd w:id="24"/>
      <w:bookmarkEnd w:id="25"/>
      <w:r w:rsidRPr="00D04502">
        <w:t xml:space="preserve"> </w:t>
      </w:r>
    </w:p>
    <w:p w14:paraId="0000132A" w14:textId="79B8D2A5" w:rsidR="00233870" w:rsidRPr="00D04502" w:rsidRDefault="00233870" w:rsidP="00233870">
      <w:pPr>
        <w:pStyle w:val="F9-Paragraph"/>
        <w:ind w:left="851" w:hanging="851"/>
      </w:pPr>
      <w:r w:rsidRPr="00D04502">
        <w:t>There are well established methods for designing buried structures against static loading: however dynamic loading (primarily seismic, but occasionally blast) is a more complex area. The Inspector should be aware that one of the primary guidance documents for the design and assessment of nuclear safety significant buried structures is ASCE 4</w:t>
      </w:r>
      <w:r w:rsidR="00A66331" w:rsidRPr="00D04502">
        <w:t xml:space="preserve">-16 </w:t>
      </w:r>
      <w:sdt>
        <w:sdtPr>
          <w:id w:val="-646201523"/>
          <w:citation/>
        </w:sdtPr>
        <w:sdtEndPr/>
        <w:sdtContent>
          <w:r w:rsidR="00A66331" w:rsidRPr="00D04502">
            <w:fldChar w:fldCharType="begin"/>
          </w:r>
          <w:r w:rsidR="00A66331" w:rsidRPr="00D04502">
            <w:instrText xml:space="preserve"> CITATION ASC \l 2057 </w:instrText>
          </w:r>
          <w:r w:rsidR="00A66331" w:rsidRPr="00D04502">
            <w:fldChar w:fldCharType="separate"/>
          </w:r>
          <w:r w:rsidR="00401277">
            <w:rPr>
              <w:noProof/>
            </w:rPr>
            <w:t>[22]</w:t>
          </w:r>
          <w:r w:rsidR="00A66331" w:rsidRPr="00D04502">
            <w:fldChar w:fldCharType="end"/>
          </w:r>
        </w:sdtContent>
      </w:sdt>
      <w:r w:rsidRPr="00D04502">
        <w:t>. This allows the use of simplified methods for nuclear safety significant buried structures provided the aspect ratio between the depth and width are limited to prescribed values. These criteria are readily applied to most nuclear island type structures. However, for completely enveloped structures such as service tunnels, this approach may not be applicable.</w:t>
      </w:r>
    </w:p>
    <w:p w14:paraId="16162B4E" w14:textId="230F9F15" w:rsidR="004557C7" w:rsidRPr="00D04502" w:rsidRDefault="004557C7" w:rsidP="004557C7">
      <w:pPr>
        <w:pStyle w:val="F9-Paragraph"/>
        <w:ind w:left="851" w:hanging="851"/>
      </w:pPr>
      <w:r w:rsidRPr="00D04502">
        <w:rPr>
          <w:rFonts w:eastAsia="Calibri"/>
        </w:rPr>
        <w:t xml:space="preserve">For new structure designs, it is good practice that both the structure and the surrounding soil are explicitly modelled. Several methodologies and commercial software tools are available, allowing the soil to be represented by springs or solid elements. For fully buried structures, kinematic methods applying displacement profiles may also be suitable. Inspectors should review how dutyholders have validated and verified these analyses. </w:t>
      </w:r>
      <w:r w:rsidR="00C609BC">
        <w:rPr>
          <w:rFonts w:eastAsia="Calibri"/>
        </w:rPr>
        <w:br/>
      </w:r>
      <w:r w:rsidRPr="00D04502">
        <w:rPr>
          <w:rFonts w:eastAsia="Calibri"/>
        </w:rPr>
        <w:t xml:space="preserve">For further details, </w:t>
      </w:r>
      <w:r w:rsidR="00C609BC">
        <w:rPr>
          <w:rFonts w:eastAsia="Calibri"/>
        </w:rPr>
        <w:t xml:space="preserve">refer to Annex 1 of TAG 17 </w:t>
      </w:r>
      <w:sdt>
        <w:sdtPr>
          <w:rPr>
            <w:rFonts w:eastAsia="Calibri"/>
          </w:rPr>
          <w:id w:val="-161942520"/>
          <w:citation/>
        </w:sdtPr>
        <w:sdtContent>
          <w:r w:rsidR="00C609BC">
            <w:rPr>
              <w:rFonts w:eastAsia="Calibri"/>
            </w:rPr>
            <w:fldChar w:fldCharType="begin"/>
          </w:r>
          <w:r w:rsidR="00C609BC">
            <w:rPr>
              <w:rFonts w:eastAsia="Calibri"/>
            </w:rPr>
            <w:instrText xml:space="preserve"> CITATION ONR161 \l 2057 </w:instrText>
          </w:r>
          <w:r w:rsidR="00C609BC">
            <w:rPr>
              <w:rFonts w:eastAsia="Calibri"/>
            </w:rPr>
            <w:fldChar w:fldCharType="separate"/>
          </w:r>
          <w:r w:rsidR="00401277" w:rsidRPr="00401277">
            <w:rPr>
              <w:rFonts w:eastAsia="Calibri"/>
              <w:noProof/>
            </w:rPr>
            <w:t>[5]</w:t>
          </w:r>
          <w:r w:rsidR="00C609BC">
            <w:rPr>
              <w:rFonts w:eastAsia="Calibri"/>
            </w:rPr>
            <w:fldChar w:fldCharType="end"/>
          </w:r>
        </w:sdtContent>
      </w:sdt>
      <w:r w:rsidR="00C609BC">
        <w:rPr>
          <w:rFonts w:eastAsia="Calibri"/>
        </w:rPr>
        <w:t xml:space="preserve"> and Annex 1 of TAG 13 </w:t>
      </w:r>
      <w:sdt>
        <w:sdtPr>
          <w:rPr>
            <w:rFonts w:eastAsia="Calibri"/>
          </w:rPr>
          <w:id w:val="-948303606"/>
          <w:citation/>
        </w:sdtPr>
        <w:sdtContent>
          <w:r w:rsidR="00C609BC">
            <w:rPr>
              <w:rFonts w:eastAsia="Calibri"/>
            </w:rPr>
            <w:fldChar w:fldCharType="begin"/>
          </w:r>
          <w:r w:rsidR="00C609BC">
            <w:rPr>
              <w:rFonts w:eastAsia="Calibri"/>
            </w:rPr>
            <w:instrText xml:space="preserve"> CITATION TAG13 \l 2057 </w:instrText>
          </w:r>
          <w:r w:rsidR="00C609BC">
            <w:rPr>
              <w:rFonts w:eastAsia="Calibri"/>
            </w:rPr>
            <w:fldChar w:fldCharType="separate"/>
          </w:r>
          <w:r w:rsidR="00401277" w:rsidRPr="00401277">
            <w:rPr>
              <w:rFonts w:eastAsia="Calibri"/>
              <w:noProof/>
            </w:rPr>
            <w:t>[18]</w:t>
          </w:r>
          <w:r w:rsidR="00C609BC">
            <w:rPr>
              <w:rFonts w:eastAsia="Calibri"/>
            </w:rPr>
            <w:fldChar w:fldCharType="end"/>
          </w:r>
        </w:sdtContent>
      </w:sdt>
      <w:r w:rsidR="00C609BC">
        <w:rPr>
          <w:rFonts w:eastAsia="Calibri"/>
        </w:rPr>
        <w:t>.</w:t>
      </w:r>
    </w:p>
    <w:p w14:paraId="66DF6B7F" w14:textId="77777777" w:rsidR="00C609BC" w:rsidRDefault="00C609BC" w:rsidP="00A76B54">
      <w:pPr>
        <w:pStyle w:val="F9-Paragraph"/>
        <w:ind w:left="851" w:hanging="851"/>
        <w:rPr>
          <w:rFonts w:eastAsia="Calibri"/>
        </w:rPr>
        <w:sectPr w:rsidR="00C609BC">
          <w:pgSz w:w="11906" w:h="16838"/>
          <w:pgMar w:top="1440" w:right="1440" w:bottom="1440" w:left="1440" w:header="708" w:footer="708" w:gutter="0"/>
          <w:cols w:space="708"/>
          <w:docGrid w:linePitch="360"/>
        </w:sectPr>
      </w:pPr>
    </w:p>
    <w:p w14:paraId="1C9A43BE" w14:textId="77777777" w:rsidR="00233870" w:rsidRPr="00D04502" w:rsidRDefault="00233870" w:rsidP="00A76B54">
      <w:pPr>
        <w:pStyle w:val="F9-Paragraph"/>
        <w:ind w:left="851" w:hanging="851"/>
        <w:rPr>
          <w:rFonts w:eastAsia="Calibri"/>
        </w:rPr>
      </w:pPr>
      <w:r w:rsidRPr="00D04502">
        <w:rPr>
          <w:rFonts w:eastAsia="Calibri"/>
        </w:rPr>
        <w:lastRenderedPageBreak/>
        <w:t>When assessing sub-surface structures, the Inspector may wish to consider the following:</w:t>
      </w:r>
    </w:p>
    <w:p w14:paraId="65258931" w14:textId="36952B60" w:rsidR="00233870" w:rsidRPr="00D04502" w:rsidRDefault="00233870" w:rsidP="00A76B54">
      <w:pPr>
        <w:pStyle w:val="Bulletlist1"/>
        <w:ind w:left="1418" w:hanging="357"/>
      </w:pPr>
      <w:r w:rsidRPr="00D04502">
        <w:t xml:space="preserve">the various tunnelling techniques </w:t>
      </w:r>
      <w:r w:rsidR="003F2F30">
        <w:t>(for example,</w:t>
      </w:r>
      <w:r w:rsidRPr="00D04502">
        <w:t xml:space="preserve"> bored or cut-and-cover) and lining designs, including their appropriateness for different ground conditions and design requirements,</w:t>
      </w:r>
    </w:p>
    <w:p w14:paraId="6C0D0D57" w14:textId="77777777" w:rsidR="00233870" w:rsidRPr="00D04502" w:rsidRDefault="00233870" w:rsidP="00A76B54">
      <w:pPr>
        <w:pStyle w:val="Bulletlist1"/>
        <w:ind w:left="1418" w:hanging="357"/>
      </w:pPr>
      <w:r w:rsidRPr="00D04502">
        <w:t>the effects that groundwater has on buried structures, in particular its effect on construction, loading on the finished structure, degradation due to chemical attack or aggressive ground conditions, and design methods to prevent water seepage,</w:t>
      </w:r>
    </w:p>
    <w:p w14:paraId="4BC5BC10" w14:textId="77777777" w:rsidR="00233870" w:rsidRPr="00D04502" w:rsidRDefault="00233870" w:rsidP="00A76B54">
      <w:pPr>
        <w:pStyle w:val="Bulletlist1"/>
        <w:ind w:left="1418" w:hanging="357"/>
      </w:pPr>
      <w:r w:rsidRPr="00D04502">
        <w:t>the soil properties required for analysis and the sensitivity of the design to the properties assumed,</w:t>
      </w:r>
    </w:p>
    <w:p w14:paraId="7BCC9C95" w14:textId="77777777" w:rsidR="00233870" w:rsidRPr="00D04502" w:rsidRDefault="00233870" w:rsidP="00A76B54">
      <w:pPr>
        <w:pStyle w:val="Bulletlist1"/>
        <w:ind w:left="1418" w:hanging="357"/>
      </w:pPr>
      <w:r w:rsidRPr="00D04502">
        <w:t>relevant guidance with respect to the determination of seismic loading on buried structures,</w:t>
      </w:r>
    </w:p>
    <w:p w14:paraId="739FFA1C" w14:textId="77777777" w:rsidR="00233870" w:rsidRPr="00D04502" w:rsidRDefault="00233870" w:rsidP="00A76B54">
      <w:pPr>
        <w:pStyle w:val="Bulletlist1"/>
        <w:ind w:left="1418" w:hanging="357"/>
      </w:pPr>
      <w:r w:rsidRPr="00D04502">
        <w:t>monitoring techniques for buried structures, both during and after construction,</w:t>
      </w:r>
    </w:p>
    <w:p w14:paraId="5B4AF949" w14:textId="77777777" w:rsidR="00233870" w:rsidRPr="00D04502" w:rsidRDefault="00233870" w:rsidP="00A76B54">
      <w:pPr>
        <w:pStyle w:val="Bulletlist1"/>
        <w:ind w:left="1418" w:hanging="357"/>
      </w:pPr>
      <w:r w:rsidRPr="00D04502">
        <w:t>EIMT and potential repair of structures (to be included in design if new build),</w:t>
      </w:r>
    </w:p>
    <w:p w14:paraId="664A3BC3" w14:textId="75CABB74" w:rsidR="00233870" w:rsidRPr="00D04502" w:rsidRDefault="00233870" w:rsidP="00A76B54">
      <w:pPr>
        <w:pStyle w:val="Bulletlist1"/>
        <w:ind w:left="1418" w:hanging="357"/>
      </w:pPr>
      <w:r w:rsidRPr="00D04502">
        <w:t xml:space="preserve">design life and claims placed on items that cannot be replaced or inspected </w:t>
      </w:r>
      <w:r w:rsidR="003F2F30">
        <w:t>for example,</w:t>
      </w:r>
      <w:r w:rsidRPr="00D04502">
        <w:t xml:space="preserve"> membranes or waterstops.</w:t>
      </w:r>
    </w:p>
    <w:p w14:paraId="48E3844D" w14:textId="77777777" w:rsidR="00233870" w:rsidRPr="00D04502" w:rsidRDefault="00233870" w:rsidP="00A76B54">
      <w:pPr>
        <w:pStyle w:val="F9-Paragraph"/>
        <w:ind w:left="851" w:hanging="851"/>
        <w:rPr>
          <w:rFonts w:eastAsia="Calibri"/>
        </w:rPr>
      </w:pPr>
      <w:r w:rsidRPr="00D04502">
        <w:rPr>
          <w:rFonts w:eastAsia="Calibri"/>
        </w:rPr>
        <w:t>It should be noted that, for underground construction, loads from groundwater often exceed those from soil. It is therefore a key consideration that the dutyholder demonstrates an adequate understanding of the groundwater regime and control of this risk in both the construction planning and design.</w:t>
      </w:r>
    </w:p>
    <w:p w14:paraId="5B575D5B" w14:textId="649F40A3" w:rsidR="00233870" w:rsidRPr="00D04502" w:rsidRDefault="005B52FE" w:rsidP="002372FA">
      <w:pPr>
        <w:pStyle w:val="F9-Paragraph"/>
        <w:ind w:left="851" w:hanging="851"/>
        <w:rPr>
          <w:rFonts w:eastAsia="Calibri"/>
        </w:rPr>
      </w:pPr>
      <w:r w:rsidRPr="00D04502">
        <w:t>Historically, issues with buried structures have often related to serviceability rather than structural strength. Inspectors should recognise that detecting legacy defects may not be feasible until after damage has occurred. It is important for inspectors to ensure there is a clear link between serviceability claims and construction methods. The Inspector may wish to consider long-term effectiveness of waterproofing or sacrificial concrete, construction and movement joints, and the criteria used for construction assurance.</w:t>
      </w:r>
    </w:p>
    <w:p w14:paraId="41A54EAA" w14:textId="6E098226" w:rsidR="00233870" w:rsidRPr="00D04502" w:rsidRDefault="00233870" w:rsidP="002372FA">
      <w:pPr>
        <w:pStyle w:val="F9-Paragraph"/>
        <w:ind w:left="851" w:hanging="851"/>
      </w:pPr>
      <w:r w:rsidRPr="00D04502">
        <w:t>For existing sub-surface structures on operational or post-operational sites, including vaults or near surface waste stores, these are designed to store waste for short periods of time. There are times where these existing facilities require repair or modification. For more information</w:t>
      </w:r>
      <w:r w:rsidR="00C609BC">
        <w:t>, refer to</w:t>
      </w:r>
      <w:r w:rsidRPr="00D04502">
        <w:t>:</w:t>
      </w:r>
    </w:p>
    <w:p w14:paraId="5CCD17CE" w14:textId="1046F4D9" w:rsidR="00C609BC" w:rsidRPr="00D04502" w:rsidRDefault="00C609BC" w:rsidP="00C609BC">
      <w:pPr>
        <w:pStyle w:val="Bulletlist1"/>
        <w:ind w:left="1418" w:hanging="357"/>
      </w:pPr>
      <w:r w:rsidRPr="00D04502">
        <w:t xml:space="preserve">For decommissioning such facilities, </w:t>
      </w:r>
      <w:r>
        <w:t xml:space="preserve">Annex 6 of </w:t>
      </w:r>
      <w:r w:rsidRPr="00D04502">
        <w:t xml:space="preserve">TAG 17 </w:t>
      </w:r>
      <w:sdt>
        <w:sdtPr>
          <w:id w:val="-1983532924"/>
          <w:citation/>
        </w:sdtPr>
        <w:sdtContent>
          <w:r>
            <w:fldChar w:fldCharType="begin"/>
          </w:r>
          <w:r>
            <w:instrText xml:space="preserve"> CITATION ONR166 \l 2057 </w:instrText>
          </w:r>
          <w:r>
            <w:fldChar w:fldCharType="separate"/>
          </w:r>
          <w:r w:rsidR="00401277" w:rsidRPr="00401277">
            <w:t>[7]</w:t>
          </w:r>
          <w:r>
            <w:fldChar w:fldCharType="end"/>
          </w:r>
        </w:sdtContent>
      </w:sdt>
      <w:r w:rsidRPr="00D04502">
        <w:t xml:space="preserve"> </w:t>
      </w:r>
    </w:p>
    <w:p w14:paraId="7DC7AB18" w14:textId="1B09BF94" w:rsidR="00233870" w:rsidRPr="00D04502" w:rsidRDefault="00233870" w:rsidP="002372FA">
      <w:pPr>
        <w:pStyle w:val="Bulletlist1"/>
        <w:ind w:left="1418" w:hanging="357"/>
      </w:pPr>
      <w:r w:rsidRPr="00D04502">
        <w:t xml:space="preserve">For existing structures, </w:t>
      </w:r>
      <w:r w:rsidR="00C609BC">
        <w:t xml:space="preserve">Annex 5 of </w:t>
      </w:r>
      <w:r w:rsidRPr="00D04502">
        <w:t xml:space="preserve">TAG 17 </w:t>
      </w:r>
      <w:sdt>
        <w:sdtPr>
          <w:id w:val="488450024"/>
          <w:citation/>
        </w:sdtPr>
        <w:sdtContent>
          <w:r w:rsidR="00C609BC">
            <w:fldChar w:fldCharType="begin"/>
          </w:r>
          <w:r w:rsidR="00C609BC">
            <w:instrText xml:space="preserve"> CITATION ONR165 \l 2057 </w:instrText>
          </w:r>
          <w:r w:rsidR="00C609BC">
            <w:fldChar w:fldCharType="separate"/>
          </w:r>
          <w:r w:rsidR="00401277" w:rsidRPr="00401277">
            <w:t>[38]</w:t>
          </w:r>
          <w:r w:rsidR="00C609BC">
            <w:fldChar w:fldCharType="end"/>
          </w:r>
        </w:sdtContent>
      </w:sdt>
      <w:r w:rsidRPr="00D04502">
        <w:t xml:space="preserve"> </w:t>
      </w:r>
    </w:p>
    <w:p w14:paraId="2375F0F8" w14:textId="3F01A860" w:rsidR="00233870" w:rsidRPr="00D04502" w:rsidRDefault="00233870" w:rsidP="002372FA">
      <w:pPr>
        <w:pStyle w:val="Bulletlist1"/>
        <w:ind w:left="1418" w:hanging="357"/>
      </w:pPr>
      <w:r w:rsidRPr="00D04502">
        <w:lastRenderedPageBreak/>
        <w:t>For ‘Upgrading of Near Surface Repositories for Radioactive Waste’</w:t>
      </w:r>
      <w:r w:rsidR="00F8114E" w:rsidRPr="00D04502">
        <w:t xml:space="preserve">, </w:t>
      </w:r>
      <w:r w:rsidRPr="00D04502">
        <w:t>IAEA Technical report No. 433</w:t>
      </w:r>
      <w:r w:rsidR="00F8114E" w:rsidRPr="00D04502">
        <w:t xml:space="preserve"> </w:t>
      </w:r>
      <w:sdt>
        <w:sdtPr>
          <w:id w:val="1496847394"/>
          <w:citation/>
        </w:sdtPr>
        <w:sdtEndPr/>
        <w:sdtContent>
          <w:r w:rsidR="003B3479" w:rsidRPr="00D04502">
            <w:fldChar w:fldCharType="begin"/>
          </w:r>
          <w:r w:rsidR="003B3479" w:rsidRPr="00D04502">
            <w:instrText xml:space="preserve"> CITATION IAE05 \l 2057 </w:instrText>
          </w:r>
          <w:r w:rsidR="003B3479" w:rsidRPr="00D04502">
            <w:fldChar w:fldCharType="separate"/>
          </w:r>
          <w:r w:rsidR="00401277" w:rsidRPr="00401277">
            <w:t>[39]</w:t>
          </w:r>
          <w:r w:rsidR="003B3479" w:rsidRPr="00D04502">
            <w:fldChar w:fldCharType="end"/>
          </w:r>
        </w:sdtContent>
      </w:sdt>
    </w:p>
    <w:p w14:paraId="7EC85E51" w14:textId="77777777" w:rsidR="00623879" w:rsidRPr="00D04502" w:rsidRDefault="00623879" w:rsidP="00623879">
      <w:pPr>
        <w:pStyle w:val="Heading2"/>
        <w:ind w:left="851" w:hanging="851"/>
      </w:pPr>
      <w:bookmarkStart w:id="26" w:name="_Toc57904985"/>
      <w:r w:rsidRPr="00D04502">
        <w:t>Below ground drainage, tanks and ducts</w:t>
      </w:r>
      <w:bookmarkEnd w:id="26"/>
    </w:p>
    <w:p w14:paraId="34027E12" w14:textId="07FE18FC" w:rsidR="00595A30" w:rsidRPr="00D04502" w:rsidRDefault="00595A30" w:rsidP="00E12A83">
      <w:pPr>
        <w:pStyle w:val="F9-Paragraph"/>
        <w:ind w:left="851" w:hanging="851"/>
        <w:rPr>
          <w:rFonts w:eastAsia="Calibri"/>
        </w:rPr>
      </w:pPr>
      <w:r w:rsidRPr="00D04502">
        <w:t>This guidance covers the assessment of below ground drainage, tanks and ducts on nuclear sites, including sewerage, surface water, and active drainage systems. It does not apply to pipework in pressurised systems, which are typically assessed by Structural Integrity or Mechanical Engineering specialists. Inspectors should note the interfaces between civil engineering and other disciplines, particularly where civil structures support pipework or where services penetrate structures.</w:t>
      </w:r>
    </w:p>
    <w:p w14:paraId="5EAB5479" w14:textId="43171DF1" w:rsidR="00595A30" w:rsidRPr="00D04502" w:rsidRDefault="005C0A72" w:rsidP="005C0A72">
      <w:pPr>
        <w:pStyle w:val="F9-Paragraph"/>
        <w:ind w:left="851" w:hanging="851"/>
      </w:pPr>
      <w:r w:rsidRPr="00D04502">
        <w:t xml:space="preserve">The Inspector should note that non-active drainage systems are generally not safety classified due to challenges in establishing their reliability. Typically, these systems offer defence in depth for safety functions. </w:t>
      </w:r>
      <w:r w:rsidR="00C609BC">
        <w:br/>
      </w:r>
      <w:r w:rsidRPr="00D04502">
        <w:t>The Inspector should determine if the system contributes to nuclear containment</w:t>
      </w:r>
      <w:r w:rsidR="0085203A" w:rsidRPr="00D04502">
        <w:t xml:space="preserve"> safety function</w:t>
      </w:r>
      <w:r w:rsidRPr="00D04502">
        <w:t>, as this will influence the required scrutiny level.</w:t>
      </w:r>
    </w:p>
    <w:p w14:paraId="6DD4A149" w14:textId="72CB593A" w:rsidR="00595A30" w:rsidRPr="00D04502" w:rsidRDefault="0085203A" w:rsidP="0085203A">
      <w:pPr>
        <w:pStyle w:val="F9-Paragraph"/>
        <w:ind w:left="851" w:hanging="851"/>
      </w:pPr>
      <w:r w:rsidRPr="00D04502">
        <w:t>The Inspector should understand how the system’s design basis is established, recognising that flow rates may be determined by factors outside civil engineering, such as active and trade waste or external hazards influencing storm drain requirements. The Inspector should be able to distinguish between realistic and unrealistic values based on volume, hazards, or fault scenarios.</w:t>
      </w:r>
    </w:p>
    <w:p w14:paraId="113C6CFA" w14:textId="77777777" w:rsidR="00595A30" w:rsidRPr="00D04502" w:rsidRDefault="00595A30" w:rsidP="0085203A">
      <w:pPr>
        <w:pStyle w:val="F9-Paragraph"/>
        <w:ind w:left="851" w:hanging="851"/>
      </w:pPr>
      <w:r w:rsidRPr="00D04502">
        <w:t>From a civil and structural engineering perspective, consideration should be given to the following items during assessment:</w:t>
      </w:r>
    </w:p>
    <w:p w14:paraId="562D653F" w14:textId="77777777" w:rsidR="00595A30" w:rsidRPr="00D04502" w:rsidRDefault="00595A30" w:rsidP="0085203A">
      <w:pPr>
        <w:pStyle w:val="Bulletlist1"/>
        <w:ind w:left="1418" w:hanging="357"/>
      </w:pPr>
      <w:r w:rsidRPr="00D04502">
        <w:t>hydraulic analysis for pipework sizing,</w:t>
      </w:r>
    </w:p>
    <w:p w14:paraId="26920518" w14:textId="5993D91A" w:rsidR="00595A30" w:rsidRPr="00D04502" w:rsidRDefault="00595A30" w:rsidP="0085203A">
      <w:pPr>
        <w:pStyle w:val="Bulletlist1"/>
        <w:ind w:left="1418" w:hanging="357"/>
      </w:pPr>
      <w:r w:rsidRPr="00D04502">
        <w:t xml:space="preserve">materials used for existing pipework </w:t>
      </w:r>
      <w:r w:rsidR="003F2F30">
        <w:t>for example,</w:t>
      </w:r>
      <w:r w:rsidRPr="00D04502">
        <w:t xml:space="preserve"> cast iron or plastic and associated expected design life and repair methods,</w:t>
      </w:r>
    </w:p>
    <w:p w14:paraId="4ADA3013" w14:textId="77777777" w:rsidR="00595A30" w:rsidRPr="00D04502" w:rsidRDefault="00595A30" w:rsidP="0085203A">
      <w:pPr>
        <w:pStyle w:val="Bulletlist1"/>
        <w:ind w:left="1418" w:hanging="357"/>
      </w:pPr>
      <w:r w:rsidRPr="00D04502">
        <w:t>backfilled materials around the pipework (potential for damage),</w:t>
      </w:r>
    </w:p>
    <w:p w14:paraId="2F73383F" w14:textId="77777777" w:rsidR="00595A30" w:rsidRPr="00D04502" w:rsidRDefault="00595A30" w:rsidP="0085203A">
      <w:pPr>
        <w:pStyle w:val="Bulletlist1"/>
        <w:ind w:left="1418" w:hanging="357"/>
      </w:pPr>
      <w:r w:rsidRPr="00D04502">
        <w:t>geotechnical considerations, including excavation, backfilling, restoration and settlement,</w:t>
      </w:r>
    </w:p>
    <w:p w14:paraId="72419F93" w14:textId="77777777" w:rsidR="00595A30" w:rsidRPr="00D04502" w:rsidRDefault="00595A30" w:rsidP="0085203A">
      <w:pPr>
        <w:pStyle w:val="Bulletlist1"/>
        <w:ind w:left="1418" w:hanging="357"/>
      </w:pPr>
      <w:r w:rsidRPr="00D04502">
        <w:t>design and construction of pipelines, tunnels and ancillary works, including temporary works and formwork,</w:t>
      </w:r>
    </w:p>
    <w:p w14:paraId="5A93D0AC" w14:textId="77777777" w:rsidR="00595A30" w:rsidRPr="00D04502" w:rsidRDefault="00595A30" w:rsidP="0085203A">
      <w:pPr>
        <w:pStyle w:val="Bulletlist1"/>
        <w:ind w:left="1418" w:hanging="357"/>
      </w:pPr>
      <w:r w:rsidRPr="00D04502">
        <w:t>operation, maintenance and testing of drainage systems,</w:t>
      </w:r>
    </w:p>
    <w:p w14:paraId="73B94381" w14:textId="77777777" w:rsidR="00595A30" w:rsidRPr="00D04502" w:rsidRDefault="00595A30" w:rsidP="0085203A">
      <w:pPr>
        <w:pStyle w:val="Bulletlist1"/>
        <w:ind w:left="1418" w:hanging="357"/>
      </w:pPr>
      <w:r w:rsidRPr="00D04502">
        <w:t>loading limits and exceptional loadings on the roads above pipework sections</w:t>
      </w:r>
    </w:p>
    <w:p w14:paraId="255F90B8" w14:textId="77777777" w:rsidR="00595A30" w:rsidRPr="00D04502" w:rsidRDefault="00595A30" w:rsidP="0085203A">
      <w:pPr>
        <w:pStyle w:val="Bulletlist1"/>
        <w:ind w:left="1418" w:hanging="357"/>
        <w:rPr>
          <w:lang w:val="fr-FR"/>
        </w:rPr>
      </w:pPr>
      <w:r w:rsidRPr="00D04502">
        <w:rPr>
          <w:lang w:val="fr-FR"/>
        </w:rPr>
        <w:t>pipework renovation,</w:t>
      </w:r>
    </w:p>
    <w:p w14:paraId="5E3FA933" w14:textId="77777777" w:rsidR="00595A30" w:rsidRPr="00D04502" w:rsidRDefault="00595A30" w:rsidP="0085203A">
      <w:pPr>
        <w:pStyle w:val="Bulletlist1"/>
        <w:ind w:left="1418" w:hanging="357"/>
      </w:pPr>
      <w:r w:rsidRPr="00D04502">
        <w:t>tunnelling and shaft sinking construction and connections.</w:t>
      </w:r>
    </w:p>
    <w:p w14:paraId="4B4AF8DF" w14:textId="2B7054A4" w:rsidR="00595A30" w:rsidRPr="00D04502" w:rsidRDefault="00595A30" w:rsidP="00C609BC">
      <w:pPr>
        <w:pStyle w:val="F9-Paragraph"/>
        <w:ind w:left="851" w:hanging="851"/>
      </w:pPr>
      <w:r w:rsidRPr="00D04502">
        <w:lastRenderedPageBreak/>
        <w:t xml:space="preserve">Outside the standard identified </w:t>
      </w:r>
      <w:r w:rsidR="00C609BC">
        <w:t>in the SAPs</w:t>
      </w:r>
      <w:r w:rsidRPr="00D04502">
        <w:t xml:space="preserve"> </w:t>
      </w:r>
      <w:r w:rsidR="00C609BC">
        <w:t>listed in</w:t>
      </w:r>
      <w:r w:rsidRPr="00D04502">
        <w:t xml:space="preserve"> </w:t>
      </w:r>
      <w:sdt>
        <w:sdtPr>
          <w:id w:val="1904402799"/>
          <w:citation/>
        </w:sdtPr>
        <w:sdtContent>
          <w:r w:rsidR="00C609BC">
            <w:fldChar w:fldCharType="begin"/>
          </w:r>
          <w:r w:rsidR="00C609BC">
            <w:instrText xml:space="preserve"> CITATION ONR161 \l 2057 </w:instrText>
          </w:r>
          <w:r w:rsidR="00C609BC">
            <w:fldChar w:fldCharType="separate"/>
          </w:r>
          <w:r w:rsidR="00401277">
            <w:rPr>
              <w:noProof/>
            </w:rPr>
            <w:t>[5]</w:t>
          </w:r>
          <w:r w:rsidR="00C609BC">
            <w:fldChar w:fldCharType="end"/>
          </w:r>
        </w:sdtContent>
      </w:sdt>
      <w:r w:rsidRPr="00D04502">
        <w:t>, the SAPs that are specifically relevant to drainage are:</w:t>
      </w:r>
    </w:p>
    <w:p w14:paraId="163A59B5" w14:textId="77777777" w:rsidR="00595A30" w:rsidRPr="00D04502" w:rsidRDefault="00595A30" w:rsidP="0085203A">
      <w:pPr>
        <w:pStyle w:val="Bulletlist1"/>
        <w:ind w:left="1418" w:hanging="357"/>
      </w:pPr>
      <w:r w:rsidRPr="00D04502">
        <w:t>ELO.4, support services include water supplies, flood defence and drainage and essential services,</w:t>
      </w:r>
    </w:p>
    <w:p w14:paraId="57902E4C" w14:textId="77777777" w:rsidR="00595A30" w:rsidRPr="00D04502" w:rsidRDefault="00595A30" w:rsidP="0085203A">
      <w:pPr>
        <w:pStyle w:val="Bulletlist1"/>
        <w:ind w:left="1418" w:hanging="357"/>
      </w:pPr>
      <w:r w:rsidRPr="00D04502">
        <w:t>ECV.1, ECV.2, ECV.3, ECV.4, ECV.7, related to active drains and transportation of nuclear waste,</w:t>
      </w:r>
    </w:p>
    <w:p w14:paraId="514D06A1" w14:textId="77777777" w:rsidR="00595A30" w:rsidRPr="00D04502" w:rsidRDefault="00595A30" w:rsidP="0085203A">
      <w:pPr>
        <w:pStyle w:val="Bulletlist1"/>
        <w:ind w:left="1418" w:hanging="357"/>
      </w:pPr>
      <w:r w:rsidRPr="00D04502">
        <w:t>ECE.5, the results of the geotechnical investigation will inform design,</w:t>
      </w:r>
    </w:p>
    <w:p w14:paraId="13043358" w14:textId="77777777" w:rsidR="00595A30" w:rsidRPr="00D04502" w:rsidRDefault="00595A30" w:rsidP="0085203A">
      <w:pPr>
        <w:pStyle w:val="Bulletlist1"/>
        <w:ind w:left="1418" w:hanging="357"/>
      </w:pPr>
      <w:r w:rsidRPr="00D04502">
        <w:t>ECE.22, structures should be tested for leak tightness prior to operation, and drainage systems should be used to confirm containment integrity, or to detect, locate, collect, quantify and where possible allow repair to leakages,</w:t>
      </w:r>
    </w:p>
    <w:p w14:paraId="23327D2E" w14:textId="77777777" w:rsidR="00595A30" w:rsidRPr="00D04502" w:rsidRDefault="00595A30" w:rsidP="0085203A">
      <w:pPr>
        <w:pStyle w:val="Bulletlist1"/>
        <w:ind w:left="1418" w:hanging="357"/>
      </w:pPr>
      <w:r w:rsidRPr="00D04502">
        <w:t>ECE. 24, the arrangements to monitor civil structures to determine settlement and deformations of the ground due to the structure.</w:t>
      </w:r>
    </w:p>
    <w:p w14:paraId="62F908C1" w14:textId="77777777" w:rsidR="00595A30" w:rsidRPr="00D04502" w:rsidRDefault="00595A30" w:rsidP="0085203A">
      <w:pPr>
        <w:pStyle w:val="F9-Paragraph"/>
        <w:ind w:left="851" w:hanging="851"/>
      </w:pPr>
      <w:r w:rsidRPr="00D04502">
        <w:t>Drainage with a nuclear safety function is typically intended to route rainwater / floodwater away from SSCs claimed in a safety case or intended to contain contaminated (active) fluid and transport it from one location to another. These two different functions are considered below.</w:t>
      </w:r>
    </w:p>
    <w:p w14:paraId="0A79D15F" w14:textId="0B16A0DC" w:rsidR="00706F51" w:rsidRPr="00D04502" w:rsidRDefault="00706F51" w:rsidP="00E43135">
      <w:pPr>
        <w:pStyle w:val="Heading3"/>
      </w:pPr>
      <w:r w:rsidRPr="00D04502">
        <w:t xml:space="preserve">Rainwater / </w:t>
      </w:r>
      <w:r w:rsidR="00C609BC">
        <w:t>s</w:t>
      </w:r>
      <w:r w:rsidRPr="00D04502">
        <w:t xml:space="preserve">tormwater </w:t>
      </w:r>
      <w:r w:rsidR="00C609BC">
        <w:t>d</w:t>
      </w:r>
      <w:r w:rsidRPr="00D04502">
        <w:t>rains</w:t>
      </w:r>
    </w:p>
    <w:p w14:paraId="599EE7C4" w14:textId="5CC98092" w:rsidR="0049791B" w:rsidRPr="00D04502" w:rsidRDefault="0049791B">
      <w:pPr>
        <w:pStyle w:val="F9-Paragraph"/>
        <w:ind w:left="851" w:hanging="851"/>
      </w:pPr>
      <w:r w:rsidRPr="00D04502">
        <w:t>The Inspector should be aware that rainwater drains on nuclear licensed sites are typically designed using normal civil engineering industrial standards</w:t>
      </w:r>
      <w:r w:rsidR="00D560D5" w:rsidRPr="00D04502">
        <w:t xml:space="preserve"> such as BS EN 16933-1:2022, 'Drain and sewer systems outside buildings - Design - Part 1:Layout Principles' and </w:t>
      </w:r>
      <w:r w:rsidR="00624B18" w:rsidRPr="00D04502">
        <w:t>BS EN 16933-1:2022, 'Drain and sewer systems outside buildings - Design - Part 1:</w:t>
      </w:r>
      <w:r w:rsidR="00FD7FEC" w:rsidRPr="00D04502">
        <w:t>Hydraulic design</w:t>
      </w:r>
      <w:r w:rsidR="00624B18" w:rsidRPr="00D04502">
        <w:t>'</w:t>
      </w:r>
      <w:r w:rsidR="00FD7FEC" w:rsidRPr="00D04502">
        <w:t xml:space="preserve"> </w:t>
      </w:r>
      <w:sdt>
        <w:sdtPr>
          <w:id w:val="-1716495836"/>
          <w:citation/>
        </w:sdtPr>
        <w:sdtEndPr/>
        <w:sdtContent>
          <w:r w:rsidR="00FD7FEC" w:rsidRPr="00D04502">
            <w:fldChar w:fldCharType="begin"/>
          </w:r>
          <w:r w:rsidR="00FD7FEC" w:rsidRPr="00D04502">
            <w:instrText xml:space="preserve"> CITATION BSI12 \l 2057 </w:instrText>
          </w:r>
          <w:r w:rsidR="00FD7FEC" w:rsidRPr="00D04502">
            <w:fldChar w:fldCharType="separate"/>
          </w:r>
          <w:r w:rsidR="00401277">
            <w:rPr>
              <w:noProof/>
            </w:rPr>
            <w:t>[40]</w:t>
          </w:r>
          <w:r w:rsidR="00FD7FEC" w:rsidRPr="00D04502">
            <w:fldChar w:fldCharType="end"/>
          </w:r>
        </w:sdtContent>
      </w:sdt>
      <w:r w:rsidR="00FD7FEC" w:rsidRPr="00D04502">
        <w:t xml:space="preserve">, </w:t>
      </w:r>
      <w:sdt>
        <w:sdtPr>
          <w:id w:val="310379569"/>
          <w:citation/>
        </w:sdtPr>
        <w:sdtEndPr/>
        <w:sdtContent>
          <w:r w:rsidR="00FD7FEC" w:rsidRPr="00D04502">
            <w:fldChar w:fldCharType="begin"/>
          </w:r>
          <w:r w:rsidR="00FD7FEC" w:rsidRPr="00D04502">
            <w:instrText xml:space="preserve"> CITATION BSI13 \l 2057 </w:instrText>
          </w:r>
          <w:r w:rsidR="00FD7FEC" w:rsidRPr="00D04502">
            <w:fldChar w:fldCharType="separate"/>
          </w:r>
          <w:r w:rsidR="00401277">
            <w:rPr>
              <w:noProof/>
            </w:rPr>
            <w:t>[41]</w:t>
          </w:r>
          <w:r w:rsidR="00FD7FEC" w:rsidRPr="00D04502">
            <w:fldChar w:fldCharType="end"/>
          </w:r>
        </w:sdtContent>
      </w:sdt>
      <w:r w:rsidR="00606CD9" w:rsidRPr="00D04502">
        <w:t xml:space="preserve"> </w:t>
      </w:r>
      <w:r w:rsidRPr="00D04502">
        <w:t>.</w:t>
      </w:r>
      <w:r w:rsidR="00A8724E" w:rsidRPr="00D04502">
        <w:t xml:space="preserve">The Inspector should recognise that rainfall hazards at nuclear sites may be significantly greater than those at standard industrial facilities. </w:t>
      </w:r>
      <w:r w:rsidR="00AA5FBE" w:rsidRPr="00D04502">
        <w:t xml:space="preserve">The Inspector may seek assurance that </w:t>
      </w:r>
      <w:r w:rsidR="00A8724E" w:rsidRPr="00D04502">
        <w:t>the design prevents water ponding that could enter safety-related buildings or hinder site access. Allowances must be made for reduced drain effectiveness due to partial blockages, and arrangements for LC28 drainage inspections should support the relevant safety claims.</w:t>
      </w:r>
    </w:p>
    <w:p w14:paraId="402E3D98" w14:textId="72251B39" w:rsidR="0049791B" w:rsidRPr="00D04502" w:rsidRDefault="00217D17" w:rsidP="002A58EE">
      <w:pPr>
        <w:pStyle w:val="F9-Paragraph"/>
        <w:ind w:left="851" w:hanging="851"/>
      </w:pPr>
      <w:r w:rsidRPr="00D04502">
        <w:t>For new builds, Inspectors should ensure roof drains are positioned outside the building to minimise internal flooding risks. They should also confirm that overflow routes are deliberately engineered, so any blockage directs water along a controlled path rather than occurring accidentally.</w:t>
      </w:r>
    </w:p>
    <w:p w14:paraId="09AF0149" w14:textId="77777777" w:rsidR="00C609BC" w:rsidRDefault="00C609BC" w:rsidP="00C609BC">
      <w:pPr>
        <w:pStyle w:val="F9-Paragraph"/>
        <w:ind w:left="851" w:hanging="851"/>
        <w:rPr>
          <w:rFonts w:eastAsia="Calibri"/>
        </w:rPr>
        <w:sectPr w:rsidR="00C609BC">
          <w:pgSz w:w="11906" w:h="16838"/>
          <w:pgMar w:top="1440" w:right="1440" w:bottom="1440" w:left="1440" w:header="708" w:footer="708" w:gutter="0"/>
          <w:cols w:space="708"/>
          <w:docGrid w:linePitch="360"/>
        </w:sectPr>
      </w:pPr>
    </w:p>
    <w:p w14:paraId="49AB053A" w14:textId="25ED64F1" w:rsidR="0049791B" w:rsidRPr="00D04502" w:rsidRDefault="002A58EE" w:rsidP="00C609BC">
      <w:pPr>
        <w:pStyle w:val="F9-Paragraph"/>
        <w:ind w:left="851" w:hanging="851"/>
      </w:pPr>
      <w:r w:rsidRPr="00D04502">
        <w:rPr>
          <w:rFonts w:eastAsia="Calibri"/>
        </w:rPr>
        <w:lastRenderedPageBreak/>
        <w:t>The Inspector should note that recent advances in groundwater runoff control have introduced legislative requirements for sustainable drainage systems (</w:t>
      </w:r>
      <w:proofErr w:type="spellStart"/>
      <w:r w:rsidRPr="00D04502">
        <w:rPr>
          <w:rFonts w:eastAsia="Calibri"/>
        </w:rPr>
        <w:t>SuDS</w:t>
      </w:r>
      <w:proofErr w:type="spellEnd"/>
      <w:r w:rsidRPr="00D04502">
        <w:rPr>
          <w:rFonts w:eastAsia="Calibri"/>
        </w:rPr>
        <w:t xml:space="preserve">), which vary across England, Scotland and Wales. </w:t>
      </w:r>
      <w:r w:rsidR="00C609BC">
        <w:rPr>
          <w:rFonts w:eastAsia="Calibri"/>
        </w:rPr>
        <w:br/>
      </w:r>
      <w:r w:rsidRPr="00D04502">
        <w:rPr>
          <w:rFonts w:eastAsia="Calibri"/>
        </w:rPr>
        <w:t xml:space="preserve">These requirements are enforced by the relevant environment agencies and local planning authorities. Conflicts may arise between </w:t>
      </w:r>
      <w:proofErr w:type="spellStart"/>
      <w:r w:rsidRPr="00D04502">
        <w:rPr>
          <w:rFonts w:eastAsia="Calibri"/>
        </w:rPr>
        <w:t>SuDS</w:t>
      </w:r>
      <w:proofErr w:type="spellEnd"/>
      <w:r w:rsidRPr="00D04502">
        <w:rPr>
          <w:rFonts w:eastAsia="Calibri"/>
        </w:rPr>
        <w:t xml:space="preserve"> regulations and safety case requirements without proper planning. For further details, </w:t>
      </w:r>
      <w:r w:rsidR="00C609BC">
        <w:rPr>
          <w:rFonts w:eastAsia="Calibri"/>
        </w:rPr>
        <w:t xml:space="preserve">refer to </w:t>
      </w:r>
      <w:r w:rsidR="0049791B" w:rsidRPr="00D04502">
        <w:t>CIRIA guide C753 ‘The Sustainable Drainage Systems Manual’</w:t>
      </w:r>
      <w:r w:rsidR="00312E6D" w:rsidRPr="00D04502">
        <w:t xml:space="preserve"> </w:t>
      </w:r>
      <w:sdt>
        <w:sdtPr>
          <w:rPr>
            <w:lang w:val="fr-FR"/>
          </w:rPr>
          <w:id w:val="-1680264970"/>
          <w:citation/>
        </w:sdtPr>
        <w:sdtEndPr/>
        <w:sdtContent>
          <w:r w:rsidR="00312E6D" w:rsidRPr="00C609BC">
            <w:rPr>
              <w:lang w:val="fr-FR"/>
            </w:rPr>
            <w:fldChar w:fldCharType="begin"/>
          </w:r>
          <w:r w:rsidR="00312E6D" w:rsidRPr="00D04502">
            <w:instrText xml:space="preserve"> CITATION CIR753 \l 2057 </w:instrText>
          </w:r>
          <w:r w:rsidR="00312E6D" w:rsidRPr="00C609BC">
            <w:rPr>
              <w:lang w:val="fr-FR"/>
            </w:rPr>
            <w:fldChar w:fldCharType="separate"/>
          </w:r>
          <w:r w:rsidR="00401277">
            <w:rPr>
              <w:noProof/>
            </w:rPr>
            <w:t>[42]</w:t>
          </w:r>
          <w:r w:rsidR="00312E6D" w:rsidRPr="00C609BC">
            <w:rPr>
              <w:lang w:val="fr-FR"/>
            </w:rPr>
            <w:fldChar w:fldCharType="end"/>
          </w:r>
        </w:sdtContent>
      </w:sdt>
      <w:r w:rsidR="0049791B" w:rsidRPr="00D04502">
        <w:t xml:space="preserve">. </w:t>
      </w:r>
      <w:r w:rsidR="0049791B" w:rsidRPr="00C609BC">
        <w:rPr>
          <w:b/>
          <w:bCs/>
        </w:rPr>
        <w:t>Note</w:t>
      </w:r>
      <w:r w:rsidR="0049791B" w:rsidRPr="00D04502">
        <w:t xml:space="preserve">: </w:t>
      </w:r>
      <w:r w:rsidR="00C609BC">
        <w:t>M</w:t>
      </w:r>
      <w:r w:rsidR="0049791B" w:rsidRPr="00D04502">
        <w:t>any utility companies have their own standard technical specifications and designs which vary depending on region.</w:t>
      </w:r>
    </w:p>
    <w:p w14:paraId="3AA4F551" w14:textId="016530B8" w:rsidR="00024475" w:rsidRPr="00D04502" w:rsidRDefault="00024475" w:rsidP="00E43135">
      <w:pPr>
        <w:pStyle w:val="Heading3"/>
      </w:pPr>
      <w:r w:rsidRPr="00D04502">
        <w:t xml:space="preserve">Active </w:t>
      </w:r>
      <w:r w:rsidR="00C609BC">
        <w:t>d</w:t>
      </w:r>
      <w:r w:rsidRPr="00D04502">
        <w:t>rains</w:t>
      </w:r>
    </w:p>
    <w:p w14:paraId="6FDCC0AB" w14:textId="77777777" w:rsidR="00196A44" w:rsidRPr="00D04502" w:rsidRDefault="00196A44" w:rsidP="00024475">
      <w:pPr>
        <w:pStyle w:val="F9-Paragraph"/>
        <w:ind w:left="851" w:hanging="851"/>
      </w:pPr>
      <w:r w:rsidRPr="00D04502">
        <w:t xml:space="preserve">The Inspector should apply the ECV series of safety assessment principles to the assessment of active drains as these relate to confinement of any radioactive material. When assessing the designs, the Inspector may wish to seek assurance that these are designed to withstand design basis faults in accordance with ECV.4. </w:t>
      </w:r>
    </w:p>
    <w:p w14:paraId="02D858FC" w14:textId="43CFD1BD" w:rsidR="00196A44" w:rsidRPr="00D04502" w:rsidRDefault="00196A44" w:rsidP="00993785">
      <w:pPr>
        <w:pStyle w:val="F9-Paragraph"/>
        <w:ind w:left="851" w:hanging="851"/>
      </w:pPr>
      <w:r w:rsidRPr="00D04502">
        <w:t>Inspectors should pay particular attention to floor slab drains that cannot be visually inspected in the future. For new designs, this practice should be avoided in line with ECV.3. Where such drains are used, double containment with monitored interspace for leak detection, as per ECV.7, is considered good practice.</w:t>
      </w:r>
    </w:p>
    <w:p w14:paraId="40DA6E93" w14:textId="7A154B8F" w:rsidR="00196A44" w:rsidRPr="00D04502" w:rsidRDefault="00196A44" w:rsidP="00993785">
      <w:pPr>
        <w:pStyle w:val="F9-Paragraph"/>
        <w:ind w:left="851" w:hanging="851"/>
      </w:pPr>
      <w:r w:rsidRPr="00D04502">
        <w:t xml:space="preserve">Active sumps in floors are used in some plant designs to collect wastewater / spillages. These are typically lined with steel to provide a leak tight barrier. Particular attention should be paid to these, as there have been </w:t>
      </w:r>
      <w:r w:rsidR="004E1754" w:rsidRPr="00D04502">
        <w:t>several</w:t>
      </w:r>
      <w:r w:rsidRPr="00D04502">
        <w:t xml:space="preserve"> examples where corrosion has damaged the liner (typically from Boric acid) in the wetting / drying zone.</w:t>
      </w:r>
    </w:p>
    <w:p w14:paraId="16D0CBA2" w14:textId="77777777" w:rsidR="00196A44" w:rsidRPr="00D04502" w:rsidRDefault="00196A44" w:rsidP="00993785">
      <w:pPr>
        <w:pStyle w:val="F9-Paragraph"/>
        <w:ind w:left="851" w:hanging="851"/>
      </w:pPr>
      <w:r w:rsidRPr="00D04502">
        <w:t>There may be overlapping vires with the environment agencies with regard to active drains, and clarity of regulatory scope should be sought at an early stage in the project.</w:t>
      </w:r>
    </w:p>
    <w:p w14:paraId="29A8A9E3" w14:textId="53F8C86C" w:rsidR="00024475" w:rsidRPr="00D04502" w:rsidRDefault="00D12C9D" w:rsidP="00E43135">
      <w:pPr>
        <w:pStyle w:val="Heading3"/>
      </w:pPr>
      <w:r w:rsidRPr="00D04502">
        <w:t xml:space="preserve">Drains for </w:t>
      </w:r>
      <w:r w:rsidR="00C609BC">
        <w:t>s</w:t>
      </w:r>
      <w:r w:rsidRPr="00D04502">
        <w:t xml:space="preserve">ea </w:t>
      </w:r>
      <w:r w:rsidR="00C609BC">
        <w:t>d</w:t>
      </w:r>
      <w:r w:rsidRPr="00D04502">
        <w:t xml:space="preserve">efence </w:t>
      </w:r>
      <w:r w:rsidR="00C609BC">
        <w:t>o</w:t>
      </w:r>
      <w:r w:rsidRPr="00D04502">
        <w:t>vertopping</w:t>
      </w:r>
    </w:p>
    <w:p w14:paraId="6DF1A03B" w14:textId="5B1415A8" w:rsidR="00175BDA" w:rsidRPr="00D04502" w:rsidRDefault="00175BDA" w:rsidP="001B6067">
      <w:pPr>
        <w:pStyle w:val="F9-Paragraph"/>
        <w:ind w:left="851" w:hanging="851"/>
      </w:pPr>
      <w:r w:rsidRPr="00D04502">
        <w:t xml:space="preserve">Drains are used on some sites to control overtopping volumes around sea walls or other natural structures where the safety case requires the avoidance of the build-up of standing water. These are simple in nature and can be sized using volumes derived from </w:t>
      </w:r>
      <w:r w:rsidR="00AA74E5" w:rsidRPr="00D04502">
        <w:t xml:space="preserve">good practice </w:t>
      </w:r>
      <w:r w:rsidRPr="00D04502">
        <w:t>such as the overtopping manual</w:t>
      </w:r>
      <w:r w:rsidR="001B6067" w:rsidRPr="00D04502">
        <w:t xml:space="preserve"> </w:t>
      </w:r>
      <w:sdt>
        <w:sdtPr>
          <w:id w:val="2006857540"/>
          <w:citation/>
        </w:sdtPr>
        <w:sdtEndPr/>
        <w:sdtContent>
          <w:r w:rsidR="00694BF9" w:rsidRPr="00D04502">
            <w:fldChar w:fldCharType="begin"/>
          </w:r>
          <w:r w:rsidR="00694BF9" w:rsidRPr="00D04502">
            <w:instrText xml:space="preserve"> CITATION Eur \l 2057 </w:instrText>
          </w:r>
          <w:r w:rsidR="00694BF9" w:rsidRPr="00D04502">
            <w:fldChar w:fldCharType="separate"/>
          </w:r>
          <w:r w:rsidR="00401277">
            <w:rPr>
              <w:noProof/>
            </w:rPr>
            <w:t>[43]</w:t>
          </w:r>
          <w:r w:rsidR="00694BF9" w:rsidRPr="00D04502">
            <w:fldChar w:fldCharType="end"/>
          </w:r>
        </w:sdtContent>
      </w:sdt>
      <w:r w:rsidRPr="00D04502">
        <w:t xml:space="preserve"> . </w:t>
      </w:r>
    </w:p>
    <w:p w14:paraId="699CF9A8" w14:textId="38D2DE0C" w:rsidR="00175BDA" w:rsidRPr="00D04502" w:rsidRDefault="00175BDA" w:rsidP="00694BF9">
      <w:pPr>
        <w:pStyle w:val="F9-Paragraph"/>
        <w:ind w:left="851" w:hanging="851"/>
      </w:pPr>
      <w:r w:rsidRPr="00D04502">
        <w:t xml:space="preserve">The Inspector may wish to seek assurance that the design for sea defence overtopping drainage and associated storage or attenuation tanks includes for appropriate volumes for the design life of the site in accordance with the guidance in </w:t>
      </w:r>
      <w:sdt>
        <w:sdtPr>
          <w:id w:val="-922102038"/>
          <w:citation/>
        </w:sdtPr>
        <w:sdtContent>
          <w:r w:rsidR="00C609BC">
            <w:fldChar w:fldCharType="begin"/>
          </w:r>
          <w:r w:rsidR="00C609BC">
            <w:instrText xml:space="preserve"> CITATION ONR82 \l 2057 </w:instrText>
          </w:r>
          <w:r w:rsidR="00C609BC">
            <w:fldChar w:fldCharType="separate"/>
          </w:r>
          <w:r w:rsidR="00401277">
            <w:rPr>
              <w:noProof/>
            </w:rPr>
            <w:t>[3]</w:t>
          </w:r>
          <w:r w:rsidR="00C609BC">
            <w:fldChar w:fldCharType="end"/>
          </w:r>
        </w:sdtContent>
      </w:sdt>
      <w:r w:rsidRPr="00D04502">
        <w:t>, and in line with EHA.12, EKP.3 and paras 259 and 265 of the SAPs.</w:t>
      </w:r>
    </w:p>
    <w:p w14:paraId="7D1D40D9" w14:textId="6E2D22C0" w:rsidR="00A7307C" w:rsidRPr="00D04502" w:rsidRDefault="00A7307C" w:rsidP="00E43135">
      <w:pPr>
        <w:pStyle w:val="Heading3"/>
      </w:pPr>
      <w:r w:rsidRPr="00D04502">
        <w:lastRenderedPageBreak/>
        <w:t>Conduits</w:t>
      </w:r>
    </w:p>
    <w:p w14:paraId="41FD4E83" w14:textId="13F1D6A5" w:rsidR="00D85F06" w:rsidRPr="00D04502" w:rsidRDefault="00D85F06" w:rsidP="00D85F06">
      <w:pPr>
        <w:pStyle w:val="F9-Paragraph"/>
        <w:ind w:left="851" w:hanging="851"/>
      </w:pPr>
      <w:r w:rsidRPr="00D04502">
        <w:t>Buried conduits are often used to house electrical cables and occasionally gas</w:t>
      </w:r>
      <w:r w:rsidR="00C609BC">
        <w:t xml:space="preserve"> </w:t>
      </w:r>
      <w:r w:rsidRPr="00D04502">
        <w:t xml:space="preserve">/ fuel line with the design usually based on manufacturers data. </w:t>
      </w:r>
      <w:r w:rsidR="00C609BC">
        <w:br/>
      </w:r>
      <w:r w:rsidRPr="00D04502">
        <w:t>The Inspector may wish to examine in more detail the sealing arrangement, including where such services enter buildings, as these can act as inadvertent routes for water ingress into a structure.</w:t>
      </w:r>
    </w:p>
    <w:p w14:paraId="64BA11C3" w14:textId="2C785A25" w:rsidR="00E53E08" w:rsidRPr="00D04502" w:rsidRDefault="00E53E08" w:rsidP="00E43135">
      <w:pPr>
        <w:pStyle w:val="Heading3"/>
      </w:pPr>
      <w:r w:rsidRPr="00D04502">
        <w:t xml:space="preserve">Groundwater </w:t>
      </w:r>
      <w:r w:rsidR="00C609BC">
        <w:t>e</w:t>
      </w:r>
      <w:r w:rsidRPr="00D04502">
        <w:t>ffects</w:t>
      </w:r>
    </w:p>
    <w:p w14:paraId="0CDC1EA8" w14:textId="48BB77DD" w:rsidR="00E52B5C" w:rsidRPr="00D04502" w:rsidRDefault="00E52B5C" w:rsidP="00631FAD">
      <w:pPr>
        <w:pStyle w:val="F9-Paragraph"/>
        <w:ind w:left="851" w:hanging="851"/>
      </w:pPr>
      <w:r w:rsidRPr="00D04502">
        <w:t>The presence of water influences both static and dynamic soil property measurements. Designers often overlook that in situ compression wave tests assess a soil–water mix, which, particularly in soft soils, differs significantly from drained conditions. In such cases, shear waves—unaffected by water—should be used instead. Inspectors should recognise limitations that may affect how dutyholders determine Poisson’s ratio under these circumstances.</w:t>
      </w:r>
    </w:p>
    <w:p w14:paraId="7390C8C1" w14:textId="502A6285" w:rsidR="00E52B5C" w:rsidRPr="00D04502" w:rsidRDefault="00631FAD" w:rsidP="00631FAD">
      <w:pPr>
        <w:pStyle w:val="F9-Paragraph"/>
        <w:ind w:left="851" w:hanging="851"/>
      </w:pPr>
      <w:r w:rsidRPr="00D04502">
        <w:t>The Inspector should pay particular attention to partially constructed designs, ensuring that the analysis accounts for vulnerable temporary construction stages and durations. If buoyancy risks are identified during these periods, the Inspector may seek assurance that the design includes measures to prevent buoyancy effects, consistent with ECE.25, ECE.4, and ECE.5.</w:t>
      </w:r>
    </w:p>
    <w:p w14:paraId="01F7205A" w14:textId="00504D25" w:rsidR="00AE16A2" w:rsidRPr="00D04502" w:rsidRDefault="00AE16A2" w:rsidP="00E43135">
      <w:pPr>
        <w:pStyle w:val="Heading3"/>
      </w:pPr>
      <w:r w:rsidRPr="00D04502">
        <w:t>Tunnels</w:t>
      </w:r>
    </w:p>
    <w:p w14:paraId="5F4F024F" w14:textId="7C5B61E6" w:rsidR="00907563" w:rsidRPr="00D04502" w:rsidRDefault="00D77160" w:rsidP="00FD5C37">
      <w:pPr>
        <w:pStyle w:val="F9-Paragraph"/>
        <w:ind w:left="851" w:hanging="851"/>
      </w:pPr>
      <w:r w:rsidRPr="00D04502">
        <w:t>Tunnels on UK licensed sites collect, distribute, and discharge seawater for cooling turbine condensers. They are usually 3–5 metres in diameter and can extend for several kilometres. These tunnels often have reinforced concrete segmental liners connecting to bespoke collection chambers (forebays), where intake water is screened to remove debris before site use. The Inspector should note that the nuclear safety function of these tunnels generally does not require the entire cross-section to be used for water flow.</w:t>
      </w:r>
    </w:p>
    <w:p w14:paraId="75186E5B" w14:textId="472DA7DB" w:rsidR="00907563" w:rsidRPr="00D04502" w:rsidRDefault="006B5B01" w:rsidP="006B5B01">
      <w:pPr>
        <w:pStyle w:val="F9-Paragraph"/>
        <w:ind w:left="851" w:hanging="851"/>
      </w:pPr>
      <w:r w:rsidRPr="00D04502">
        <w:t xml:space="preserve">Established methods exist for the static design of tunnel linings (refer to British Tunnelling Society guidance in Section </w:t>
      </w:r>
      <w:r w:rsidR="00C609BC">
        <w:fldChar w:fldCharType="begin"/>
      </w:r>
      <w:r w:rsidR="00C609BC">
        <w:instrText xml:space="preserve"> REF _Ref234831967 \r \h </w:instrText>
      </w:r>
      <w:r w:rsidR="00C609BC">
        <w:fldChar w:fldCharType="separate"/>
      </w:r>
      <w:r w:rsidR="00C609BC">
        <w:rPr>
          <w:cs/>
        </w:rPr>
        <w:t>‎</w:t>
      </w:r>
      <w:r w:rsidR="00C609BC">
        <w:t>5</w:t>
      </w:r>
      <w:r w:rsidR="00C609BC">
        <w:fldChar w:fldCharType="end"/>
      </w:r>
      <w:r w:rsidRPr="00D04502">
        <w:t>). Seismic design, however, is more complex. Inspectors should note that kinematic approaches are commonly used, where tunnels are assumed to deform with the ground during seismic events, and design is based on estimated strains the structure must accommodate.</w:t>
      </w:r>
    </w:p>
    <w:p w14:paraId="454E9B36" w14:textId="1F6E1885" w:rsidR="00907563" w:rsidRPr="00D04502" w:rsidRDefault="005C7A8C" w:rsidP="005C7A8C">
      <w:pPr>
        <w:pStyle w:val="F9-Paragraph"/>
        <w:ind w:left="851" w:hanging="851"/>
      </w:pPr>
      <w:r w:rsidRPr="00D04502">
        <w:t>The Inspector should ensure that the structural connections at tunnel termination points, where stiffness changes abruptly, have adequate rotational ductility to accommodate expected displacements.</w:t>
      </w:r>
    </w:p>
    <w:p w14:paraId="73A52DB9" w14:textId="6E59B0CF" w:rsidR="00907563" w:rsidRPr="00D04502" w:rsidRDefault="005C7A8C" w:rsidP="00EC2112">
      <w:pPr>
        <w:pStyle w:val="F9-Paragraph"/>
        <w:ind w:left="851" w:hanging="851"/>
      </w:pPr>
      <w:r w:rsidRPr="00D04502">
        <w:t>When assessing intake and outfall tunnels, the Inspector should ensure the tunnels are designed to withstand external hazards such as seismic events. They should also evaluate whether cooling flow assessments are</w:t>
      </w:r>
      <w:r w:rsidR="00EC2112" w:rsidRPr="00D04502">
        <w:t xml:space="preserve"> adequate</w:t>
      </w:r>
      <w:r w:rsidRPr="00D04502">
        <w:t>, considering the potential for tunnel blockages or collapse, particularly near entry points or structural joints.</w:t>
      </w:r>
    </w:p>
    <w:p w14:paraId="16AB9332" w14:textId="78E9B02A" w:rsidR="00907563" w:rsidRPr="00D04502" w:rsidRDefault="00907563" w:rsidP="00E90145">
      <w:pPr>
        <w:pStyle w:val="F9-Paragraph"/>
        <w:ind w:left="851" w:hanging="851"/>
      </w:pPr>
      <w:r w:rsidRPr="00D04502">
        <w:lastRenderedPageBreak/>
        <w:t xml:space="preserve">The Inspector is reminded of the interface with ONR conventional health and safety inspectors regarding the applicability of CDM2015 when assessing the design of tunnels </w:t>
      </w:r>
      <w:r w:rsidR="003F2F30">
        <w:t>for example,</w:t>
      </w:r>
      <w:r w:rsidRPr="00D04502">
        <w:t xml:space="preserve"> potential failure modes and EIMT considerations, </w:t>
      </w:r>
      <w:r w:rsidR="00C609BC">
        <w:t>refer to</w:t>
      </w:r>
      <w:r w:rsidRPr="00D04502">
        <w:t xml:space="preserve"> SAP ECE.25, where construction includes EIMT activities.</w:t>
      </w:r>
      <w:r w:rsidR="00C609BC">
        <w:t xml:space="preserve"> </w:t>
      </w:r>
      <w:r w:rsidRPr="00D04502">
        <w:t xml:space="preserve">For more on CDM considerations, roles and duties, </w:t>
      </w:r>
      <w:r w:rsidR="00C609BC">
        <w:t xml:space="preserve">refer to </w:t>
      </w:r>
      <w:r w:rsidRPr="00D04502">
        <w:t>L153 ‘Managing health and safety in construction [18].</w:t>
      </w:r>
    </w:p>
    <w:p w14:paraId="56D5BD9F" w14:textId="77777777" w:rsidR="00C609BC" w:rsidRDefault="00C609BC" w:rsidP="0042407C">
      <w:pPr>
        <w:pStyle w:val="Heading1"/>
        <w:numPr>
          <w:ilvl w:val="0"/>
          <w:numId w:val="4"/>
        </w:numPr>
        <w:ind w:left="851" w:hanging="851"/>
        <w:sectPr w:rsidR="00C609BC">
          <w:pgSz w:w="11906" w:h="16838"/>
          <w:pgMar w:top="1440" w:right="1440" w:bottom="1440" w:left="1440" w:header="708" w:footer="708" w:gutter="0"/>
          <w:cols w:space="708"/>
          <w:docGrid w:linePitch="360"/>
        </w:sectPr>
      </w:pPr>
      <w:bookmarkStart w:id="27" w:name="_Toc218000543"/>
      <w:bookmarkStart w:id="28" w:name="_Ref234831967"/>
    </w:p>
    <w:p w14:paraId="31822796" w14:textId="7A72B5BF" w:rsidR="0042407C" w:rsidRPr="00D04502" w:rsidRDefault="001A6B20" w:rsidP="0042407C">
      <w:pPr>
        <w:pStyle w:val="Heading1"/>
        <w:numPr>
          <w:ilvl w:val="0"/>
          <w:numId w:val="4"/>
        </w:numPr>
        <w:ind w:left="851" w:hanging="851"/>
      </w:pPr>
      <w:bookmarkStart w:id="29" w:name="_Toc234832905"/>
      <w:r w:rsidRPr="00D04502">
        <w:lastRenderedPageBreak/>
        <w:t xml:space="preserve">Relevant </w:t>
      </w:r>
      <w:r w:rsidR="00C609BC">
        <w:t>s</w:t>
      </w:r>
      <w:r w:rsidRPr="00D04502">
        <w:t xml:space="preserve">tandards and </w:t>
      </w:r>
      <w:r w:rsidR="00C609BC">
        <w:t>g</w:t>
      </w:r>
      <w:r w:rsidRPr="00D04502">
        <w:t xml:space="preserve">ood </w:t>
      </w:r>
      <w:r w:rsidR="00C609BC">
        <w:t>p</w:t>
      </w:r>
      <w:r w:rsidR="00327EF2" w:rsidRPr="00D04502">
        <w:t>ractice</w:t>
      </w:r>
      <w:bookmarkEnd w:id="27"/>
      <w:bookmarkEnd w:id="28"/>
      <w:bookmarkEnd w:id="29"/>
    </w:p>
    <w:p w14:paraId="367D133E" w14:textId="40CFE181" w:rsidR="000808A5" w:rsidRPr="00D04502" w:rsidRDefault="000808A5" w:rsidP="00D10B92">
      <w:pPr>
        <w:pStyle w:val="F9-Paragraph"/>
        <w:ind w:left="851" w:hanging="851"/>
      </w:pPr>
      <w:r w:rsidRPr="00D04502">
        <w:t>This section provides a summary of the relevant guidance for inspectors to be aware of, along with sources for further information that provide useful background. The Inspector is advised to check whether these guides are the most up to date, given the review period of the TAG.</w:t>
      </w:r>
      <w:r w:rsidR="00C609BC">
        <w:t xml:space="preserve"> </w:t>
      </w:r>
      <w:r w:rsidRPr="00C609BC">
        <w:rPr>
          <w:b/>
          <w:bCs/>
        </w:rPr>
        <w:t>Note</w:t>
      </w:r>
      <w:r w:rsidR="00C609BC">
        <w:t>:</w:t>
      </w:r>
      <w:r w:rsidRPr="00D04502">
        <w:t xml:space="preserve"> </w:t>
      </w:r>
      <w:r w:rsidR="00C609BC">
        <w:t>T</w:t>
      </w:r>
      <w:r w:rsidRPr="00D04502">
        <w:t>he lists provided are not full and comprehensive lists. The Inspector should only use the guidance that is relevant to the scenario being assessed, and seek other appropriate guidance to suit the circumstances.</w:t>
      </w:r>
    </w:p>
    <w:p w14:paraId="1915A2A2" w14:textId="76325EE2" w:rsidR="005C569A" w:rsidRPr="00D04502" w:rsidRDefault="005C569A" w:rsidP="002928A5">
      <w:pPr>
        <w:pStyle w:val="Heading2"/>
        <w:ind w:left="851" w:hanging="851"/>
      </w:pPr>
      <w:bookmarkStart w:id="30" w:name="_Toc57904990"/>
      <w:r w:rsidRPr="00D04502">
        <w:t xml:space="preserve">UK </w:t>
      </w:r>
      <w:r w:rsidR="00C609BC">
        <w:t>r</w:t>
      </w:r>
      <w:r w:rsidRPr="00D04502">
        <w:t>egulations</w:t>
      </w:r>
      <w:bookmarkEnd w:id="30"/>
    </w:p>
    <w:p w14:paraId="6E0CDC91" w14:textId="534FAD08" w:rsidR="005C569A" w:rsidRPr="00D04502" w:rsidRDefault="00C609BC" w:rsidP="009208BA">
      <w:pPr>
        <w:pStyle w:val="Bulletlist1"/>
        <w:ind w:left="1418" w:hanging="357"/>
        <w:rPr>
          <w:lang w:val="fr-FR"/>
        </w:rPr>
      </w:pPr>
      <w:r>
        <w:rPr>
          <w:lang w:val="fr-FR"/>
        </w:rPr>
        <w:t xml:space="preserve">The </w:t>
      </w:r>
      <w:r w:rsidR="005C569A" w:rsidRPr="00D04502">
        <w:rPr>
          <w:lang w:val="fr-FR"/>
        </w:rPr>
        <w:t>Construction (Design and Management) Regulations 2015 (CDM2015),</w:t>
      </w:r>
    </w:p>
    <w:p w14:paraId="7E769DF5" w14:textId="77777777" w:rsidR="005C569A" w:rsidRPr="00D04502" w:rsidRDefault="005C569A" w:rsidP="009208BA">
      <w:pPr>
        <w:pStyle w:val="Bulletlist1"/>
        <w:ind w:left="1418" w:hanging="357"/>
      </w:pPr>
      <w:r w:rsidRPr="00D04502">
        <w:t>Section 34 of the Environmental Protection Act 1990,</w:t>
      </w:r>
    </w:p>
    <w:p w14:paraId="2796C6CD" w14:textId="77777777" w:rsidR="005C569A" w:rsidRPr="00D04502" w:rsidRDefault="005C569A" w:rsidP="009208BA">
      <w:pPr>
        <w:pStyle w:val="Bulletlist1"/>
        <w:ind w:left="1418" w:hanging="357"/>
      </w:pPr>
      <w:r w:rsidRPr="00D04502">
        <w:t>UK Building Act 1984 and Building Regulations 2010,</w:t>
      </w:r>
    </w:p>
    <w:p w14:paraId="5E55779E" w14:textId="77777777" w:rsidR="005C569A" w:rsidRPr="00D04502" w:rsidRDefault="005C569A" w:rsidP="009208BA">
      <w:pPr>
        <w:pStyle w:val="Bulletlist1"/>
        <w:ind w:left="1418" w:hanging="357"/>
      </w:pPr>
      <w:r w:rsidRPr="00D04502">
        <w:t>The Electricity at Work Regulations 1989,</w:t>
      </w:r>
    </w:p>
    <w:p w14:paraId="0FDADDBD" w14:textId="2CDDE29A" w:rsidR="005C569A" w:rsidRPr="00D04502" w:rsidRDefault="00C609BC" w:rsidP="009208BA">
      <w:pPr>
        <w:pStyle w:val="Bulletlist1"/>
        <w:ind w:left="1418" w:hanging="357"/>
      </w:pPr>
      <w:r>
        <w:t xml:space="preserve">The </w:t>
      </w:r>
      <w:r w:rsidR="005C569A" w:rsidRPr="00D04502">
        <w:t>Control of Substances Hazardous to Health Regulations (as amended) (COSHH 2002),</w:t>
      </w:r>
    </w:p>
    <w:p w14:paraId="5A79605E" w14:textId="333F6F5B" w:rsidR="005C569A" w:rsidRPr="00D04502" w:rsidRDefault="00C609BC" w:rsidP="009208BA">
      <w:pPr>
        <w:pStyle w:val="Bulletlist1"/>
        <w:ind w:left="1418" w:hanging="357"/>
        <w:rPr>
          <w:lang w:val="fr-FR"/>
        </w:rPr>
      </w:pPr>
      <w:r>
        <w:rPr>
          <w:lang w:val="fr-FR"/>
        </w:rPr>
        <w:t xml:space="preserve">The </w:t>
      </w:r>
      <w:r w:rsidR="005C569A" w:rsidRPr="00D04502">
        <w:rPr>
          <w:lang w:val="fr-FR"/>
        </w:rPr>
        <w:t>Working at Height Regulations 2005,</w:t>
      </w:r>
    </w:p>
    <w:p w14:paraId="7D72E5A3" w14:textId="77777777" w:rsidR="005C569A" w:rsidRPr="00D04502" w:rsidRDefault="005C569A" w:rsidP="009208BA">
      <w:pPr>
        <w:pStyle w:val="Bulletlist1"/>
        <w:ind w:left="1418" w:hanging="357"/>
        <w:rPr>
          <w:lang w:val="fr-FR"/>
        </w:rPr>
      </w:pPr>
      <w:r w:rsidRPr="00D04502">
        <w:rPr>
          <w:lang w:val="fr-FR"/>
        </w:rPr>
        <w:t>The Confined Spaces Regulations 1997,</w:t>
      </w:r>
    </w:p>
    <w:p w14:paraId="3BE0A935" w14:textId="77777777" w:rsidR="005C569A" w:rsidRPr="00D04502" w:rsidRDefault="005C569A" w:rsidP="009208BA">
      <w:pPr>
        <w:pStyle w:val="Bulletlist1"/>
        <w:ind w:left="1418" w:hanging="357"/>
      </w:pPr>
      <w:r w:rsidRPr="00D04502">
        <w:t>The Waste (England and Wales) Regulations 2011 (as amended), the Hazardous Waste Regulations 2005 and the Controlled Waste Regulations 2012 and the Special Waste Regulations 1996 (for Scotland, SEPA).</w:t>
      </w:r>
    </w:p>
    <w:p w14:paraId="6E43E620" w14:textId="250B8BA6" w:rsidR="00AE55BC" w:rsidRPr="00D04502" w:rsidRDefault="00AE55BC" w:rsidP="001373D2">
      <w:pPr>
        <w:pStyle w:val="Heading2"/>
        <w:ind w:left="851" w:hanging="851"/>
      </w:pPr>
      <w:bookmarkStart w:id="31" w:name="_Toc57904992"/>
      <w:r w:rsidRPr="00D04502">
        <w:t xml:space="preserve">Associated UK HSE </w:t>
      </w:r>
      <w:r w:rsidR="00C609BC">
        <w:t>g</w:t>
      </w:r>
      <w:r w:rsidRPr="00D04502">
        <w:t xml:space="preserve">uidance </w:t>
      </w:r>
      <w:bookmarkEnd w:id="31"/>
    </w:p>
    <w:p w14:paraId="211ABF3F" w14:textId="79AA7F53" w:rsidR="001404E7" w:rsidRPr="00D04502" w:rsidRDefault="001404E7" w:rsidP="00401277">
      <w:pPr>
        <w:pStyle w:val="Heading3"/>
      </w:pPr>
      <w:r w:rsidRPr="00D04502">
        <w:t xml:space="preserve">Legal (L) </w:t>
      </w:r>
      <w:r w:rsidR="00401277">
        <w:t>s</w:t>
      </w:r>
      <w:r w:rsidRPr="00D04502">
        <w:t>eries</w:t>
      </w:r>
    </w:p>
    <w:p w14:paraId="1A27A2CA" w14:textId="0965F18A" w:rsidR="001404E7" w:rsidRPr="00D04502" w:rsidRDefault="001404E7" w:rsidP="006465EC">
      <w:pPr>
        <w:pStyle w:val="Bulletlist1"/>
        <w:ind w:left="1418" w:hanging="357"/>
      </w:pPr>
      <w:r w:rsidRPr="00D04502">
        <w:t xml:space="preserve">L153 </w:t>
      </w:r>
      <w:r w:rsidR="00401277">
        <w:t xml:space="preserve">- </w:t>
      </w:r>
      <w:r w:rsidRPr="00D04502">
        <w:t xml:space="preserve">Managing Health and Safety in Construction Approved Code of practice for CDM2015 </w:t>
      </w:r>
      <w:sdt>
        <w:sdtPr>
          <w:id w:val="-911314039"/>
          <w:citation/>
        </w:sdtPr>
        <w:sdtContent>
          <w:r w:rsidR="00401277">
            <w:fldChar w:fldCharType="begin"/>
          </w:r>
          <w:r w:rsidR="00401277">
            <w:instrText xml:space="preserve"> CITATION HSE \l 2057 </w:instrText>
          </w:r>
          <w:r w:rsidR="00401277">
            <w:fldChar w:fldCharType="separate"/>
          </w:r>
          <w:r w:rsidR="00401277" w:rsidRPr="00401277">
            <w:t>[32]</w:t>
          </w:r>
          <w:r w:rsidR="00401277">
            <w:fldChar w:fldCharType="end"/>
          </w:r>
        </w:sdtContent>
      </w:sdt>
      <w:r w:rsidRPr="00D04502">
        <w:t xml:space="preserve"> </w:t>
      </w:r>
    </w:p>
    <w:p w14:paraId="7D9CDD1F" w14:textId="69AB82A3" w:rsidR="001404E7" w:rsidRPr="00D04502" w:rsidRDefault="001404E7" w:rsidP="006465EC">
      <w:pPr>
        <w:pStyle w:val="Bulletlist1"/>
        <w:ind w:left="1418" w:hanging="357"/>
      </w:pPr>
      <w:r w:rsidRPr="00D04502">
        <w:t xml:space="preserve">L101 </w:t>
      </w:r>
      <w:r w:rsidR="00401277">
        <w:t xml:space="preserve">- </w:t>
      </w:r>
      <w:r w:rsidRPr="00D04502">
        <w:t>Safe work in confined spaces</w:t>
      </w:r>
      <w:r w:rsidR="00401277">
        <w:t xml:space="preserve"> </w:t>
      </w:r>
      <w:sdt>
        <w:sdtPr>
          <w:id w:val="681640148"/>
          <w:citation/>
        </w:sdtPr>
        <w:sdtContent>
          <w:r w:rsidR="00401277">
            <w:fldChar w:fldCharType="begin"/>
          </w:r>
          <w:r w:rsidR="00401277">
            <w:instrText xml:space="preserve"> CITATION HSE30 \l 2057 </w:instrText>
          </w:r>
          <w:r w:rsidR="00401277">
            <w:fldChar w:fldCharType="separate"/>
          </w:r>
          <w:r w:rsidR="00401277" w:rsidRPr="00401277">
            <w:t>[44]</w:t>
          </w:r>
          <w:r w:rsidR="00401277">
            <w:fldChar w:fldCharType="end"/>
          </w:r>
        </w:sdtContent>
      </w:sdt>
    </w:p>
    <w:p w14:paraId="05DBE1E1" w14:textId="4F6302BB" w:rsidR="001404E7" w:rsidRPr="00D04502" w:rsidRDefault="001404E7" w:rsidP="006465EC">
      <w:pPr>
        <w:pStyle w:val="Bulletlist1"/>
        <w:ind w:left="1418" w:hanging="357"/>
      </w:pPr>
      <w:r w:rsidRPr="00D04502">
        <w:t xml:space="preserve">L140 </w:t>
      </w:r>
      <w:r w:rsidR="00401277">
        <w:t xml:space="preserve">- </w:t>
      </w:r>
      <w:r w:rsidRPr="00D04502">
        <w:t xml:space="preserve">Hand-arm vibration </w:t>
      </w:r>
      <w:sdt>
        <w:sdtPr>
          <w:id w:val="1921216581"/>
          <w:citation/>
        </w:sdtPr>
        <w:sdtContent>
          <w:r w:rsidR="00401277">
            <w:fldChar w:fldCharType="begin"/>
          </w:r>
          <w:r w:rsidR="00401277">
            <w:instrText xml:space="preserve"> CITATION HSE192 \l 2057 </w:instrText>
          </w:r>
          <w:r w:rsidR="00401277">
            <w:fldChar w:fldCharType="separate"/>
          </w:r>
          <w:r w:rsidR="00401277" w:rsidRPr="00401277">
            <w:t>[45]</w:t>
          </w:r>
          <w:r w:rsidR="00401277">
            <w:fldChar w:fldCharType="end"/>
          </w:r>
        </w:sdtContent>
      </w:sdt>
    </w:p>
    <w:p w14:paraId="5F7532B4" w14:textId="3F959105" w:rsidR="001404E7" w:rsidRPr="00D04502" w:rsidRDefault="001404E7" w:rsidP="00401277">
      <w:pPr>
        <w:pStyle w:val="Heading3"/>
      </w:pPr>
      <w:r w:rsidRPr="00D04502">
        <w:t xml:space="preserve">Health and Safety Guide (HSG) </w:t>
      </w:r>
      <w:r w:rsidR="00401277">
        <w:t>s</w:t>
      </w:r>
      <w:r w:rsidRPr="00D04502">
        <w:t>eries</w:t>
      </w:r>
    </w:p>
    <w:p w14:paraId="2E27058C" w14:textId="15904FFF" w:rsidR="001404E7" w:rsidRPr="00D04502" w:rsidRDefault="001404E7" w:rsidP="006465EC">
      <w:pPr>
        <w:pStyle w:val="Bulletlist1"/>
        <w:ind w:left="1418" w:hanging="357"/>
      </w:pPr>
      <w:r w:rsidRPr="00D04502">
        <w:t xml:space="preserve">HSG47 </w:t>
      </w:r>
      <w:r w:rsidR="00401277">
        <w:t xml:space="preserve">- </w:t>
      </w:r>
      <w:r w:rsidRPr="00D04502">
        <w:t>Avoiding danger from underground services</w:t>
      </w:r>
      <w:r w:rsidR="00401277">
        <w:t xml:space="preserve"> </w:t>
      </w:r>
      <w:sdt>
        <w:sdtPr>
          <w:id w:val="1716011907"/>
          <w:citation/>
        </w:sdtPr>
        <w:sdtContent>
          <w:r w:rsidR="00401277">
            <w:fldChar w:fldCharType="begin"/>
          </w:r>
          <w:r w:rsidR="00401277">
            <w:instrText xml:space="preserve"> CITATION HSE141 \l 2057 </w:instrText>
          </w:r>
          <w:r w:rsidR="00401277">
            <w:fldChar w:fldCharType="separate"/>
          </w:r>
          <w:r w:rsidR="00401277" w:rsidRPr="00401277">
            <w:t>[9]</w:t>
          </w:r>
          <w:r w:rsidR="00401277">
            <w:fldChar w:fldCharType="end"/>
          </w:r>
        </w:sdtContent>
      </w:sdt>
    </w:p>
    <w:p w14:paraId="2A0CA3C0" w14:textId="14561075" w:rsidR="001404E7" w:rsidRPr="00D04502" w:rsidRDefault="001404E7" w:rsidP="006465EC">
      <w:pPr>
        <w:pStyle w:val="Bulletlist1"/>
        <w:ind w:left="1418" w:hanging="357"/>
      </w:pPr>
      <w:r w:rsidRPr="00D04502">
        <w:t xml:space="preserve">HSG85 </w:t>
      </w:r>
      <w:r w:rsidR="00401277">
        <w:t xml:space="preserve">- </w:t>
      </w:r>
      <w:r w:rsidRPr="00D04502">
        <w:t xml:space="preserve">Electricity at Work Safe Working Practices </w:t>
      </w:r>
      <w:sdt>
        <w:sdtPr>
          <w:id w:val="-976908882"/>
          <w:citation/>
        </w:sdtPr>
        <w:sdtContent>
          <w:r w:rsidR="00401277">
            <w:fldChar w:fldCharType="begin"/>
          </w:r>
          <w:r w:rsidR="00401277">
            <w:instrText xml:space="preserve"> CITATION HSE138 \l 2057 </w:instrText>
          </w:r>
          <w:r w:rsidR="00401277">
            <w:fldChar w:fldCharType="separate"/>
          </w:r>
          <w:r w:rsidR="00401277" w:rsidRPr="00401277">
            <w:t>[46]</w:t>
          </w:r>
          <w:r w:rsidR="00401277">
            <w:fldChar w:fldCharType="end"/>
          </w:r>
        </w:sdtContent>
      </w:sdt>
    </w:p>
    <w:p w14:paraId="41F2D910" w14:textId="2D045EC8" w:rsidR="001404E7" w:rsidRPr="00D04502" w:rsidRDefault="001404E7" w:rsidP="006465EC">
      <w:pPr>
        <w:pStyle w:val="Bulletlist1"/>
        <w:ind w:left="1418" w:hanging="357"/>
      </w:pPr>
      <w:r w:rsidRPr="00D04502">
        <w:lastRenderedPageBreak/>
        <w:t xml:space="preserve">HSR25 </w:t>
      </w:r>
      <w:r w:rsidR="00401277">
        <w:t>- T</w:t>
      </w:r>
      <w:r w:rsidRPr="00D04502">
        <w:t>he Electricity at Work Regulations 1989</w:t>
      </w:r>
      <w:r w:rsidR="00401277">
        <w:t xml:space="preserve"> guidance </w:t>
      </w:r>
      <w:sdt>
        <w:sdtPr>
          <w:id w:val="41491572"/>
          <w:citation/>
        </w:sdtPr>
        <w:sdtContent>
          <w:r w:rsidR="00401277">
            <w:fldChar w:fldCharType="begin"/>
          </w:r>
          <w:r w:rsidR="00401277">
            <w:instrText xml:space="preserve"> CITATION HSE1510 \l 2057 </w:instrText>
          </w:r>
          <w:r w:rsidR="00401277">
            <w:fldChar w:fldCharType="separate"/>
          </w:r>
          <w:r w:rsidR="00401277" w:rsidRPr="00401277">
            <w:t>[47]</w:t>
          </w:r>
          <w:r w:rsidR="00401277">
            <w:fldChar w:fldCharType="end"/>
          </w:r>
        </w:sdtContent>
      </w:sdt>
    </w:p>
    <w:p w14:paraId="1C7E0C43" w14:textId="5D1016B4" w:rsidR="001404E7" w:rsidRPr="00D04502" w:rsidRDefault="001404E7" w:rsidP="006465EC">
      <w:pPr>
        <w:pStyle w:val="Bulletlist1"/>
        <w:ind w:left="1418" w:hanging="357"/>
      </w:pPr>
      <w:r w:rsidRPr="00D04502">
        <w:t xml:space="preserve">HSG65 </w:t>
      </w:r>
      <w:r w:rsidR="00401277">
        <w:t xml:space="preserve">- </w:t>
      </w:r>
      <w:r w:rsidRPr="00D04502">
        <w:t>Managing for Health and Safety 2013</w:t>
      </w:r>
      <w:r w:rsidR="00401277">
        <w:t xml:space="preserve"> </w:t>
      </w:r>
      <w:sdt>
        <w:sdtPr>
          <w:id w:val="312152870"/>
          <w:citation/>
        </w:sdtPr>
        <w:sdtContent>
          <w:r w:rsidR="00401277">
            <w:fldChar w:fldCharType="begin"/>
          </w:r>
          <w:r w:rsidR="00401277">
            <w:instrText xml:space="preserve"> CITATION HSE137 \l 2057 </w:instrText>
          </w:r>
          <w:r w:rsidR="00401277">
            <w:fldChar w:fldCharType="separate"/>
          </w:r>
          <w:r w:rsidR="00401277" w:rsidRPr="00401277">
            <w:t>[48]</w:t>
          </w:r>
          <w:r w:rsidR="00401277">
            <w:fldChar w:fldCharType="end"/>
          </w:r>
        </w:sdtContent>
      </w:sdt>
    </w:p>
    <w:p w14:paraId="70AF6645" w14:textId="02EA7BBE" w:rsidR="00401277" w:rsidRPr="00401277" w:rsidRDefault="001404E7" w:rsidP="006465EC">
      <w:pPr>
        <w:pStyle w:val="Bulletlist1"/>
        <w:ind w:left="1418" w:hanging="357"/>
        <w:rPr>
          <w:lang w:val="fr-FR"/>
        </w:rPr>
      </w:pPr>
      <w:r w:rsidRPr="00D04502">
        <w:rPr>
          <w:lang w:val="fr-FR"/>
        </w:rPr>
        <w:t>HSG159</w:t>
      </w:r>
      <w:r w:rsidR="00401277">
        <w:rPr>
          <w:lang w:val="fr-FR"/>
        </w:rPr>
        <w:t xml:space="preserve"> -</w:t>
      </w:r>
      <w:r w:rsidRPr="00D04502">
        <w:rPr>
          <w:lang w:val="fr-FR"/>
        </w:rPr>
        <w:t xml:space="preserve"> Managing Contractors</w:t>
      </w:r>
      <w:r w:rsidR="00401277">
        <w:rPr>
          <w:lang w:val="fr-FR"/>
        </w:rPr>
        <w:t xml:space="preserve"> </w:t>
      </w:r>
      <w:sdt>
        <w:sdtPr>
          <w:rPr>
            <w:lang w:val="fr-FR"/>
          </w:rPr>
          <w:id w:val="-2114506612"/>
          <w:citation/>
        </w:sdtPr>
        <w:sdtContent>
          <w:r w:rsidR="00401277">
            <w:rPr>
              <w:lang w:val="fr-FR"/>
            </w:rPr>
            <w:fldChar w:fldCharType="begin"/>
          </w:r>
          <w:r w:rsidR="00401277">
            <w:instrText xml:space="preserve"> CITATION HSE31 \l 2057 </w:instrText>
          </w:r>
          <w:r w:rsidR="00401277">
            <w:rPr>
              <w:lang w:val="fr-FR"/>
            </w:rPr>
            <w:fldChar w:fldCharType="separate"/>
          </w:r>
          <w:r w:rsidR="00401277" w:rsidRPr="00401277">
            <w:t>[49]</w:t>
          </w:r>
          <w:r w:rsidR="00401277">
            <w:rPr>
              <w:lang w:val="fr-FR"/>
            </w:rPr>
            <w:fldChar w:fldCharType="end"/>
          </w:r>
        </w:sdtContent>
      </w:sdt>
    </w:p>
    <w:p w14:paraId="2AA92AD3" w14:textId="76BE5572" w:rsidR="001404E7" w:rsidRPr="00D04502" w:rsidRDefault="00401277" w:rsidP="006465EC">
      <w:pPr>
        <w:pStyle w:val="Bulletlist1"/>
        <w:ind w:left="1418" w:hanging="357"/>
        <w:rPr>
          <w:lang w:val="fr-FR"/>
        </w:rPr>
      </w:pPr>
      <w:r w:rsidRPr="00D04502">
        <w:t xml:space="preserve">HSG170 </w:t>
      </w:r>
      <w:r>
        <w:t xml:space="preserve">- </w:t>
      </w:r>
      <w:r w:rsidRPr="00D04502">
        <w:t>Vibration solutions 1997 Practical ways to reduce hand-arm vibration</w:t>
      </w:r>
      <w:r>
        <w:t xml:space="preserve"> </w:t>
      </w:r>
      <w:sdt>
        <w:sdtPr>
          <w:id w:val="-1275702018"/>
          <w:citation/>
        </w:sdtPr>
        <w:sdtContent>
          <w:r>
            <w:fldChar w:fldCharType="begin"/>
          </w:r>
          <w:r>
            <w:instrText xml:space="preserve">CITATION HSE97 \l 2057 </w:instrText>
          </w:r>
          <w:r>
            <w:fldChar w:fldCharType="separate"/>
          </w:r>
          <w:r w:rsidRPr="00401277">
            <w:t>[50]</w:t>
          </w:r>
          <w:r>
            <w:fldChar w:fldCharType="end"/>
          </w:r>
        </w:sdtContent>
      </w:sdt>
    </w:p>
    <w:p w14:paraId="36DCBB3E" w14:textId="4AE2070D" w:rsidR="001404E7" w:rsidRPr="00D04502" w:rsidRDefault="001404E7" w:rsidP="006465EC">
      <w:pPr>
        <w:pStyle w:val="Bulletlist1"/>
        <w:ind w:left="1418" w:hanging="357"/>
      </w:pPr>
      <w:r w:rsidRPr="00D04502">
        <w:t xml:space="preserve">HSG268 </w:t>
      </w:r>
      <w:r w:rsidR="00401277">
        <w:t xml:space="preserve">- </w:t>
      </w:r>
      <w:r w:rsidRPr="00D04502">
        <w:t>The health and safety toolbox: how to control risks at work</w:t>
      </w:r>
      <w:r w:rsidR="00401277">
        <w:t xml:space="preserve"> </w:t>
      </w:r>
      <w:sdt>
        <w:sdtPr>
          <w:id w:val="-1137575542"/>
          <w:citation/>
        </w:sdtPr>
        <w:sdtContent>
          <w:r w:rsidR="00401277">
            <w:fldChar w:fldCharType="begin"/>
          </w:r>
          <w:r w:rsidR="00401277">
            <w:instrText xml:space="preserve"> CITATION HSE144 \l 2057 </w:instrText>
          </w:r>
          <w:r w:rsidR="00401277">
            <w:fldChar w:fldCharType="separate"/>
          </w:r>
          <w:r w:rsidR="00401277" w:rsidRPr="00401277">
            <w:t>[51]</w:t>
          </w:r>
          <w:r w:rsidR="00401277">
            <w:fldChar w:fldCharType="end"/>
          </w:r>
        </w:sdtContent>
      </w:sdt>
    </w:p>
    <w:p w14:paraId="4D080427" w14:textId="4EF4CEDC" w:rsidR="001404E7" w:rsidRPr="00D04502" w:rsidRDefault="001404E7" w:rsidP="00401277">
      <w:pPr>
        <w:pStyle w:val="Heading3"/>
      </w:pPr>
      <w:r w:rsidRPr="00D04502">
        <w:t xml:space="preserve">Industry Guidance (INDG) </w:t>
      </w:r>
      <w:r w:rsidR="00401277">
        <w:t>s</w:t>
      </w:r>
      <w:r w:rsidRPr="00D04502">
        <w:t>eries</w:t>
      </w:r>
    </w:p>
    <w:p w14:paraId="479422B6" w14:textId="1639D6EF" w:rsidR="001404E7" w:rsidRPr="00D04502" w:rsidRDefault="001404E7" w:rsidP="006465EC">
      <w:pPr>
        <w:pStyle w:val="Bulletlist1"/>
        <w:ind w:left="1418" w:hanging="357"/>
      </w:pPr>
      <w:r w:rsidRPr="00D04502">
        <w:t xml:space="preserve">INDG411 </w:t>
      </w:r>
      <w:r w:rsidR="00401277">
        <w:t xml:space="preserve">- </w:t>
      </w:r>
      <w:r w:rsidRPr="00D04502">
        <w:t>A quick guide for clients on CDM2015</w:t>
      </w:r>
      <w:r w:rsidR="00401277">
        <w:t xml:space="preserve"> </w:t>
      </w:r>
      <w:sdt>
        <w:sdtPr>
          <w:id w:val="-350023843"/>
          <w:citation/>
        </w:sdtPr>
        <w:sdtContent>
          <w:r w:rsidR="00401277">
            <w:fldChar w:fldCharType="begin"/>
          </w:r>
          <w:r w:rsidR="00401277">
            <w:instrText xml:space="preserve"> CITATION HSE15 \l 2057 </w:instrText>
          </w:r>
          <w:r w:rsidR="00401277">
            <w:fldChar w:fldCharType="separate"/>
          </w:r>
          <w:r w:rsidR="00401277" w:rsidRPr="00401277">
            <w:t>[52]</w:t>
          </w:r>
          <w:r w:rsidR="00401277">
            <w:fldChar w:fldCharType="end"/>
          </w:r>
        </w:sdtContent>
      </w:sdt>
    </w:p>
    <w:p w14:paraId="19047217" w14:textId="36DE15F5" w:rsidR="001404E7" w:rsidRPr="00D04502" w:rsidRDefault="001404E7" w:rsidP="00401277">
      <w:pPr>
        <w:pStyle w:val="Heading3"/>
      </w:pPr>
      <w:r w:rsidRPr="00D04502">
        <w:t xml:space="preserve">Research Report (RR) </w:t>
      </w:r>
      <w:r w:rsidR="00401277">
        <w:t>s</w:t>
      </w:r>
      <w:r w:rsidRPr="00D04502">
        <w:t>eries</w:t>
      </w:r>
    </w:p>
    <w:p w14:paraId="5A99AB41" w14:textId="284F13CC" w:rsidR="001404E7" w:rsidRPr="00D04502" w:rsidRDefault="001404E7" w:rsidP="006465EC">
      <w:pPr>
        <w:pStyle w:val="Bulletlist1"/>
        <w:ind w:left="1418" w:hanging="357"/>
      </w:pPr>
      <w:r w:rsidRPr="00D04502">
        <w:t>RR319 - Safer foundations by design (buildability)</w:t>
      </w:r>
      <w:r w:rsidR="00401277">
        <w:t xml:space="preserve"> </w:t>
      </w:r>
      <w:sdt>
        <w:sdtPr>
          <w:id w:val="-2031640864"/>
          <w:citation/>
        </w:sdtPr>
        <w:sdtContent>
          <w:r w:rsidR="00401277">
            <w:fldChar w:fldCharType="begin"/>
          </w:r>
          <w:r w:rsidR="00401277">
            <w:instrText xml:space="preserve"> CITATION HSE33 \l 2057 </w:instrText>
          </w:r>
          <w:r w:rsidR="00401277">
            <w:fldChar w:fldCharType="separate"/>
          </w:r>
          <w:r w:rsidR="00401277" w:rsidRPr="00401277">
            <w:t>[53]</w:t>
          </w:r>
          <w:r w:rsidR="00401277">
            <w:fldChar w:fldCharType="end"/>
          </w:r>
        </w:sdtContent>
      </w:sdt>
    </w:p>
    <w:p w14:paraId="7A21EB53" w14:textId="65CA43F2" w:rsidR="003E7EEE" w:rsidRPr="00D04502" w:rsidRDefault="003E7EEE" w:rsidP="003E7EEE">
      <w:pPr>
        <w:pStyle w:val="Heading2"/>
        <w:ind w:left="851" w:hanging="851"/>
      </w:pPr>
      <w:r w:rsidRPr="00D04502">
        <w:t xml:space="preserve">International </w:t>
      </w:r>
      <w:r w:rsidR="00401277">
        <w:t>g</w:t>
      </w:r>
      <w:r w:rsidRPr="00D04502">
        <w:t>uidance</w:t>
      </w:r>
    </w:p>
    <w:p w14:paraId="64E9C5DC" w14:textId="77777777" w:rsidR="0041073F" w:rsidRPr="00D04502" w:rsidRDefault="0041073F" w:rsidP="00093AFE">
      <w:pPr>
        <w:pStyle w:val="F9-Paragraph"/>
        <w:ind w:left="851" w:hanging="851"/>
      </w:pPr>
      <w:r w:rsidRPr="00D04502">
        <w:t>IAEA Safety Standards and Technical Documents including, but not limited to:</w:t>
      </w:r>
    </w:p>
    <w:p w14:paraId="26EAE3EB" w14:textId="0621982A" w:rsidR="00401277" w:rsidRPr="00D04502" w:rsidRDefault="00401277" w:rsidP="00401277">
      <w:pPr>
        <w:pStyle w:val="Bulletlist1"/>
        <w:ind w:left="1418" w:hanging="357"/>
      </w:pPr>
      <w:r w:rsidRPr="00D04502">
        <w:t xml:space="preserve">IAEA Safety Standards, Safety Guide No. NS-G-3.6, Geotechnical Aspects of Site Evaluation and Foundations for Nuclear Power Plants </w:t>
      </w:r>
      <w:sdt>
        <w:sdtPr>
          <w:id w:val="207775153"/>
          <w:citation/>
        </w:sdtPr>
        <w:sdtContent>
          <w:r w:rsidRPr="00D04502">
            <w:fldChar w:fldCharType="begin"/>
          </w:r>
          <w:r w:rsidRPr="00D04502">
            <w:instrText xml:space="preserve"> CITATION IAE04 \l 2057 </w:instrText>
          </w:r>
          <w:r w:rsidRPr="00D04502">
            <w:fldChar w:fldCharType="separate"/>
          </w:r>
          <w:r w:rsidRPr="00401277">
            <w:t>[11]</w:t>
          </w:r>
          <w:r w:rsidRPr="00D04502">
            <w:fldChar w:fldCharType="end"/>
          </w:r>
        </w:sdtContent>
      </w:sdt>
      <w:r w:rsidRPr="00D04502">
        <w:t xml:space="preserve">, </w:t>
      </w:r>
    </w:p>
    <w:p w14:paraId="1C367255" w14:textId="6C4E5175" w:rsidR="00401277" w:rsidRPr="00D04502" w:rsidRDefault="00401277" w:rsidP="00401277">
      <w:pPr>
        <w:pStyle w:val="Bulletlist1"/>
        <w:ind w:left="1418" w:hanging="357"/>
      </w:pPr>
      <w:r w:rsidRPr="00D04502">
        <w:t xml:space="preserve">IAEA Safety Standards, Specific Safety Guide No. SSG-35, Site Survey and Site Selection for Nuclear Installations </w:t>
      </w:r>
      <w:sdt>
        <w:sdtPr>
          <w:id w:val="1293017764"/>
          <w:citation/>
        </w:sdtPr>
        <w:sdtContent>
          <w:r w:rsidRPr="00D04502">
            <w:fldChar w:fldCharType="begin"/>
          </w:r>
          <w:r w:rsidRPr="00D04502">
            <w:instrText xml:space="preserve"> CITATION IAE151 \l 2057 </w:instrText>
          </w:r>
          <w:r w:rsidRPr="00D04502">
            <w:fldChar w:fldCharType="separate"/>
          </w:r>
          <w:r w:rsidRPr="00401277">
            <w:t>[12]</w:t>
          </w:r>
          <w:r w:rsidRPr="00D04502">
            <w:fldChar w:fldCharType="end"/>
          </w:r>
        </w:sdtContent>
      </w:sdt>
      <w:r w:rsidRPr="00D04502">
        <w:t>.</w:t>
      </w:r>
    </w:p>
    <w:p w14:paraId="77587C4F" w14:textId="03E8AA8A" w:rsidR="0041073F" w:rsidRPr="00D04502" w:rsidRDefault="00FC26B6" w:rsidP="00093AFE">
      <w:pPr>
        <w:pStyle w:val="Bulletlist1"/>
        <w:ind w:left="1418" w:hanging="357"/>
      </w:pPr>
      <w:r w:rsidRPr="00D04502">
        <w:t xml:space="preserve">SSR-1, </w:t>
      </w:r>
      <w:r w:rsidR="00866004" w:rsidRPr="00D04502">
        <w:t>Site Evaluation for Nuclear Installations</w:t>
      </w:r>
      <w:r w:rsidR="00B86F04" w:rsidRPr="00D04502">
        <w:t xml:space="preserve"> </w:t>
      </w:r>
      <w:sdt>
        <w:sdtPr>
          <w:id w:val="-1227299245"/>
          <w:citation/>
        </w:sdtPr>
        <w:sdtEndPr/>
        <w:sdtContent>
          <w:r w:rsidR="00866004" w:rsidRPr="00D04502">
            <w:fldChar w:fldCharType="begin"/>
          </w:r>
          <w:r w:rsidR="00866004" w:rsidRPr="00D04502">
            <w:instrText xml:space="preserve"> CITATION IAE191 \l 2057 </w:instrText>
          </w:r>
          <w:r w:rsidR="00866004" w:rsidRPr="00D04502">
            <w:fldChar w:fldCharType="separate"/>
          </w:r>
          <w:r w:rsidR="00401277" w:rsidRPr="00401277">
            <w:t>[19]</w:t>
          </w:r>
          <w:r w:rsidR="00866004" w:rsidRPr="00D04502">
            <w:fldChar w:fldCharType="end"/>
          </w:r>
        </w:sdtContent>
      </w:sdt>
      <w:r w:rsidR="0041073F" w:rsidRPr="00D04502">
        <w:t>,</w:t>
      </w:r>
    </w:p>
    <w:p w14:paraId="2772366D" w14:textId="0C4619A5" w:rsidR="0041073F" w:rsidRPr="00D04502" w:rsidRDefault="0041073F" w:rsidP="00093AFE">
      <w:pPr>
        <w:pStyle w:val="F9-Paragraph"/>
        <w:ind w:left="851" w:hanging="851"/>
      </w:pPr>
      <w:r w:rsidRPr="00D04502">
        <w:t xml:space="preserve">United States Nuclear Regulatory Commission </w:t>
      </w:r>
      <w:r w:rsidR="00401277">
        <w:t xml:space="preserve">(USNRC) </w:t>
      </w:r>
      <w:r w:rsidRPr="00D04502">
        <w:t xml:space="preserve">guidance including, but not limited to: </w:t>
      </w:r>
    </w:p>
    <w:p w14:paraId="639EAF9D" w14:textId="77777777" w:rsidR="0041073F" w:rsidRPr="00D04502" w:rsidRDefault="0041073F" w:rsidP="00093AFE">
      <w:pPr>
        <w:pStyle w:val="Bulletlist1"/>
        <w:ind w:left="1418" w:hanging="357"/>
      </w:pPr>
      <w:r w:rsidRPr="00D04502">
        <w:t>Regulatory Guide 4.7, General Site Suitability Criteria for Nuclear Power Plants,</w:t>
      </w:r>
    </w:p>
    <w:p w14:paraId="59C406D4" w14:textId="77777777" w:rsidR="0041073F" w:rsidRPr="00D04502" w:rsidRDefault="0041073F" w:rsidP="00093AFE">
      <w:pPr>
        <w:pStyle w:val="Bulletlist1"/>
        <w:ind w:left="1418" w:hanging="357"/>
      </w:pPr>
      <w:r w:rsidRPr="00D04502">
        <w:t>Regulatory Guide 1.132, Site Investigations for Foundations of Nuclear Power Plants,</w:t>
      </w:r>
    </w:p>
    <w:p w14:paraId="5046E954" w14:textId="77777777" w:rsidR="0041073F" w:rsidRPr="00D04502" w:rsidRDefault="0041073F" w:rsidP="00093AFE">
      <w:pPr>
        <w:pStyle w:val="Bulletlist1"/>
        <w:ind w:left="1418" w:hanging="357"/>
      </w:pPr>
      <w:r w:rsidRPr="00D04502">
        <w:t>Regulatory Guide 1.138, Laboratory Investigations of Soils and Rocks for Engineering Analysis and Design of Nuclear Power Plants,</w:t>
      </w:r>
    </w:p>
    <w:p w14:paraId="4B720E16" w14:textId="71A16E79" w:rsidR="0041073F" w:rsidRPr="00D04502" w:rsidRDefault="0041073F" w:rsidP="00093AFE">
      <w:pPr>
        <w:pStyle w:val="Bulletlist1"/>
        <w:ind w:left="1418" w:hanging="357"/>
        <w:rPr>
          <w:lang w:val="fr-FR"/>
        </w:rPr>
      </w:pPr>
      <w:r w:rsidRPr="00D04502">
        <w:rPr>
          <w:lang w:val="fr-FR"/>
        </w:rPr>
        <w:t>NUREG-0800</w:t>
      </w:r>
      <w:r w:rsidR="00402CD7" w:rsidRPr="00D04502">
        <w:rPr>
          <w:lang w:val="fr-FR"/>
        </w:rPr>
        <w:t xml:space="preserve"> </w:t>
      </w:r>
      <w:sdt>
        <w:sdtPr>
          <w:rPr>
            <w:lang w:val="fr-FR"/>
          </w:rPr>
          <w:id w:val="1378739607"/>
          <w:citation/>
        </w:sdtPr>
        <w:sdtEndPr/>
        <w:sdtContent>
          <w:r w:rsidR="003E2892" w:rsidRPr="00D04502">
            <w:rPr>
              <w:lang w:val="fr-FR"/>
            </w:rPr>
            <w:fldChar w:fldCharType="begin"/>
          </w:r>
          <w:r w:rsidR="003E2892" w:rsidRPr="00D04502">
            <w:instrText xml:space="preserve"> CITATION Sta \l 2057 </w:instrText>
          </w:r>
          <w:r w:rsidR="003E2892" w:rsidRPr="00D04502">
            <w:rPr>
              <w:lang w:val="fr-FR"/>
            </w:rPr>
            <w:fldChar w:fldCharType="separate"/>
          </w:r>
          <w:r w:rsidR="00401277" w:rsidRPr="00401277">
            <w:t>[54]</w:t>
          </w:r>
          <w:r w:rsidR="003E2892" w:rsidRPr="00D04502">
            <w:rPr>
              <w:lang w:val="fr-FR"/>
            </w:rPr>
            <w:fldChar w:fldCharType="end"/>
          </w:r>
        </w:sdtContent>
      </w:sdt>
      <w:r w:rsidRPr="00D04502">
        <w:rPr>
          <w:lang w:val="fr-FR"/>
        </w:rPr>
        <w:t>.</w:t>
      </w:r>
    </w:p>
    <w:p w14:paraId="16F06F5D" w14:textId="097ECF87" w:rsidR="00556DD7" w:rsidRPr="00D04502" w:rsidRDefault="00556DD7" w:rsidP="00556DD7">
      <w:pPr>
        <w:pStyle w:val="Heading2"/>
        <w:ind w:left="851" w:hanging="851"/>
      </w:pPr>
      <w:r w:rsidRPr="00D04502">
        <w:lastRenderedPageBreak/>
        <w:t xml:space="preserve">Design </w:t>
      </w:r>
      <w:r w:rsidR="00401277">
        <w:t>s</w:t>
      </w:r>
      <w:r w:rsidRPr="00D04502">
        <w:t xml:space="preserve">tandards and </w:t>
      </w:r>
      <w:r w:rsidR="00401277">
        <w:t>i</w:t>
      </w:r>
      <w:r w:rsidRPr="00D04502">
        <w:t xml:space="preserve">ndustrial </w:t>
      </w:r>
      <w:r w:rsidR="00401277">
        <w:t>g</w:t>
      </w:r>
      <w:r w:rsidRPr="00D04502">
        <w:t>uidance</w:t>
      </w:r>
    </w:p>
    <w:p w14:paraId="10B42378" w14:textId="60A8DC23" w:rsidR="00720D56" w:rsidRPr="00D04502" w:rsidRDefault="00720D56" w:rsidP="00E43135">
      <w:pPr>
        <w:pStyle w:val="Heading3"/>
      </w:pPr>
      <w:r w:rsidRPr="00D04502">
        <w:t xml:space="preserve">Ground </w:t>
      </w:r>
      <w:r w:rsidR="00401277">
        <w:t>e</w:t>
      </w:r>
      <w:r w:rsidRPr="00D04502">
        <w:t>ngineering</w:t>
      </w:r>
    </w:p>
    <w:p w14:paraId="21ED8A33" w14:textId="08588EFF" w:rsidR="00D05336" w:rsidRPr="00D04502" w:rsidRDefault="00D05336" w:rsidP="00D05336">
      <w:pPr>
        <w:pStyle w:val="Bulletlist1"/>
        <w:ind w:left="1418" w:hanging="357"/>
        <w:rPr>
          <w:lang w:val="fr-FR"/>
        </w:rPr>
      </w:pPr>
      <w:r w:rsidRPr="00D04502">
        <w:rPr>
          <w:lang w:val="fr-FR"/>
        </w:rPr>
        <w:t>ASCE 4-16</w:t>
      </w:r>
      <w:r w:rsidR="003A0ECC" w:rsidRPr="00D04502">
        <w:rPr>
          <w:lang w:val="fr-FR"/>
        </w:rPr>
        <w:t xml:space="preserve"> </w:t>
      </w:r>
      <w:sdt>
        <w:sdtPr>
          <w:rPr>
            <w:lang w:val="fr-FR"/>
          </w:rPr>
          <w:id w:val="760571191"/>
          <w:citation/>
        </w:sdtPr>
        <w:sdtEndPr/>
        <w:sdtContent>
          <w:r w:rsidR="003A0ECC" w:rsidRPr="00D04502">
            <w:rPr>
              <w:lang w:val="fr-FR"/>
            </w:rPr>
            <w:fldChar w:fldCharType="begin"/>
          </w:r>
          <w:r w:rsidR="003A0ECC" w:rsidRPr="00D04502">
            <w:instrText xml:space="preserve"> CITATION ASC \l 2057 </w:instrText>
          </w:r>
          <w:r w:rsidR="003A0ECC" w:rsidRPr="00D04502">
            <w:rPr>
              <w:lang w:val="fr-FR"/>
            </w:rPr>
            <w:fldChar w:fldCharType="separate"/>
          </w:r>
          <w:r w:rsidR="00401277" w:rsidRPr="00401277">
            <w:t>[22]</w:t>
          </w:r>
          <w:r w:rsidR="003A0ECC" w:rsidRPr="00D04502">
            <w:rPr>
              <w:lang w:val="fr-FR"/>
            </w:rPr>
            <w:fldChar w:fldCharType="end"/>
          </w:r>
        </w:sdtContent>
      </w:sdt>
      <w:r w:rsidRPr="00D04502">
        <w:rPr>
          <w:lang w:val="fr-FR"/>
        </w:rPr>
        <w:t>,</w:t>
      </w:r>
    </w:p>
    <w:p w14:paraId="30DB79A1" w14:textId="1EAEF40A" w:rsidR="00D05336" w:rsidRPr="00D04502" w:rsidRDefault="00D05336" w:rsidP="00D05336">
      <w:pPr>
        <w:pStyle w:val="Bulletlist1"/>
        <w:ind w:left="1418" w:hanging="357"/>
        <w:rPr>
          <w:lang w:val="fr-FR"/>
        </w:rPr>
      </w:pPr>
      <w:r w:rsidRPr="00D04502">
        <w:rPr>
          <w:lang w:val="fr-FR"/>
        </w:rPr>
        <w:t>ETC-C code</w:t>
      </w:r>
      <w:r w:rsidR="003A0ECC" w:rsidRPr="00D04502">
        <w:rPr>
          <w:lang w:val="fr-FR"/>
        </w:rPr>
        <w:t xml:space="preserve"> </w:t>
      </w:r>
      <w:sdt>
        <w:sdtPr>
          <w:rPr>
            <w:lang w:val="fr-FR"/>
          </w:rPr>
          <w:id w:val="-762834818"/>
          <w:citation/>
        </w:sdtPr>
        <w:sdtEndPr/>
        <w:sdtContent>
          <w:r w:rsidR="00F45650" w:rsidRPr="00D04502">
            <w:rPr>
              <w:lang w:val="fr-FR"/>
            </w:rPr>
            <w:fldChar w:fldCharType="begin"/>
          </w:r>
          <w:r w:rsidR="00F45650" w:rsidRPr="00D04502">
            <w:instrText xml:space="preserve"> CITATION AFC10 \l 2057 </w:instrText>
          </w:r>
          <w:r w:rsidR="00F45650" w:rsidRPr="00D04502">
            <w:rPr>
              <w:lang w:val="fr-FR"/>
            </w:rPr>
            <w:fldChar w:fldCharType="separate"/>
          </w:r>
          <w:r w:rsidR="00401277" w:rsidRPr="00401277">
            <w:t>[23]</w:t>
          </w:r>
          <w:r w:rsidR="00F45650" w:rsidRPr="00D04502">
            <w:rPr>
              <w:lang w:val="fr-FR"/>
            </w:rPr>
            <w:fldChar w:fldCharType="end"/>
          </w:r>
        </w:sdtContent>
      </w:sdt>
      <w:r w:rsidRPr="00D04502">
        <w:rPr>
          <w:lang w:val="fr-FR"/>
        </w:rPr>
        <w:t>,</w:t>
      </w:r>
    </w:p>
    <w:p w14:paraId="6ED5EAAE" w14:textId="7A71F4AB" w:rsidR="00D05336" w:rsidRPr="00D04502" w:rsidRDefault="00D05336" w:rsidP="00D05336">
      <w:pPr>
        <w:pStyle w:val="Bulletlist1"/>
        <w:ind w:left="1418" w:hanging="357"/>
        <w:rPr>
          <w:lang w:val="fr-FR"/>
        </w:rPr>
      </w:pPr>
      <w:r w:rsidRPr="00D04502">
        <w:rPr>
          <w:lang w:val="fr-FR"/>
        </w:rPr>
        <w:t>Eurocode 7 (BS EN 1997-1 and 1997-2 plus National Annexes)</w:t>
      </w:r>
      <w:r w:rsidR="00F45650" w:rsidRPr="00D04502">
        <w:rPr>
          <w:lang w:val="fr-FR"/>
        </w:rPr>
        <w:t xml:space="preserve"> </w:t>
      </w:r>
      <w:sdt>
        <w:sdtPr>
          <w:rPr>
            <w:lang w:val="fr-FR"/>
          </w:rPr>
          <w:id w:val="2036542257"/>
          <w:citation/>
        </w:sdtPr>
        <w:sdtEndPr/>
        <w:sdtContent>
          <w:r w:rsidR="00CA6A5D" w:rsidRPr="00D04502">
            <w:rPr>
              <w:lang w:val="fr-FR"/>
            </w:rPr>
            <w:fldChar w:fldCharType="begin"/>
          </w:r>
          <w:r w:rsidR="00CA6A5D" w:rsidRPr="00D04502">
            <w:rPr>
              <w:lang w:val="fr-FR"/>
            </w:rPr>
            <w:instrText xml:space="preserve"> CITATION BSI7 \l 2057 </w:instrText>
          </w:r>
          <w:r w:rsidR="00CA6A5D" w:rsidRPr="00D04502">
            <w:rPr>
              <w:lang w:val="fr-FR"/>
            </w:rPr>
            <w:fldChar w:fldCharType="separate"/>
          </w:r>
          <w:r w:rsidR="00401277" w:rsidRPr="00401277">
            <w:rPr>
              <w:lang w:val="fr-FR"/>
            </w:rPr>
            <w:t>[20]</w:t>
          </w:r>
          <w:r w:rsidR="00CA6A5D" w:rsidRPr="00D04502">
            <w:rPr>
              <w:lang w:val="fr-FR"/>
            </w:rPr>
            <w:fldChar w:fldCharType="end"/>
          </w:r>
        </w:sdtContent>
      </w:sdt>
      <w:sdt>
        <w:sdtPr>
          <w:rPr>
            <w:lang w:val="fr-FR"/>
          </w:rPr>
          <w:id w:val="767901369"/>
          <w:citation/>
        </w:sdtPr>
        <w:sdtEndPr/>
        <w:sdtContent>
          <w:r w:rsidR="00CA6A5D" w:rsidRPr="00D04502">
            <w:rPr>
              <w:lang w:val="fr-FR"/>
            </w:rPr>
            <w:fldChar w:fldCharType="begin"/>
          </w:r>
          <w:r w:rsidR="00CA6A5D" w:rsidRPr="00D04502">
            <w:rPr>
              <w:lang w:val="fr-FR"/>
            </w:rPr>
            <w:instrText xml:space="preserve"> CITATION BSI5 \l 2057 </w:instrText>
          </w:r>
          <w:r w:rsidR="00CA6A5D" w:rsidRPr="00D04502">
            <w:rPr>
              <w:lang w:val="fr-FR"/>
            </w:rPr>
            <w:fldChar w:fldCharType="separate"/>
          </w:r>
          <w:r w:rsidR="00401277">
            <w:rPr>
              <w:lang w:val="fr-FR"/>
            </w:rPr>
            <w:t xml:space="preserve"> </w:t>
          </w:r>
          <w:r w:rsidR="00401277" w:rsidRPr="00401277">
            <w:rPr>
              <w:lang w:val="fr-FR"/>
            </w:rPr>
            <w:t>[10]</w:t>
          </w:r>
          <w:r w:rsidR="00CA6A5D" w:rsidRPr="00D04502">
            <w:rPr>
              <w:lang w:val="fr-FR"/>
            </w:rPr>
            <w:fldChar w:fldCharType="end"/>
          </w:r>
        </w:sdtContent>
      </w:sdt>
      <w:sdt>
        <w:sdtPr>
          <w:rPr>
            <w:lang w:val="fr-FR"/>
          </w:rPr>
          <w:id w:val="63226145"/>
          <w:citation/>
        </w:sdtPr>
        <w:sdtEndPr/>
        <w:sdtContent>
          <w:r w:rsidR="00CA6A5D" w:rsidRPr="00D04502">
            <w:rPr>
              <w:lang w:val="fr-FR"/>
            </w:rPr>
            <w:fldChar w:fldCharType="begin"/>
          </w:r>
          <w:r w:rsidR="00CA6A5D" w:rsidRPr="00D04502">
            <w:rPr>
              <w:lang w:val="fr-FR"/>
            </w:rPr>
            <w:instrText xml:space="preserve"> CITATION BSI11 \l 2057 </w:instrText>
          </w:r>
          <w:r w:rsidR="00CA6A5D" w:rsidRPr="00D04502">
            <w:rPr>
              <w:lang w:val="fr-FR"/>
            </w:rPr>
            <w:fldChar w:fldCharType="separate"/>
          </w:r>
          <w:r w:rsidR="00401277">
            <w:rPr>
              <w:lang w:val="fr-FR"/>
            </w:rPr>
            <w:t xml:space="preserve"> </w:t>
          </w:r>
          <w:r w:rsidR="00401277" w:rsidRPr="00401277">
            <w:rPr>
              <w:lang w:val="fr-FR"/>
            </w:rPr>
            <w:t>[37]</w:t>
          </w:r>
          <w:r w:rsidR="00CA6A5D" w:rsidRPr="00D04502">
            <w:rPr>
              <w:lang w:val="fr-FR"/>
            </w:rPr>
            <w:fldChar w:fldCharType="end"/>
          </w:r>
        </w:sdtContent>
      </w:sdt>
      <w:r w:rsidRPr="00D04502">
        <w:rPr>
          <w:lang w:val="fr-FR"/>
        </w:rPr>
        <w:t>,</w:t>
      </w:r>
    </w:p>
    <w:p w14:paraId="1F990335" w14:textId="5FFB9640" w:rsidR="00D05336" w:rsidRPr="00D04502" w:rsidRDefault="00D05336" w:rsidP="00D05336">
      <w:pPr>
        <w:pStyle w:val="Bulletlist1"/>
        <w:ind w:left="1418" w:hanging="357"/>
      </w:pPr>
      <w:r w:rsidRPr="00D04502">
        <w:t>BS 5930:2015+A1:2020, Code of Practice for Ground Investigations</w:t>
      </w:r>
      <w:r w:rsidR="00CA6A5D" w:rsidRPr="00D04502">
        <w:t xml:space="preserve"> </w:t>
      </w:r>
      <w:sdt>
        <w:sdtPr>
          <w:id w:val="1784066253"/>
          <w:citation/>
        </w:sdtPr>
        <w:sdtEndPr/>
        <w:sdtContent>
          <w:r w:rsidR="00CA6A5D" w:rsidRPr="00D04502">
            <w:fldChar w:fldCharType="begin"/>
          </w:r>
          <w:r w:rsidR="00CA6A5D" w:rsidRPr="00D04502">
            <w:instrText xml:space="preserve"> CITATION BSI4 \l 2057 </w:instrText>
          </w:r>
          <w:r w:rsidR="00CA6A5D" w:rsidRPr="00D04502">
            <w:fldChar w:fldCharType="separate"/>
          </w:r>
          <w:r w:rsidR="00401277" w:rsidRPr="00401277">
            <w:t>[4]</w:t>
          </w:r>
          <w:r w:rsidR="00CA6A5D" w:rsidRPr="00D04502">
            <w:fldChar w:fldCharType="end"/>
          </w:r>
        </w:sdtContent>
      </w:sdt>
      <w:r w:rsidRPr="00D04502">
        <w:t>,</w:t>
      </w:r>
    </w:p>
    <w:p w14:paraId="4C1CD49B" w14:textId="68612126" w:rsidR="00D05336" w:rsidRPr="00D04502" w:rsidRDefault="00D05336" w:rsidP="00D05336">
      <w:pPr>
        <w:pStyle w:val="Bulletlist1"/>
        <w:ind w:left="1418" w:hanging="357"/>
      </w:pPr>
      <w:r w:rsidRPr="00D04502">
        <w:t>Highways England DMRB CD 622 Managing geotechnical risk</w:t>
      </w:r>
      <w:r w:rsidR="000A0283" w:rsidRPr="00D04502">
        <w:t xml:space="preserve"> </w:t>
      </w:r>
      <w:sdt>
        <w:sdtPr>
          <w:id w:val="-1195763636"/>
          <w:citation/>
        </w:sdtPr>
        <w:sdtEndPr/>
        <w:sdtContent>
          <w:r w:rsidR="000A0283" w:rsidRPr="00D04502">
            <w:fldChar w:fldCharType="begin"/>
          </w:r>
          <w:r w:rsidR="000A0283" w:rsidRPr="00D04502">
            <w:instrText xml:space="preserve"> CITATION HIg \l 2057 </w:instrText>
          </w:r>
          <w:r w:rsidR="000A0283" w:rsidRPr="00D04502">
            <w:fldChar w:fldCharType="separate"/>
          </w:r>
          <w:r w:rsidR="00401277" w:rsidRPr="00401277">
            <w:t>[13]</w:t>
          </w:r>
          <w:r w:rsidR="000A0283" w:rsidRPr="00D04502">
            <w:fldChar w:fldCharType="end"/>
          </w:r>
        </w:sdtContent>
      </w:sdt>
      <w:r w:rsidRPr="00D04502">
        <w:t>,</w:t>
      </w:r>
    </w:p>
    <w:p w14:paraId="09151BAC" w14:textId="68DDEB4E" w:rsidR="00D05336" w:rsidRPr="00D04502" w:rsidRDefault="00D05336" w:rsidP="00D05336">
      <w:pPr>
        <w:pStyle w:val="Bulletlist1"/>
        <w:ind w:left="1418" w:hanging="357"/>
      </w:pPr>
      <w:r w:rsidRPr="00D04502">
        <w:t>BS 137</w:t>
      </w:r>
      <w:r w:rsidR="001450E2" w:rsidRPr="00D04502">
        <w:t>7, ‘</w:t>
      </w:r>
      <w:r w:rsidRPr="00D04502">
        <w:t>Methods of test for soils for engineering purposes, parts 1 to 9</w:t>
      </w:r>
      <w:r w:rsidR="00CD4222" w:rsidRPr="00D04502">
        <w:t xml:space="preserve">’ </w:t>
      </w:r>
      <w:sdt>
        <w:sdtPr>
          <w:id w:val="27232853"/>
          <w:citation/>
        </w:sdtPr>
        <w:sdtEndPr/>
        <w:sdtContent>
          <w:r w:rsidR="00951D9B" w:rsidRPr="00D04502">
            <w:fldChar w:fldCharType="begin"/>
          </w:r>
          <w:r w:rsidR="00951D9B" w:rsidRPr="00D04502">
            <w:instrText xml:space="preserve"> CITATION BSI14 \l 2057 </w:instrText>
          </w:r>
          <w:r w:rsidR="00951D9B" w:rsidRPr="00D04502">
            <w:fldChar w:fldCharType="separate"/>
          </w:r>
          <w:r w:rsidR="00401277" w:rsidRPr="00401277">
            <w:t>[55]</w:t>
          </w:r>
          <w:r w:rsidR="00951D9B" w:rsidRPr="00D04502">
            <w:fldChar w:fldCharType="end"/>
          </w:r>
        </w:sdtContent>
      </w:sdt>
      <w:r w:rsidR="000A0283" w:rsidRPr="00D04502">
        <w:t xml:space="preserve"> </w:t>
      </w:r>
      <w:r w:rsidRPr="00D04502">
        <w:t>,</w:t>
      </w:r>
    </w:p>
    <w:p w14:paraId="09D35567" w14:textId="7B483AC9" w:rsidR="00D05336" w:rsidRPr="00D04502" w:rsidRDefault="00D05336" w:rsidP="00D05336">
      <w:pPr>
        <w:pStyle w:val="Bulletlist1"/>
        <w:ind w:left="1418" w:hanging="357"/>
      </w:pPr>
      <w:r w:rsidRPr="00D04502">
        <w:t>BS 8004:2015+A1:2020: Code of practice for foundations</w:t>
      </w:r>
      <w:r w:rsidR="00B8764A" w:rsidRPr="00D04502">
        <w:t xml:space="preserve"> </w:t>
      </w:r>
      <w:sdt>
        <w:sdtPr>
          <w:id w:val="-1001188857"/>
          <w:citation/>
        </w:sdtPr>
        <w:sdtEndPr/>
        <w:sdtContent>
          <w:r w:rsidR="00B8764A" w:rsidRPr="00D04502">
            <w:fldChar w:fldCharType="begin"/>
          </w:r>
          <w:r w:rsidR="00B8764A" w:rsidRPr="00D04502">
            <w:instrText xml:space="preserve"> CITATION BSI15 \l 2057 </w:instrText>
          </w:r>
          <w:r w:rsidR="00B8764A" w:rsidRPr="00D04502">
            <w:fldChar w:fldCharType="separate"/>
          </w:r>
          <w:r w:rsidR="00401277" w:rsidRPr="00401277">
            <w:t>[56]</w:t>
          </w:r>
          <w:r w:rsidR="00B8764A" w:rsidRPr="00D04502">
            <w:fldChar w:fldCharType="end"/>
          </w:r>
        </w:sdtContent>
      </w:sdt>
      <w:r w:rsidRPr="00D04502">
        <w:t>,</w:t>
      </w:r>
    </w:p>
    <w:p w14:paraId="0B800193" w14:textId="24F9AB70" w:rsidR="00D05336" w:rsidRPr="00D04502" w:rsidRDefault="00D05336" w:rsidP="00D05336">
      <w:pPr>
        <w:pStyle w:val="Bulletlist1"/>
        <w:ind w:left="1418" w:hanging="357"/>
      </w:pPr>
      <w:r w:rsidRPr="00D04502">
        <w:t>BS 8002:2015: Code of practice for earth retaining structures</w:t>
      </w:r>
      <w:r w:rsidR="009231B1" w:rsidRPr="00D04502">
        <w:t xml:space="preserve"> </w:t>
      </w:r>
      <w:sdt>
        <w:sdtPr>
          <w:id w:val="1437563148"/>
          <w:citation/>
        </w:sdtPr>
        <w:sdtEndPr/>
        <w:sdtContent>
          <w:r w:rsidR="00A36E81" w:rsidRPr="00D04502">
            <w:fldChar w:fldCharType="begin"/>
          </w:r>
          <w:r w:rsidR="00A36E81" w:rsidRPr="00D04502">
            <w:instrText xml:space="preserve"> CITATION BSI16 \l 2057 </w:instrText>
          </w:r>
          <w:r w:rsidR="00A36E81" w:rsidRPr="00D04502">
            <w:fldChar w:fldCharType="separate"/>
          </w:r>
          <w:r w:rsidR="00401277" w:rsidRPr="00401277">
            <w:t>[57]</w:t>
          </w:r>
          <w:r w:rsidR="00A36E81" w:rsidRPr="00D04502">
            <w:fldChar w:fldCharType="end"/>
          </w:r>
        </w:sdtContent>
      </w:sdt>
    </w:p>
    <w:p w14:paraId="1337A508" w14:textId="77777777" w:rsidR="002B2380" w:rsidRPr="00D04502" w:rsidRDefault="002B2380" w:rsidP="002B2380">
      <w:pPr>
        <w:pStyle w:val="F9-Paragraph"/>
        <w:ind w:left="851" w:hanging="851"/>
      </w:pPr>
      <w:r w:rsidRPr="00D04502">
        <w:t>Additional normative references to the above, including but not limited to:</w:t>
      </w:r>
    </w:p>
    <w:p w14:paraId="766DF5DB" w14:textId="77777777" w:rsidR="002B2380" w:rsidRPr="00D04502" w:rsidRDefault="002B2380" w:rsidP="002B2380">
      <w:pPr>
        <w:pStyle w:val="Bulletlist1"/>
        <w:ind w:left="1418" w:hanging="357"/>
      </w:pPr>
      <w:r w:rsidRPr="00D04502">
        <w:t>ICE manual of geotechnical engineering 2012: Volume I ISBN: 9780727757081</w:t>
      </w:r>
    </w:p>
    <w:p w14:paraId="58C2E5B1" w14:textId="55FD6DE6" w:rsidR="002B2380" w:rsidRPr="00D04502" w:rsidRDefault="002B2380" w:rsidP="002B2380">
      <w:pPr>
        <w:pStyle w:val="Bulletlist1"/>
        <w:ind w:left="1418" w:hanging="357"/>
      </w:pPr>
      <w:r w:rsidRPr="00D04502">
        <w:t>ICE manual of geotechnical engineering 2012: Volume II SBN: 9780727757104,</w:t>
      </w:r>
    </w:p>
    <w:p w14:paraId="47F2A392" w14:textId="77777777" w:rsidR="002B2380" w:rsidRPr="00D04502" w:rsidRDefault="002B2380" w:rsidP="002B2380">
      <w:pPr>
        <w:pStyle w:val="Bulletlist1"/>
        <w:ind w:left="1418" w:hanging="357"/>
      </w:pPr>
      <w:r w:rsidRPr="00D04502">
        <w:t>BS EN ISO 14688-1:2018 Geotechnical investigation and testing - identification and classification of soil. Identification and description,</w:t>
      </w:r>
    </w:p>
    <w:p w14:paraId="427A03F0" w14:textId="77777777" w:rsidR="002B2380" w:rsidRPr="00D04502" w:rsidRDefault="002B2380" w:rsidP="002B2380">
      <w:pPr>
        <w:pStyle w:val="Bulletlist1"/>
        <w:ind w:left="1418" w:hanging="357"/>
      </w:pPr>
      <w:r w:rsidRPr="00D04502">
        <w:t>BS EN ISO 14688-2:2018 Geotechnical investigation and testing - identification and classification of soil. Principles for a classification.</w:t>
      </w:r>
    </w:p>
    <w:p w14:paraId="5DF5D73E" w14:textId="77777777" w:rsidR="002B2380" w:rsidRPr="00D04502" w:rsidRDefault="002B2380" w:rsidP="00A21196">
      <w:pPr>
        <w:pStyle w:val="F9-Paragraph"/>
        <w:ind w:left="851" w:hanging="851"/>
      </w:pPr>
      <w:r w:rsidRPr="00D04502">
        <w:t>Technical guidance for specific site and ground investigation needs including, but not limited to:</w:t>
      </w:r>
    </w:p>
    <w:p w14:paraId="3B4F432F" w14:textId="5236438E" w:rsidR="002B2380" w:rsidRPr="00D04502" w:rsidRDefault="002B2380" w:rsidP="00A21196">
      <w:pPr>
        <w:pStyle w:val="Bulletlist1"/>
        <w:ind w:left="1418" w:hanging="357"/>
      </w:pPr>
      <w:r w:rsidRPr="00D04502">
        <w:t xml:space="preserve">hydrology and hydrogeology </w:t>
      </w:r>
      <w:r w:rsidR="003F2F30">
        <w:t>(for example,</w:t>
      </w:r>
      <w:r w:rsidRPr="00D04502">
        <w:t xml:space="preserve"> BS EN ISO 5667, 22282 and 22475 series),</w:t>
      </w:r>
    </w:p>
    <w:p w14:paraId="6AD13DDC" w14:textId="1EE57182" w:rsidR="002B2380" w:rsidRPr="00D04502" w:rsidRDefault="002B2380" w:rsidP="00A21196">
      <w:pPr>
        <w:pStyle w:val="Bulletlist1"/>
        <w:ind w:left="1418" w:hanging="357"/>
      </w:pPr>
      <w:r w:rsidRPr="00D04502">
        <w:t xml:space="preserve">contaminated land </w:t>
      </w:r>
      <w:r w:rsidR="003F2F30">
        <w:t>(for example,</w:t>
      </w:r>
      <w:r w:rsidRPr="00D04502">
        <w:t xml:space="preserve"> BS 10175:2011+A2:2017, Investigation of potentially contaminated sites – Code of practice),</w:t>
      </w:r>
    </w:p>
    <w:p w14:paraId="783F0E50" w14:textId="33059124" w:rsidR="002B2380" w:rsidRPr="00D04502" w:rsidRDefault="002B2380" w:rsidP="00A21196">
      <w:pPr>
        <w:pStyle w:val="Bulletlist1"/>
        <w:ind w:left="1418" w:hanging="357"/>
      </w:pPr>
      <w:r w:rsidRPr="00D04502">
        <w:t xml:space="preserve">underground services </w:t>
      </w:r>
      <w:r w:rsidR="003F2F30">
        <w:t>(for example,</w:t>
      </w:r>
      <w:r w:rsidRPr="00D04502">
        <w:t xml:space="preserve"> HSE HSG47 - Avoiding danger from underground services [3]),</w:t>
      </w:r>
    </w:p>
    <w:p w14:paraId="26151AC2" w14:textId="77777777" w:rsidR="002B2380" w:rsidRPr="00D04502" w:rsidRDefault="002B2380" w:rsidP="00A21196">
      <w:pPr>
        <w:pStyle w:val="Bulletlist1"/>
        <w:ind w:left="1418" w:hanging="357"/>
      </w:pPr>
      <w:r w:rsidRPr="00D04502">
        <w:t>CIRIA Geophysics in engineering investigations (C562),</w:t>
      </w:r>
    </w:p>
    <w:p w14:paraId="12B05C85" w14:textId="77777777" w:rsidR="002B2380" w:rsidRPr="00D04502" w:rsidRDefault="002B2380" w:rsidP="00A21196">
      <w:pPr>
        <w:pStyle w:val="Bulletlist1"/>
        <w:ind w:left="1418" w:hanging="357"/>
        <w:rPr>
          <w:lang w:val="pt-PT"/>
        </w:rPr>
      </w:pPr>
      <w:r w:rsidRPr="00D04502">
        <w:rPr>
          <w:lang w:val="pt-PT"/>
        </w:rPr>
        <w:lastRenderedPageBreak/>
        <w:t>CIRIA Eurocode 7 - implications for UK practice (C641).</w:t>
      </w:r>
    </w:p>
    <w:p w14:paraId="12DA1E34" w14:textId="77777777" w:rsidR="002B2380" w:rsidRPr="00D04502" w:rsidRDefault="002B2380" w:rsidP="00A21196">
      <w:pPr>
        <w:pStyle w:val="F9-Paragraph"/>
        <w:ind w:left="851" w:hanging="851"/>
      </w:pPr>
      <w:r w:rsidRPr="00D04502">
        <w:t>Technical guidance for specific testing methods including, but not limited to:</w:t>
      </w:r>
    </w:p>
    <w:p w14:paraId="54C57A18" w14:textId="77777777" w:rsidR="002B2380" w:rsidRPr="00D04502" w:rsidRDefault="002B2380" w:rsidP="00A21196">
      <w:pPr>
        <w:pStyle w:val="Bulletlist1"/>
        <w:ind w:left="1418" w:hanging="357"/>
      </w:pPr>
      <w:r w:rsidRPr="00D04502">
        <w:t>ASTM D4428/4428-M – 14 Standard Test Methods for Crosshole Seismic Testing,</w:t>
      </w:r>
    </w:p>
    <w:p w14:paraId="36E9D651" w14:textId="77777777" w:rsidR="002B2380" w:rsidRPr="00D04502" w:rsidRDefault="002B2380" w:rsidP="00A21196">
      <w:pPr>
        <w:pStyle w:val="Bulletlist1"/>
        <w:ind w:left="1418" w:hanging="357"/>
      </w:pPr>
      <w:r w:rsidRPr="00D04502">
        <w:t>ASTM D7400 – 17 Standard Test Methods for Downhole Seismic Testing,</w:t>
      </w:r>
    </w:p>
    <w:p w14:paraId="43CFB4F9" w14:textId="77777777" w:rsidR="002B2380" w:rsidRPr="00D04502" w:rsidRDefault="002B2380" w:rsidP="00A21196">
      <w:pPr>
        <w:pStyle w:val="Bulletlist1"/>
        <w:ind w:left="1418" w:hanging="357"/>
      </w:pPr>
      <w:r w:rsidRPr="00D04502">
        <w:t>BS EN ISO 22476-3 Geotechnical investigation and testing – Field testing – Part 3: Standard Penetration Test,</w:t>
      </w:r>
    </w:p>
    <w:p w14:paraId="125E7C3E" w14:textId="77777777" w:rsidR="002B2380" w:rsidRPr="00D04502" w:rsidRDefault="002B2380" w:rsidP="00A21196">
      <w:pPr>
        <w:pStyle w:val="Bulletlist1"/>
        <w:ind w:left="1418" w:hanging="357"/>
      </w:pPr>
      <w:r w:rsidRPr="00D04502">
        <w:t>CIRIA Report R 143 The standard penetration test (SPT): methods and use, 1995,</w:t>
      </w:r>
    </w:p>
    <w:p w14:paraId="4DD10A73" w14:textId="77777777" w:rsidR="002B2380" w:rsidRPr="00D04502" w:rsidRDefault="002B2380" w:rsidP="00A21196">
      <w:pPr>
        <w:pStyle w:val="Bulletlist1"/>
        <w:ind w:left="1418" w:hanging="357"/>
      </w:pPr>
      <w:r w:rsidRPr="00D04502">
        <w:t>Stroud M A. (1989) The Standard Penetration Test - Its Application and Interpretation. Penetration testing in the UK, Thomas Telford, London, pp. 29-49,</w:t>
      </w:r>
    </w:p>
    <w:p w14:paraId="678AB2E5" w14:textId="77777777" w:rsidR="002B2380" w:rsidRPr="00D04502" w:rsidRDefault="002B2380" w:rsidP="00A21196">
      <w:pPr>
        <w:pStyle w:val="Bulletlist1"/>
        <w:ind w:left="1418" w:hanging="357"/>
      </w:pPr>
      <w:r w:rsidRPr="00D04502">
        <w:t>CIRIA Cone penetration testing: methods and interpretation (B2).</w:t>
      </w:r>
    </w:p>
    <w:p w14:paraId="4EFDE238" w14:textId="77777777" w:rsidR="002B2380" w:rsidRPr="00D04502" w:rsidRDefault="002B2380" w:rsidP="00A21196">
      <w:pPr>
        <w:pStyle w:val="F9-Paragraph"/>
        <w:ind w:left="851" w:hanging="851"/>
      </w:pPr>
      <w:r w:rsidRPr="00D04502">
        <w:t>Sources for further information including, but not limited to:</w:t>
      </w:r>
    </w:p>
    <w:p w14:paraId="7CDC4ED0" w14:textId="77777777" w:rsidR="002B2380" w:rsidRPr="00D04502" w:rsidRDefault="002B2380" w:rsidP="00A21196">
      <w:pPr>
        <w:pStyle w:val="Bulletlist1"/>
        <w:ind w:left="1418" w:hanging="357"/>
      </w:pPr>
      <w:r w:rsidRPr="00D04502">
        <w:t>ICE UK Specification for Ground Investigation, Second edition: 2012,</w:t>
      </w:r>
    </w:p>
    <w:p w14:paraId="2AC884EA" w14:textId="77777777" w:rsidR="002B2380" w:rsidRPr="00D04502" w:rsidRDefault="002B2380" w:rsidP="00A21196">
      <w:pPr>
        <w:pStyle w:val="Bulletlist1"/>
        <w:ind w:left="1418" w:hanging="357"/>
      </w:pPr>
      <w:r w:rsidRPr="00D04502">
        <w:t>ICE manual of geotechnical engineering: Volume I ISBN: 9780727757081,</w:t>
      </w:r>
    </w:p>
    <w:p w14:paraId="699FC884" w14:textId="77777777" w:rsidR="002B2380" w:rsidRPr="00D04502" w:rsidRDefault="002B2380" w:rsidP="00A21196">
      <w:pPr>
        <w:pStyle w:val="Bulletlist1"/>
        <w:ind w:left="1418" w:hanging="357"/>
      </w:pPr>
      <w:r w:rsidRPr="00D04502">
        <w:t>ICE manual of geotechnical engineering: Volume II SBN: 9780727757104,</w:t>
      </w:r>
    </w:p>
    <w:p w14:paraId="31DC630B" w14:textId="77777777" w:rsidR="002B2380" w:rsidRPr="00D04502" w:rsidRDefault="002B2380" w:rsidP="00A21196">
      <w:pPr>
        <w:pStyle w:val="Bulletlist1"/>
        <w:ind w:left="1418" w:hanging="357"/>
      </w:pPr>
      <w:r w:rsidRPr="00D04502">
        <w:t>CIRIA Unexploded ordnance (UXO) risk management guide for land-based projects (C785),</w:t>
      </w:r>
    </w:p>
    <w:p w14:paraId="6ED076D5" w14:textId="77777777" w:rsidR="002B2380" w:rsidRPr="00D04502" w:rsidRDefault="002B2380" w:rsidP="00A21196">
      <w:pPr>
        <w:pStyle w:val="Bulletlist1"/>
        <w:ind w:left="1418" w:hanging="357"/>
      </w:pPr>
      <w:r w:rsidRPr="00D04502">
        <w:t>CIRIA Unexploded ordnance (UXO) A guide for the construction industry (C681),</w:t>
      </w:r>
    </w:p>
    <w:p w14:paraId="4E6BC16A" w14:textId="77777777" w:rsidR="002B2380" w:rsidRPr="00D04502" w:rsidRDefault="002B2380" w:rsidP="00A21196">
      <w:pPr>
        <w:pStyle w:val="Bulletlist1"/>
        <w:ind w:left="1418" w:hanging="357"/>
      </w:pPr>
      <w:r w:rsidRPr="00D04502">
        <w:t>CIRIA Brownfield and contaminated land development book set,</w:t>
      </w:r>
    </w:p>
    <w:p w14:paraId="16E7D90D" w14:textId="77777777" w:rsidR="002B2380" w:rsidRPr="00D04502" w:rsidRDefault="002B2380" w:rsidP="00A21196">
      <w:pPr>
        <w:pStyle w:val="Bulletlist1"/>
        <w:ind w:left="1418" w:hanging="357"/>
      </w:pPr>
      <w:r w:rsidRPr="00D04502">
        <w:t>CIRIA Contaminated sediments: a guide for risk assessment and management (C781),</w:t>
      </w:r>
    </w:p>
    <w:p w14:paraId="577E7D85" w14:textId="77777777" w:rsidR="002B2380" w:rsidRPr="00D04502" w:rsidRDefault="002B2380" w:rsidP="00A21196">
      <w:pPr>
        <w:pStyle w:val="Bulletlist1"/>
        <w:ind w:left="1418" w:hanging="357"/>
      </w:pPr>
      <w:r w:rsidRPr="00D04502">
        <w:t>CIRIA The Volatile Organic Compounds (VOCs) Handbook. Investigating, assessing and managing risks from inhalation of VOCs at land affected by contamination (C682),</w:t>
      </w:r>
    </w:p>
    <w:p w14:paraId="2AA24131" w14:textId="77777777" w:rsidR="002B2380" w:rsidRPr="00D04502" w:rsidRDefault="002B2380" w:rsidP="00A21196">
      <w:pPr>
        <w:pStyle w:val="Bulletlist1"/>
        <w:ind w:left="1418" w:hanging="357"/>
      </w:pPr>
      <w:r w:rsidRPr="00D04502">
        <w:t>CIRIA Asbestos in soil and made ground: a guide to understanding and managing risks (C733),</w:t>
      </w:r>
    </w:p>
    <w:p w14:paraId="2DABC187" w14:textId="77777777" w:rsidR="002B2380" w:rsidRPr="00D04502" w:rsidRDefault="002B2380" w:rsidP="00A21196">
      <w:pPr>
        <w:pStyle w:val="Bulletlist1"/>
        <w:ind w:left="1418" w:hanging="357"/>
      </w:pPr>
      <w:r w:rsidRPr="00D04502">
        <w:lastRenderedPageBreak/>
        <w:t>CIRIA Asbestos in soil and made ground good practice site guide (C765),</w:t>
      </w:r>
    </w:p>
    <w:p w14:paraId="312C31E2" w14:textId="77777777" w:rsidR="002B2380" w:rsidRPr="00D04502" w:rsidRDefault="002B2380" w:rsidP="00A21196">
      <w:pPr>
        <w:pStyle w:val="Bulletlist1"/>
        <w:ind w:left="1418" w:hanging="357"/>
      </w:pPr>
      <w:r w:rsidRPr="00D04502">
        <w:t>CIRIA Groundwater control: design and practice (second edition) (C750),</w:t>
      </w:r>
    </w:p>
    <w:p w14:paraId="07827CC7" w14:textId="77777777" w:rsidR="002B2380" w:rsidRPr="00D04502" w:rsidRDefault="002B2380" w:rsidP="00A21196">
      <w:pPr>
        <w:pStyle w:val="Bulletlist1"/>
        <w:ind w:left="1418" w:hanging="357"/>
      </w:pPr>
      <w:r w:rsidRPr="00D04502">
        <w:t>CIRIA Grouting for ground engineering (C514).</w:t>
      </w:r>
    </w:p>
    <w:p w14:paraId="1DE788A8" w14:textId="63710B5E" w:rsidR="00487C1E" w:rsidRPr="00D04502" w:rsidRDefault="00487C1E" w:rsidP="00E43135">
      <w:pPr>
        <w:pStyle w:val="Heading3"/>
      </w:pPr>
      <w:r w:rsidRPr="00D04502">
        <w:t>Geotechnical</w:t>
      </w:r>
      <w:r w:rsidR="00F113D0" w:rsidRPr="00D04502">
        <w:t xml:space="preserve"> </w:t>
      </w:r>
      <w:r w:rsidR="00401277">
        <w:t>n</w:t>
      </w:r>
      <w:r w:rsidR="00F113D0" w:rsidRPr="00D04502">
        <w:t xml:space="preserve">umerical </w:t>
      </w:r>
      <w:r w:rsidR="00401277">
        <w:t>a</w:t>
      </w:r>
      <w:r w:rsidR="00F113D0" w:rsidRPr="00D04502">
        <w:t>nalysis and SSI</w:t>
      </w:r>
    </w:p>
    <w:p w14:paraId="05E35433" w14:textId="34B48AC9" w:rsidR="007704AB" w:rsidRPr="00D04502" w:rsidRDefault="0019411B" w:rsidP="00344DD9">
      <w:pPr>
        <w:pStyle w:val="F9-Paragraph"/>
        <w:ind w:left="851" w:hanging="851"/>
      </w:pPr>
      <w:r w:rsidRPr="00D04502">
        <w:t xml:space="preserve">Good practice </w:t>
      </w:r>
      <w:r w:rsidR="007704AB" w:rsidRPr="00D04502">
        <w:t>for static</w:t>
      </w:r>
      <w:r w:rsidR="00401277">
        <w:t xml:space="preserve"> </w:t>
      </w:r>
      <w:r w:rsidR="007704AB" w:rsidRPr="00D04502">
        <w:t>/</w:t>
      </w:r>
      <w:r w:rsidR="00401277">
        <w:t xml:space="preserve"> </w:t>
      </w:r>
      <w:r w:rsidR="007704AB" w:rsidRPr="00D04502">
        <w:t xml:space="preserve">dynamic SSI is not well covered by standard codes or practice </w:t>
      </w:r>
      <w:r w:rsidR="003F2F30">
        <w:t>(for example,</w:t>
      </w:r>
      <w:r w:rsidR="007704AB" w:rsidRPr="00D04502">
        <w:t xml:space="preserve"> Eurocode 7). However, some guidance is provided in:</w:t>
      </w:r>
    </w:p>
    <w:p w14:paraId="7209671D" w14:textId="77777777" w:rsidR="00344DD9" w:rsidRPr="00D04502" w:rsidRDefault="00344DD9" w:rsidP="00344DD9">
      <w:pPr>
        <w:pStyle w:val="Bulletlist1"/>
        <w:ind w:left="1418" w:hanging="357"/>
      </w:pPr>
      <w:r w:rsidRPr="00D04502">
        <w:t>ETC-C code,</w:t>
      </w:r>
    </w:p>
    <w:p w14:paraId="6DC5B75F" w14:textId="77777777" w:rsidR="00344DD9" w:rsidRPr="00D04502" w:rsidRDefault="00344DD9" w:rsidP="00344DD9">
      <w:pPr>
        <w:pStyle w:val="Bulletlist1"/>
        <w:ind w:left="1418" w:hanging="357"/>
      </w:pPr>
      <w:r w:rsidRPr="00D04502">
        <w:t>NUREG-0800,</w:t>
      </w:r>
    </w:p>
    <w:p w14:paraId="5518B0D2" w14:textId="77777777" w:rsidR="00344DD9" w:rsidRPr="00D04502" w:rsidRDefault="00344DD9" w:rsidP="00344DD9">
      <w:pPr>
        <w:pStyle w:val="Bulletlist1"/>
        <w:ind w:left="1418" w:hanging="357"/>
      </w:pPr>
      <w:r w:rsidRPr="00D04502">
        <w:t>IAEA guidance NS-G-3.6,</w:t>
      </w:r>
    </w:p>
    <w:p w14:paraId="2F444520" w14:textId="77777777" w:rsidR="00344DD9" w:rsidRPr="00D04502" w:rsidRDefault="00344DD9" w:rsidP="00344DD9">
      <w:pPr>
        <w:pStyle w:val="Bulletlist1"/>
        <w:ind w:left="1418" w:hanging="357"/>
      </w:pPr>
      <w:r w:rsidRPr="00D04502">
        <w:t>IAEA Technical Document, IAEA-TECDOC-1990</w:t>
      </w:r>
    </w:p>
    <w:p w14:paraId="691CB87C" w14:textId="534F5D27" w:rsidR="00344DD9" w:rsidRPr="00D04502" w:rsidRDefault="00344DD9" w:rsidP="00344DD9">
      <w:pPr>
        <w:pStyle w:val="Bulletlist1"/>
        <w:ind w:left="1418" w:hanging="357"/>
      </w:pPr>
      <w:r w:rsidRPr="00D04502">
        <w:t>NAFEMS,</w:t>
      </w:r>
    </w:p>
    <w:p w14:paraId="0DDE616A" w14:textId="1A34C2F7" w:rsidR="00344DD9" w:rsidRPr="00D04502" w:rsidRDefault="00344DD9" w:rsidP="00344DD9">
      <w:pPr>
        <w:pStyle w:val="Bulletlist1"/>
        <w:ind w:left="1418" w:hanging="357"/>
      </w:pPr>
      <w:r w:rsidRPr="00D04502">
        <w:t>Wong, H.L., Luco, J. E., “Soil-Structure Interaction: A Linear Continuum Mechanical Approach (CLASSI),” Report CE, Department of Civil Engineering, University of Southern California, Los Angeles, CA, 1980</w:t>
      </w:r>
      <w:r w:rsidR="00C15EEE" w:rsidRPr="00D04502">
        <w:t xml:space="preserve"> </w:t>
      </w:r>
    </w:p>
    <w:p w14:paraId="3AA1E702" w14:textId="74C165BD" w:rsidR="00190B44" w:rsidRPr="00D04502" w:rsidRDefault="00190B44" w:rsidP="00E43135">
      <w:pPr>
        <w:pStyle w:val="Heading3"/>
      </w:pPr>
      <w:r w:rsidRPr="00D04502">
        <w:t xml:space="preserve">Foundation and </w:t>
      </w:r>
      <w:r w:rsidR="00401277">
        <w:t>s</w:t>
      </w:r>
      <w:r w:rsidRPr="00D04502">
        <w:t xml:space="preserve">ubsurface </w:t>
      </w:r>
      <w:r w:rsidR="00401277">
        <w:t>d</w:t>
      </w:r>
      <w:r w:rsidRPr="00D04502">
        <w:t>esign</w:t>
      </w:r>
    </w:p>
    <w:p w14:paraId="0409B3C4" w14:textId="3375CEEC" w:rsidR="004A0DBA" w:rsidRPr="00D04502" w:rsidRDefault="004A0DBA" w:rsidP="004A0DBA">
      <w:pPr>
        <w:pStyle w:val="F9-Paragraph"/>
        <w:numPr>
          <w:ilvl w:val="0"/>
          <w:numId w:val="0"/>
        </w:numPr>
        <w:ind w:left="851"/>
        <w:rPr>
          <w:b/>
          <w:bCs/>
        </w:rPr>
      </w:pPr>
      <w:r w:rsidRPr="00D04502">
        <w:rPr>
          <w:b/>
          <w:bCs/>
        </w:rPr>
        <w:t xml:space="preserve">Design and </w:t>
      </w:r>
      <w:r w:rsidR="00401277">
        <w:rPr>
          <w:b/>
          <w:bCs/>
        </w:rPr>
        <w:t>c</w:t>
      </w:r>
      <w:r w:rsidRPr="00D04502">
        <w:rPr>
          <w:b/>
          <w:bCs/>
        </w:rPr>
        <w:t xml:space="preserve">onstruction of </w:t>
      </w:r>
      <w:r w:rsidR="00401277">
        <w:rPr>
          <w:b/>
          <w:bCs/>
        </w:rPr>
        <w:t>f</w:t>
      </w:r>
      <w:r w:rsidRPr="00D04502">
        <w:rPr>
          <w:b/>
          <w:bCs/>
        </w:rPr>
        <w:t>oundations</w:t>
      </w:r>
    </w:p>
    <w:p w14:paraId="52E06F67" w14:textId="77777777" w:rsidR="00F50D14" w:rsidRPr="00D04502" w:rsidRDefault="00F50D14" w:rsidP="004A0DBA">
      <w:pPr>
        <w:pStyle w:val="F9-Paragraph"/>
        <w:ind w:left="851" w:hanging="851"/>
      </w:pPr>
      <w:r w:rsidRPr="00D04502">
        <w:t>The following minimum standards apply to the design and construction of foundations and sub-surface structures:</w:t>
      </w:r>
    </w:p>
    <w:p w14:paraId="071E9332" w14:textId="77777777" w:rsidR="00F50D14" w:rsidRPr="00D04502" w:rsidRDefault="00F50D14" w:rsidP="00F50D14">
      <w:pPr>
        <w:pStyle w:val="Bulletlist1"/>
        <w:ind w:left="1418" w:hanging="357"/>
      </w:pPr>
      <w:r w:rsidRPr="00D04502">
        <w:t>ACI349 Code Requirements for Nuclear Safety Related Concrete structures and commentary (ACI 349-13),</w:t>
      </w:r>
    </w:p>
    <w:p w14:paraId="3B01914C" w14:textId="77777777" w:rsidR="00F50D14" w:rsidRPr="00D04502" w:rsidRDefault="00F50D14" w:rsidP="00F50D14">
      <w:pPr>
        <w:pStyle w:val="Bulletlist1"/>
        <w:ind w:left="1418" w:hanging="357"/>
      </w:pPr>
      <w:r w:rsidRPr="00D04502">
        <w:t>EN1992-1-1 and EN1992-2, Eurocode 2: Design of concrete structures,</w:t>
      </w:r>
    </w:p>
    <w:p w14:paraId="462FE9ED" w14:textId="77777777" w:rsidR="00F50D14" w:rsidRPr="00D04502" w:rsidRDefault="00F50D14" w:rsidP="00F50D14">
      <w:pPr>
        <w:pStyle w:val="Bulletlist1"/>
        <w:ind w:left="1418" w:hanging="357"/>
      </w:pPr>
      <w:r w:rsidRPr="00D04502">
        <w:t>EN206, Concrete. Specification, performance, production and conformity,</w:t>
      </w:r>
    </w:p>
    <w:p w14:paraId="372DF05B" w14:textId="77777777" w:rsidR="00F50D14" w:rsidRPr="00D04502" w:rsidRDefault="00F50D14" w:rsidP="00F50D14">
      <w:pPr>
        <w:pStyle w:val="Bulletlist1"/>
        <w:ind w:left="1418" w:hanging="357"/>
      </w:pPr>
      <w:r w:rsidRPr="00D04502">
        <w:t>BS 8500-1:2015+A2:2019 , Concrete. Method of specifying and guidance for the specifier,</w:t>
      </w:r>
    </w:p>
    <w:p w14:paraId="786AA2EE" w14:textId="77777777" w:rsidR="00F50D14" w:rsidRPr="00D04502" w:rsidRDefault="00F50D14" w:rsidP="00F50D14">
      <w:pPr>
        <w:pStyle w:val="Bulletlist1"/>
        <w:ind w:left="1418" w:hanging="357"/>
      </w:pPr>
      <w:r w:rsidRPr="00D04502">
        <w:t>CIRIA C766, ‘Control of cracking caused by restrained deformation in concrete’</w:t>
      </w:r>
    </w:p>
    <w:p w14:paraId="2DF9766E" w14:textId="77777777" w:rsidR="00F50D14" w:rsidRPr="00D04502" w:rsidRDefault="00F50D14" w:rsidP="00F50D14">
      <w:pPr>
        <w:pStyle w:val="Bulletlist1"/>
        <w:ind w:left="1418" w:hanging="357"/>
      </w:pPr>
      <w:r w:rsidRPr="00D04502">
        <w:t>HSE RR319 – ‘Safer foundations by design (buildability)’,</w:t>
      </w:r>
    </w:p>
    <w:p w14:paraId="56411813" w14:textId="77777777" w:rsidR="00F50D14" w:rsidRPr="00D04502" w:rsidRDefault="00F50D14" w:rsidP="00F50D14">
      <w:pPr>
        <w:pStyle w:val="Bulletlist1"/>
        <w:ind w:left="1418" w:hanging="357"/>
      </w:pPr>
      <w:r w:rsidRPr="00D04502">
        <w:t>‘IStructE manual on detailing reinforcement’,</w:t>
      </w:r>
    </w:p>
    <w:p w14:paraId="1A4580FF" w14:textId="77777777" w:rsidR="00F50D14" w:rsidRPr="00D04502" w:rsidRDefault="00F50D14" w:rsidP="00F50D14">
      <w:pPr>
        <w:pStyle w:val="Bulletlist1"/>
        <w:ind w:left="1418" w:hanging="357"/>
      </w:pPr>
      <w:r w:rsidRPr="00D04502">
        <w:lastRenderedPageBreak/>
        <w:t>The Concrete Society ‘Concrete Advice 25 – Large volume concrete pours’.</w:t>
      </w:r>
    </w:p>
    <w:p w14:paraId="57085CCC" w14:textId="54848086" w:rsidR="004A0DBA" w:rsidRPr="00D04502" w:rsidRDefault="004A0DBA" w:rsidP="004A0DBA">
      <w:pPr>
        <w:pStyle w:val="F9-Paragraph"/>
        <w:numPr>
          <w:ilvl w:val="0"/>
          <w:numId w:val="0"/>
        </w:numPr>
        <w:ind w:left="851"/>
        <w:rPr>
          <w:b/>
          <w:bCs/>
        </w:rPr>
      </w:pPr>
      <w:r w:rsidRPr="00D04502">
        <w:rPr>
          <w:b/>
          <w:bCs/>
        </w:rPr>
        <w:t>Reinforcement</w:t>
      </w:r>
    </w:p>
    <w:p w14:paraId="788FF394" w14:textId="77777777" w:rsidR="00116107" w:rsidRPr="00D04502" w:rsidRDefault="00116107" w:rsidP="00116107">
      <w:pPr>
        <w:pStyle w:val="Bulletlist1"/>
        <w:ind w:left="1418" w:hanging="357"/>
      </w:pPr>
      <w:r w:rsidRPr="00D04502">
        <w:t>BS 4449:2005 +A3:2016 - Steel for the reinforcement of concrete - Weldable reinforcing steel - Bar, coil and decoiled product – Specification,</w:t>
      </w:r>
    </w:p>
    <w:p w14:paraId="45805C9E" w14:textId="77777777" w:rsidR="00116107" w:rsidRPr="00D04502" w:rsidRDefault="00116107" w:rsidP="00116107">
      <w:pPr>
        <w:pStyle w:val="Bulletlist1"/>
        <w:ind w:left="1418" w:hanging="357"/>
      </w:pPr>
      <w:r w:rsidRPr="00D04502">
        <w:t>BS 7973–1:2001 - Spacers and chairs for steel reinforcement and their specification. Part 1 - Product performance requirements. Part 2 - Fixing and application of spacers and chairs and tying of reinforcement,</w:t>
      </w:r>
    </w:p>
    <w:p w14:paraId="686DE9F2" w14:textId="77777777" w:rsidR="00116107" w:rsidRPr="00D04502" w:rsidRDefault="00116107" w:rsidP="00116107">
      <w:pPr>
        <w:pStyle w:val="Bulletlist1"/>
        <w:ind w:left="1418" w:hanging="357"/>
      </w:pPr>
      <w:r w:rsidRPr="00D04502">
        <w:t>BS8000-2.2 - workmanship on building sites – in-situ and pre-cast concrete,</w:t>
      </w:r>
    </w:p>
    <w:p w14:paraId="5BB4CCDE" w14:textId="77777777" w:rsidR="00116107" w:rsidRPr="00D04502" w:rsidRDefault="00116107" w:rsidP="00116107">
      <w:pPr>
        <w:pStyle w:val="Bulletlist1"/>
        <w:ind w:left="1418" w:hanging="357"/>
      </w:pPr>
      <w:r w:rsidRPr="00D04502">
        <w:t>BS8666:2005 - Scheduling, dimensioning, bending and cutting of steel reinforcement for concrete – Specification,</w:t>
      </w:r>
    </w:p>
    <w:p w14:paraId="42244654" w14:textId="77777777" w:rsidR="00116107" w:rsidRPr="00D04502" w:rsidRDefault="00116107" w:rsidP="00116107">
      <w:pPr>
        <w:pStyle w:val="Bulletlist1"/>
        <w:ind w:left="1418" w:hanging="357"/>
      </w:pPr>
      <w:r w:rsidRPr="00D04502">
        <w:t>BS EN ISO 17660:2006 Welding of Reinforcing Steel : Part 1- Load-bearing welded joints; Part 2 - Non load-bearing welded joints,</w:t>
      </w:r>
    </w:p>
    <w:p w14:paraId="04AACAA7" w14:textId="77777777" w:rsidR="00116107" w:rsidRPr="00D04502" w:rsidRDefault="00116107" w:rsidP="00116107">
      <w:pPr>
        <w:pStyle w:val="Bulletlist1"/>
        <w:ind w:left="1418" w:hanging="357"/>
      </w:pPr>
      <w:r w:rsidRPr="00D04502">
        <w:t>CIRIA SP118 (1995) - Steel Reinforcement – a handbook for young construction professionals ISBN 978-0-86017-418-9,</w:t>
      </w:r>
    </w:p>
    <w:p w14:paraId="272D1CBF" w14:textId="66D1D022" w:rsidR="00116107" w:rsidRPr="00D04502" w:rsidRDefault="00116107" w:rsidP="00116107">
      <w:pPr>
        <w:pStyle w:val="Bulletlist1"/>
        <w:ind w:left="1418" w:hanging="357"/>
      </w:pPr>
      <w:r w:rsidRPr="00D04502">
        <w:t>Concrete Society - Concrete on site 2 – Reinforcement,</w:t>
      </w:r>
    </w:p>
    <w:p w14:paraId="08B48815" w14:textId="77777777" w:rsidR="00116107" w:rsidRPr="00D04502" w:rsidRDefault="00116107" w:rsidP="00116107">
      <w:pPr>
        <w:pStyle w:val="Bulletlist1"/>
        <w:ind w:left="1418" w:hanging="357"/>
      </w:pPr>
      <w:r w:rsidRPr="00D04502">
        <w:t>IStructE - Standard method of detailing structural concrete (Third Edition) June 2006 and associated Technical Guidance Notes.</w:t>
      </w:r>
    </w:p>
    <w:p w14:paraId="48FB2624" w14:textId="35FB36DC" w:rsidR="00250EB7" w:rsidRPr="00D04502" w:rsidRDefault="00250EB7" w:rsidP="00E43135">
      <w:pPr>
        <w:pStyle w:val="Heading3"/>
      </w:pPr>
      <w:r w:rsidRPr="00D04502">
        <w:t xml:space="preserve">Piled </w:t>
      </w:r>
      <w:r w:rsidR="00401277">
        <w:t>f</w:t>
      </w:r>
      <w:r w:rsidRPr="00D04502">
        <w:t>oundations</w:t>
      </w:r>
    </w:p>
    <w:p w14:paraId="00530DC6" w14:textId="77777777" w:rsidR="00F45E5F" w:rsidRPr="00D04502" w:rsidRDefault="00F45E5F" w:rsidP="00F45E5F">
      <w:pPr>
        <w:pStyle w:val="F9-Paragraph"/>
        <w:ind w:left="851" w:hanging="851"/>
      </w:pPr>
      <w:r w:rsidRPr="00D04502">
        <w:t>The following minimum standards apply to the design and construction of piles:</w:t>
      </w:r>
    </w:p>
    <w:p w14:paraId="0D4406BA" w14:textId="77777777" w:rsidR="00F45E5F" w:rsidRPr="00D04502" w:rsidRDefault="00F45E5F" w:rsidP="00F45E5F">
      <w:pPr>
        <w:pStyle w:val="Bulletlist1"/>
        <w:ind w:left="1418" w:hanging="357"/>
      </w:pPr>
      <w:r w:rsidRPr="00D04502">
        <w:t>Eurocode BSEN  1997-1 and BSEN 1992-1,</w:t>
      </w:r>
    </w:p>
    <w:p w14:paraId="05C2BDFB" w14:textId="77777777" w:rsidR="00F45E5F" w:rsidRPr="00D04502" w:rsidRDefault="00F45E5F" w:rsidP="00F45E5F">
      <w:pPr>
        <w:pStyle w:val="Bulletlist1"/>
        <w:ind w:left="1418" w:hanging="357"/>
      </w:pPr>
      <w:r w:rsidRPr="00D04502">
        <w:t>ICE Specification for piling and retaining walls,</w:t>
      </w:r>
    </w:p>
    <w:p w14:paraId="1AFEEEB7" w14:textId="77777777" w:rsidR="00F45E5F" w:rsidRPr="00D04502" w:rsidRDefault="00F45E5F" w:rsidP="00F45E5F">
      <w:pPr>
        <w:pStyle w:val="Bulletlist1"/>
        <w:ind w:left="1418" w:hanging="357"/>
      </w:pPr>
      <w:r w:rsidRPr="00D04502">
        <w:t>Thomas Telford ISBN  9780 7277 33580.</w:t>
      </w:r>
    </w:p>
    <w:p w14:paraId="411890F7" w14:textId="77777777" w:rsidR="00F45E5F" w:rsidRPr="00D04502" w:rsidRDefault="00F45E5F" w:rsidP="00F45E5F">
      <w:pPr>
        <w:pStyle w:val="F9-Paragraph"/>
        <w:ind w:left="851" w:hanging="851"/>
      </w:pPr>
      <w:r w:rsidRPr="00D04502">
        <w:t>Generally these standards are not specific to the nuclear industry and should form the minimum applied. In general, these are suitable for construction forming Class 3 SSCs. For higher classifications enhancements to these standards are expected.</w:t>
      </w:r>
    </w:p>
    <w:p w14:paraId="34983FDD" w14:textId="77777777" w:rsidR="00401277" w:rsidRDefault="00401277" w:rsidP="00E43135">
      <w:pPr>
        <w:pStyle w:val="Heading3"/>
        <w:sectPr w:rsidR="00401277">
          <w:pgSz w:w="11906" w:h="16838"/>
          <w:pgMar w:top="1440" w:right="1440" w:bottom="1440" w:left="1440" w:header="708" w:footer="708" w:gutter="0"/>
          <w:cols w:space="708"/>
          <w:docGrid w:linePitch="360"/>
        </w:sectPr>
      </w:pPr>
    </w:p>
    <w:p w14:paraId="745172B4" w14:textId="6AB9BFF7" w:rsidR="00C9226E" w:rsidRPr="00D04502" w:rsidRDefault="00C9226E" w:rsidP="00E43135">
      <w:pPr>
        <w:pStyle w:val="Heading3"/>
      </w:pPr>
      <w:r w:rsidRPr="00D04502">
        <w:lastRenderedPageBreak/>
        <w:t xml:space="preserve">Underground </w:t>
      </w:r>
      <w:r w:rsidR="00401277">
        <w:t>s</w:t>
      </w:r>
      <w:r w:rsidRPr="00D04502">
        <w:t>tructures</w:t>
      </w:r>
    </w:p>
    <w:p w14:paraId="351ED90C" w14:textId="77777777" w:rsidR="00A30C61" w:rsidRPr="00D04502" w:rsidRDefault="00A30C61" w:rsidP="00A30C61">
      <w:pPr>
        <w:pStyle w:val="F9-Paragraph"/>
        <w:ind w:left="851" w:hanging="851"/>
      </w:pPr>
      <w:r w:rsidRPr="00D04502">
        <w:t>International and British design standards relating to underground structures:</w:t>
      </w:r>
    </w:p>
    <w:p w14:paraId="7B7980F7" w14:textId="77777777" w:rsidR="00A30C61" w:rsidRPr="00D04502" w:rsidRDefault="00A30C61" w:rsidP="00A30C61">
      <w:pPr>
        <w:pStyle w:val="Bulletlist1"/>
        <w:ind w:left="1418" w:hanging="357"/>
      </w:pPr>
      <w:r w:rsidRPr="00D04502">
        <w:t>Eurocodes:</w:t>
      </w:r>
    </w:p>
    <w:p w14:paraId="7F557B3D" w14:textId="77777777" w:rsidR="00A30C61" w:rsidRPr="00D04502" w:rsidRDefault="00A30C61" w:rsidP="00A30C61">
      <w:pPr>
        <w:pStyle w:val="Bulletlist2"/>
        <w:rPr>
          <w:lang w:val="fr-FR"/>
        </w:rPr>
      </w:pPr>
      <w:r w:rsidRPr="00D04502">
        <w:rPr>
          <w:lang w:val="fr-FR"/>
        </w:rPr>
        <w:t>BS EN 1991 - Actions on structures,</w:t>
      </w:r>
    </w:p>
    <w:p w14:paraId="0D65C894" w14:textId="77777777" w:rsidR="00A30C61" w:rsidRPr="00D04502" w:rsidRDefault="00A30C61" w:rsidP="00A30C61">
      <w:pPr>
        <w:pStyle w:val="Bulletlist2"/>
      </w:pPr>
      <w:r w:rsidRPr="00D04502">
        <w:t>BS EN 1992 - Design of concrete structures,</w:t>
      </w:r>
    </w:p>
    <w:p w14:paraId="14CC7B28" w14:textId="77777777" w:rsidR="00A30C61" w:rsidRPr="00D04502" w:rsidRDefault="00A30C61" w:rsidP="00A30C61">
      <w:pPr>
        <w:pStyle w:val="Bulletlist2"/>
      </w:pPr>
      <w:r w:rsidRPr="00D04502">
        <w:t xml:space="preserve">BS EN 1997-1: 2004: Eurocode 7 – Geotechnical design. General rules. </w:t>
      </w:r>
    </w:p>
    <w:p w14:paraId="039D7983" w14:textId="77777777" w:rsidR="00A30C61" w:rsidRPr="00D04502" w:rsidRDefault="00A30C61" w:rsidP="00A30C61">
      <w:pPr>
        <w:pStyle w:val="Bulletlist1"/>
        <w:ind w:left="1418" w:hanging="357"/>
      </w:pPr>
      <w:r w:rsidRPr="00D04502">
        <w:t>CIRIA C750D, Groundwater control – design and practice, 2016,</w:t>
      </w:r>
    </w:p>
    <w:p w14:paraId="4B4B511C" w14:textId="77777777" w:rsidR="00A30C61" w:rsidRPr="00D04502" w:rsidRDefault="00A30C61" w:rsidP="00A30C61">
      <w:pPr>
        <w:pStyle w:val="Bulletlist1"/>
        <w:ind w:left="1418" w:hanging="357"/>
      </w:pPr>
      <w:r w:rsidRPr="00D04502">
        <w:t>CIRIA R139D - Water resisting basements - a guide. Safeguarding new and existing basements against water and dampness, 1995,</w:t>
      </w:r>
    </w:p>
    <w:p w14:paraId="237373B1" w14:textId="77777777" w:rsidR="00A30C61" w:rsidRPr="00D04502" w:rsidRDefault="00A30C61" w:rsidP="00A30C61">
      <w:pPr>
        <w:pStyle w:val="Bulletlist1"/>
        <w:ind w:left="1418" w:hanging="357"/>
      </w:pPr>
      <w:r w:rsidRPr="00D04502">
        <w:t>BRE SD1 – Concrete in aggressive ground, 2005.</w:t>
      </w:r>
    </w:p>
    <w:p w14:paraId="1F2A22F2" w14:textId="7C909B1C" w:rsidR="00A30C61" w:rsidRPr="00D04502" w:rsidRDefault="00A30C61" w:rsidP="00A30C61">
      <w:pPr>
        <w:pStyle w:val="F9-Paragraph"/>
        <w:ind w:left="851" w:hanging="851"/>
      </w:pPr>
      <w:r w:rsidRPr="00D04502">
        <w:t xml:space="preserve">Industrial </w:t>
      </w:r>
      <w:r w:rsidR="00401277">
        <w:t>g</w:t>
      </w:r>
      <w:r w:rsidRPr="00D04502">
        <w:t>uidance relating to underground structures:</w:t>
      </w:r>
    </w:p>
    <w:p w14:paraId="2E8B68FE" w14:textId="77777777" w:rsidR="00A30C61" w:rsidRPr="00D04502" w:rsidRDefault="00A30C61" w:rsidP="00A30C61">
      <w:pPr>
        <w:pStyle w:val="Bulletlist1"/>
        <w:ind w:left="1418" w:hanging="357"/>
      </w:pPr>
      <w:r w:rsidRPr="00D04502">
        <w:t>International Tunnelling Association (ITA), Seismic design and analysis of underground structures, Tunnelling and Underground Space Technology 16, ITA, ITA, 2001. pp. 247-293, 2001,</w:t>
      </w:r>
    </w:p>
    <w:p w14:paraId="3547B243" w14:textId="7C59426B" w:rsidR="00A30C61" w:rsidRPr="00D04502" w:rsidRDefault="00A30C61" w:rsidP="00A30C61">
      <w:pPr>
        <w:pStyle w:val="Bulletlist1"/>
        <w:ind w:left="1418" w:hanging="357"/>
      </w:pPr>
      <w:r w:rsidRPr="00D04502">
        <w:t>BD31 – Design of Buried Concrete Box and Portal Frame Structures, Design Manual for Roads and Bridges.</w:t>
      </w:r>
    </w:p>
    <w:p w14:paraId="6BD2C4C4" w14:textId="64C7EF5B" w:rsidR="00FB3A1B" w:rsidRPr="00D04502" w:rsidRDefault="00FB3A1B" w:rsidP="00E43135">
      <w:pPr>
        <w:pStyle w:val="Heading3"/>
      </w:pPr>
      <w:r w:rsidRPr="00D04502">
        <w:t xml:space="preserve">Below </w:t>
      </w:r>
      <w:r w:rsidR="00401277">
        <w:t>g</w:t>
      </w:r>
      <w:r w:rsidRPr="00D04502">
        <w:t xml:space="preserve">round </w:t>
      </w:r>
      <w:r w:rsidR="00401277">
        <w:t>d</w:t>
      </w:r>
      <w:r w:rsidR="007F7B63" w:rsidRPr="00D04502">
        <w:t xml:space="preserve">rainage, </w:t>
      </w:r>
      <w:r w:rsidR="00401277">
        <w:t>t</w:t>
      </w:r>
      <w:r w:rsidR="007F7B63" w:rsidRPr="00D04502">
        <w:t xml:space="preserve">anks and </w:t>
      </w:r>
      <w:r w:rsidR="00401277">
        <w:t>d</w:t>
      </w:r>
      <w:r w:rsidR="007F7B63" w:rsidRPr="00D04502">
        <w:t>ucts</w:t>
      </w:r>
    </w:p>
    <w:p w14:paraId="2E4DE2AB" w14:textId="77777777" w:rsidR="00EE0156" w:rsidRPr="00D04502" w:rsidRDefault="00EE0156" w:rsidP="00EE0156">
      <w:pPr>
        <w:pStyle w:val="F9-Paragraph"/>
        <w:ind w:left="851" w:hanging="851"/>
      </w:pPr>
      <w:r w:rsidRPr="00D04502">
        <w:t>International guidance (IAEA, WENRA and NUREG)</w:t>
      </w:r>
    </w:p>
    <w:p w14:paraId="7CFD7C48" w14:textId="77777777" w:rsidR="00EE0156" w:rsidRPr="00D04502" w:rsidRDefault="00EE0156" w:rsidP="00EE0156">
      <w:pPr>
        <w:pStyle w:val="Bulletlist1"/>
        <w:ind w:left="1418" w:hanging="357"/>
      </w:pPr>
      <w:r w:rsidRPr="00D04502">
        <w:t xml:space="preserve">IAEA document NP-T-3.20 Buried and Underground Piping and Tank Ageing Management for Nuclear Power Plants (2018) provides useful background information on both design and maintenance of buried piping systems as well as repair techniques. </w:t>
      </w:r>
    </w:p>
    <w:p w14:paraId="2395BEE8" w14:textId="77777777" w:rsidR="00EE0156" w:rsidRPr="00D04502" w:rsidRDefault="00EE0156" w:rsidP="00EE0156">
      <w:pPr>
        <w:pStyle w:val="F9-Paragraph"/>
        <w:ind w:left="851" w:hanging="851"/>
      </w:pPr>
      <w:r w:rsidRPr="00D04502">
        <w:t xml:space="preserve">International and British Standards relating to below ground drainage, tanks and ducts: </w:t>
      </w:r>
    </w:p>
    <w:p w14:paraId="4C4E0F12" w14:textId="7AA39294" w:rsidR="00EE0156" w:rsidRPr="00D04502" w:rsidRDefault="00EE0156" w:rsidP="00EE0156">
      <w:pPr>
        <w:pStyle w:val="Bulletlist1"/>
        <w:ind w:left="1418" w:hanging="357"/>
      </w:pPr>
      <w:r w:rsidRPr="00D04502">
        <w:t>CIRIA C753, The SuDS Manual, December 2015</w:t>
      </w:r>
      <w:r w:rsidRPr="00D04502">
        <w:br/>
        <w:t>Note: many utility companies have their own standard technical specifications and designs which vary depending on region.</w:t>
      </w:r>
    </w:p>
    <w:p w14:paraId="69A50FB6" w14:textId="77777777" w:rsidR="00EE0156" w:rsidRPr="00D04502" w:rsidRDefault="00EE0156" w:rsidP="00EE0156">
      <w:pPr>
        <w:pStyle w:val="F9-Paragraph"/>
        <w:ind w:left="851" w:hanging="851"/>
      </w:pPr>
      <w:r w:rsidRPr="00D04502">
        <w:t>Industry Guidance relating to drainage:</w:t>
      </w:r>
    </w:p>
    <w:p w14:paraId="7C58A1B7" w14:textId="77777777" w:rsidR="00EE0156" w:rsidRPr="00D04502" w:rsidRDefault="00EE0156" w:rsidP="00EE0156">
      <w:pPr>
        <w:pStyle w:val="Bulletlist1"/>
        <w:ind w:left="1418" w:hanging="357"/>
      </w:pPr>
      <w:r w:rsidRPr="00D04502">
        <w:t>Civil Engineering Specification for the Water Industry (CESWI) 7th Edition, March 2011 + Associated Addendums,</w:t>
      </w:r>
    </w:p>
    <w:p w14:paraId="6F40D932" w14:textId="77777777" w:rsidR="00EE0156" w:rsidRPr="00D04502" w:rsidRDefault="00EE0156" w:rsidP="00EE0156">
      <w:pPr>
        <w:pStyle w:val="Bulletlist1"/>
        <w:ind w:left="1418" w:hanging="357"/>
      </w:pPr>
      <w:r w:rsidRPr="00D04502">
        <w:t>Sewers for Adoption 7th Edition A Design &amp; Construction Guide for Developer, September 2012.</w:t>
      </w:r>
    </w:p>
    <w:p w14:paraId="5C3DBF8C" w14:textId="4A91C2AC" w:rsidR="00813E37" w:rsidRPr="00D04502" w:rsidRDefault="0050599C" w:rsidP="00E43135">
      <w:pPr>
        <w:pStyle w:val="Heading3"/>
      </w:pPr>
      <w:r w:rsidRPr="00D04502">
        <w:lastRenderedPageBreak/>
        <w:t>Tunnelling</w:t>
      </w:r>
    </w:p>
    <w:p w14:paraId="559D119C" w14:textId="77777777" w:rsidR="00976443" w:rsidRPr="00D04502" w:rsidRDefault="00976443" w:rsidP="00976443">
      <w:pPr>
        <w:pStyle w:val="F9-Paragraph"/>
        <w:ind w:left="851" w:hanging="851"/>
      </w:pPr>
      <w:r w:rsidRPr="00D04502">
        <w:t>International and British Standards relating to tunnelling:</w:t>
      </w:r>
    </w:p>
    <w:p w14:paraId="05B970E1" w14:textId="77777777" w:rsidR="00976443" w:rsidRPr="00D04502" w:rsidRDefault="00976443" w:rsidP="00976443">
      <w:pPr>
        <w:pStyle w:val="Bulletlist1"/>
        <w:ind w:left="1418" w:hanging="357"/>
      </w:pPr>
      <w:r w:rsidRPr="00D04502">
        <w:t>US Army Corps Of Engineers (USCE), EM_1110-2-2901, Engineering and Design – Tunnel and Shafts in Rock, 1997,</w:t>
      </w:r>
    </w:p>
    <w:p w14:paraId="362C2E19" w14:textId="77777777" w:rsidR="00976443" w:rsidRPr="00D04502" w:rsidRDefault="00976443" w:rsidP="00976443">
      <w:pPr>
        <w:pStyle w:val="Bulletlist1"/>
        <w:ind w:left="1418" w:hanging="357"/>
      </w:pPr>
      <w:r w:rsidRPr="00D04502">
        <w:t>BS 6164:2011 Code of practice for health and safety in tunnelling in the construction industry,</w:t>
      </w:r>
    </w:p>
    <w:p w14:paraId="57F13E10" w14:textId="77777777" w:rsidR="00976443" w:rsidRPr="00D04502" w:rsidRDefault="00976443" w:rsidP="00976443">
      <w:pPr>
        <w:pStyle w:val="Bulletlist1"/>
        <w:ind w:left="1418" w:hanging="357"/>
      </w:pPr>
      <w:r w:rsidRPr="00D04502">
        <w:t>CIRIA C671 -Tunnels: inspection, assessment and maintenance, 2010,</w:t>
      </w:r>
    </w:p>
    <w:p w14:paraId="5CE6C281" w14:textId="77777777" w:rsidR="00976443" w:rsidRPr="00D04502" w:rsidRDefault="00976443" w:rsidP="00976443">
      <w:pPr>
        <w:pStyle w:val="Bulletlist1"/>
        <w:ind w:left="1418" w:hanging="357"/>
      </w:pPr>
      <w:r w:rsidRPr="00D04502">
        <w:t>The Tunnel Lining Design Guide 2004 published by the British Tunnelling Society,</w:t>
      </w:r>
    </w:p>
    <w:p w14:paraId="1BC0AEC6" w14:textId="7A8C4FBF" w:rsidR="00976443" w:rsidRPr="00D04502" w:rsidRDefault="00976443" w:rsidP="00976443">
      <w:pPr>
        <w:pStyle w:val="Bulletlist1"/>
        <w:ind w:left="1418" w:hanging="357"/>
      </w:pPr>
      <w:r w:rsidRPr="00D04502">
        <w:t xml:space="preserve">‘Seismic Design of Tunnels: a simple state of the art design approach’, </w:t>
      </w:r>
    </w:p>
    <w:p w14:paraId="49FDA896" w14:textId="68216D77" w:rsidR="00976443" w:rsidRPr="00D04502" w:rsidRDefault="00976443" w:rsidP="00976443">
      <w:pPr>
        <w:pStyle w:val="Bulletlist1"/>
        <w:ind w:left="1418" w:hanging="357"/>
      </w:pPr>
      <w:r w:rsidRPr="00D04502">
        <w:t>Civil Engineering Database ‘Earthquake design criteria for subways’,</w:t>
      </w:r>
    </w:p>
    <w:p w14:paraId="23396759" w14:textId="77777777" w:rsidR="00976443" w:rsidRPr="00D04502" w:rsidRDefault="00976443" w:rsidP="00976443">
      <w:pPr>
        <w:pStyle w:val="Bulletlist1"/>
        <w:ind w:left="1418" w:hanging="357"/>
      </w:pPr>
      <w:r w:rsidRPr="00D04502">
        <w:t>International Tunnelling Association (ITA), Seismic design and analysis of underground structures, Tunnelling and Underground Space Technology 16, ITA, ITA, 2001. pp. 247-293, 2001.</w:t>
      </w:r>
    </w:p>
    <w:p w14:paraId="6C3E878A" w14:textId="77777777" w:rsidR="00976443" w:rsidRPr="00D04502" w:rsidRDefault="00976443" w:rsidP="00976443">
      <w:pPr>
        <w:pStyle w:val="F9-Paragraph"/>
        <w:ind w:left="851" w:hanging="851"/>
      </w:pPr>
      <w:r w:rsidRPr="00D04502">
        <w:t>Industry Guidance relating to tunnelling:</w:t>
      </w:r>
    </w:p>
    <w:p w14:paraId="35E29A8A" w14:textId="77777777" w:rsidR="00976443" w:rsidRPr="00D04502" w:rsidRDefault="00976443" w:rsidP="00401277">
      <w:pPr>
        <w:pStyle w:val="Bulletlist1"/>
        <w:ind w:left="1418"/>
      </w:pPr>
      <w:r w:rsidRPr="00D04502">
        <w:t>British Tunnelling Society (BTS), Specification for Tunnelling, Third edition, Thomas Telford Books, 2010,</w:t>
      </w:r>
    </w:p>
    <w:p w14:paraId="514F7F11" w14:textId="77777777" w:rsidR="00976443" w:rsidRPr="00D04502" w:rsidRDefault="00976443" w:rsidP="00401277">
      <w:pPr>
        <w:pStyle w:val="Bulletlist1"/>
        <w:ind w:left="1418"/>
      </w:pPr>
      <w:r w:rsidRPr="00D04502">
        <w:t>British Tunnelling Society (BTS), Tunnel Lining Design Guide, Thomas Telford Books, 2004,</w:t>
      </w:r>
    </w:p>
    <w:p w14:paraId="71CA8E55" w14:textId="77777777" w:rsidR="00976443" w:rsidRPr="00D04502" w:rsidRDefault="00976443" w:rsidP="00401277">
      <w:pPr>
        <w:pStyle w:val="Bulletlist1"/>
        <w:ind w:left="1418"/>
      </w:pPr>
      <w:r w:rsidRPr="00D04502">
        <w:t>British Tunnelling Society (BTS), Monitoring Underground Construction – A best practice guide, 2011.</w:t>
      </w:r>
    </w:p>
    <w:p w14:paraId="07FC559B" w14:textId="77777777" w:rsidR="004A0DBA" w:rsidRPr="00D04502" w:rsidRDefault="004A0DBA" w:rsidP="004A0DBA">
      <w:pPr>
        <w:pStyle w:val="F9-Paragraph"/>
        <w:numPr>
          <w:ilvl w:val="0"/>
          <w:numId w:val="0"/>
        </w:numPr>
        <w:ind w:left="851"/>
        <w:rPr>
          <w:b/>
          <w:bCs/>
        </w:rPr>
      </w:pPr>
    </w:p>
    <w:p w14:paraId="6F93BDA8" w14:textId="77777777" w:rsidR="007529DE" w:rsidRPr="00D04502" w:rsidRDefault="007529DE" w:rsidP="007529DE"/>
    <w:p w14:paraId="4AC84A4A" w14:textId="77777777" w:rsidR="004948D2" w:rsidRPr="00D04502" w:rsidRDefault="004948D2" w:rsidP="004948D2"/>
    <w:p w14:paraId="13227EBA" w14:textId="77777777" w:rsidR="00BD091A" w:rsidRPr="00D04502" w:rsidRDefault="00BD091A" w:rsidP="00BD091A">
      <w:pPr>
        <w:pStyle w:val="F9-Paragraph"/>
        <w:numPr>
          <w:ilvl w:val="0"/>
          <w:numId w:val="0"/>
        </w:numPr>
        <w:ind w:left="851"/>
        <w:rPr>
          <w:rFonts w:eastAsia="Calibri"/>
        </w:rPr>
      </w:pPr>
    </w:p>
    <w:p w14:paraId="1A0D7D67" w14:textId="77777777" w:rsidR="00124963" w:rsidRPr="00D04502" w:rsidRDefault="00124963" w:rsidP="00124963"/>
    <w:p w14:paraId="7A16478E" w14:textId="1010A61B" w:rsidR="007371D7" w:rsidRPr="00D04502" w:rsidRDefault="007371D7" w:rsidP="007371D7">
      <w:pPr>
        <w:pStyle w:val="F9-Paragraph"/>
        <w:numPr>
          <w:ilvl w:val="0"/>
          <w:numId w:val="0"/>
        </w:numPr>
        <w:ind w:left="5606" w:hanging="360"/>
        <w:rPr>
          <w:rtl/>
        </w:rPr>
        <w:sectPr w:rsidR="007371D7" w:rsidRPr="00D04502">
          <w:pgSz w:w="11906" w:h="16838"/>
          <w:pgMar w:top="1440" w:right="1440" w:bottom="1440" w:left="1440" w:header="708" w:footer="708" w:gutter="0"/>
          <w:cols w:space="708"/>
          <w:docGrid w:linePitch="360"/>
        </w:sectPr>
      </w:pPr>
    </w:p>
    <w:bookmarkEnd w:id="12" w:displacedByCustomXml="next"/>
    <w:bookmarkEnd w:id="11" w:displacedByCustomXml="next"/>
    <w:bookmarkEnd w:id="10" w:displacedByCustomXml="next"/>
    <w:bookmarkEnd w:id="9" w:displacedByCustomXml="next"/>
    <w:bookmarkEnd w:id="8" w:displacedByCustomXml="next"/>
    <w:bookmarkEnd w:id="7" w:displacedByCustomXml="next"/>
    <w:bookmarkStart w:id="32" w:name="_Toc234832906" w:displacedByCustomXml="next"/>
    <w:sdt>
      <w:sdtPr>
        <w:id w:val="-1256817416"/>
        <w:docPartObj>
          <w:docPartGallery w:val="Bibliographies"/>
          <w:docPartUnique/>
        </w:docPartObj>
      </w:sdtPr>
      <w:sdtEndPr>
        <w:rPr>
          <w:color w:val="auto"/>
          <w:sz w:val="24"/>
        </w:rPr>
      </w:sdtEndPr>
      <w:sdtContent>
        <w:p w14:paraId="4C5898BA" w14:textId="465C35E1" w:rsidR="00401277" w:rsidRDefault="00401277" w:rsidP="00401277">
          <w:pPr>
            <w:pStyle w:val="Heading1"/>
            <w:numPr>
              <w:ilvl w:val="0"/>
              <w:numId w:val="0"/>
            </w:numPr>
          </w:pPr>
          <w:r>
            <w:t>References</w:t>
          </w:r>
          <w:bookmarkEnd w:id="32"/>
        </w:p>
        <w:sdt>
          <w:sdtPr>
            <w:id w:val="-573587230"/>
            <w:bibliography/>
          </w:sdtPr>
          <w:sdtContent>
            <w:p w14:paraId="0F887F45" w14:textId="77777777" w:rsidR="00ED39DF" w:rsidRDefault="00401277">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ED39DF" w14:paraId="231D23AF" w14:textId="77777777">
                <w:trPr>
                  <w:divId w:val="1659840292"/>
                  <w:tblCellSpacing w:w="15" w:type="dxa"/>
                </w:trPr>
                <w:tc>
                  <w:tcPr>
                    <w:tcW w:w="50" w:type="pct"/>
                    <w:hideMark/>
                  </w:tcPr>
                  <w:p w14:paraId="24A3D429" w14:textId="0E55E03F" w:rsidR="00ED39DF" w:rsidRDefault="00ED39DF" w:rsidP="00ED39DF">
                    <w:pPr>
                      <w:pStyle w:val="Bibliography"/>
                      <w:spacing w:after="60"/>
                      <w:rPr>
                        <w:noProof/>
                        <w:szCs w:val="24"/>
                      </w:rPr>
                    </w:pPr>
                    <w:r>
                      <w:rPr>
                        <w:noProof/>
                      </w:rPr>
                      <w:t xml:space="preserve">[1] </w:t>
                    </w:r>
                  </w:p>
                </w:tc>
                <w:tc>
                  <w:tcPr>
                    <w:tcW w:w="0" w:type="auto"/>
                    <w:hideMark/>
                  </w:tcPr>
                  <w:p w14:paraId="3C0EE969" w14:textId="77777777" w:rsidR="00ED39DF" w:rsidRDefault="00ED39DF" w:rsidP="00ED39DF">
                    <w:pPr>
                      <w:pStyle w:val="Bibliography"/>
                      <w:spacing w:after="60"/>
                      <w:rPr>
                        <w:noProof/>
                      </w:rPr>
                    </w:pPr>
                    <w:r>
                      <w:rPr>
                        <w:noProof/>
                      </w:rPr>
                      <w:t>ONR, “NS-TAST-GD-017 - Civil Engineering,” [Online]. Available: ONR website.</w:t>
                    </w:r>
                  </w:p>
                </w:tc>
              </w:tr>
              <w:tr w:rsidR="00ED39DF" w14:paraId="47D2D376" w14:textId="77777777">
                <w:trPr>
                  <w:divId w:val="1659840292"/>
                  <w:tblCellSpacing w:w="15" w:type="dxa"/>
                </w:trPr>
                <w:tc>
                  <w:tcPr>
                    <w:tcW w:w="50" w:type="pct"/>
                    <w:hideMark/>
                  </w:tcPr>
                  <w:p w14:paraId="2FEEAF71" w14:textId="77777777" w:rsidR="00ED39DF" w:rsidRDefault="00ED39DF" w:rsidP="00ED39DF">
                    <w:pPr>
                      <w:pStyle w:val="Bibliography"/>
                      <w:spacing w:after="60"/>
                      <w:rPr>
                        <w:noProof/>
                      </w:rPr>
                    </w:pPr>
                    <w:r>
                      <w:rPr>
                        <w:noProof/>
                      </w:rPr>
                      <w:t xml:space="preserve">[2] </w:t>
                    </w:r>
                  </w:p>
                </w:tc>
                <w:tc>
                  <w:tcPr>
                    <w:tcW w:w="0" w:type="auto"/>
                    <w:hideMark/>
                  </w:tcPr>
                  <w:p w14:paraId="72CD44BC" w14:textId="77777777" w:rsidR="00ED39DF" w:rsidRDefault="00ED39DF" w:rsidP="00ED39DF">
                    <w:pPr>
                      <w:pStyle w:val="Bibliography"/>
                      <w:spacing w:after="60"/>
                      <w:rPr>
                        <w:noProof/>
                      </w:rPr>
                    </w:pPr>
                    <w:r>
                      <w:rPr>
                        <w:noProof/>
                      </w:rPr>
                      <w:t xml:space="preserve">ONR, Safety Assessment Principles for Nuclear Facilities’, 2014 Edition, Rev 1, January 2020, www.onr.org.uk/saps/saps2014.pdf. </w:t>
                    </w:r>
                  </w:p>
                </w:tc>
              </w:tr>
              <w:tr w:rsidR="00ED39DF" w14:paraId="369784B6" w14:textId="77777777">
                <w:trPr>
                  <w:divId w:val="1659840292"/>
                  <w:tblCellSpacing w:w="15" w:type="dxa"/>
                </w:trPr>
                <w:tc>
                  <w:tcPr>
                    <w:tcW w:w="50" w:type="pct"/>
                    <w:hideMark/>
                  </w:tcPr>
                  <w:p w14:paraId="7E0736BF" w14:textId="77777777" w:rsidR="00ED39DF" w:rsidRDefault="00ED39DF" w:rsidP="00ED39DF">
                    <w:pPr>
                      <w:pStyle w:val="Bibliography"/>
                      <w:spacing w:after="60"/>
                      <w:rPr>
                        <w:noProof/>
                      </w:rPr>
                    </w:pPr>
                    <w:r>
                      <w:rPr>
                        <w:noProof/>
                      </w:rPr>
                      <w:t xml:space="preserve">[3] </w:t>
                    </w:r>
                  </w:p>
                </w:tc>
                <w:tc>
                  <w:tcPr>
                    <w:tcW w:w="0" w:type="auto"/>
                    <w:hideMark/>
                  </w:tcPr>
                  <w:p w14:paraId="75CC3844" w14:textId="77777777" w:rsidR="00ED39DF" w:rsidRDefault="00ED39DF" w:rsidP="00ED39DF">
                    <w:pPr>
                      <w:pStyle w:val="Bibliography"/>
                      <w:spacing w:after="60"/>
                      <w:rPr>
                        <w:noProof/>
                      </w:rPr>
                    </w:pPr>
                    <w:r>
                      <w:rPr>
                        <w:noProof/>
                      </w:rPr>
                      <w:t>ONR, “NS-TAST-GD-013 - External Hazards,” [Online]. Available: ONR website.</w:t>
                    </w:r>
                  </w:p>
                </w:tc>
              </w:tr>
              <w:tr w:rsidR="00ED39DF" w14:paraId="36E506D1" w14:textId="77777777">
                <w:trPr>
                  <w:divId w:val="1659840292"/>
                  <w:tblCellSpacing w:w="15" w:type="dxa"/>
                </w:trPr>
                <w:tc>
                  <w:tcPr>
                    <w:tcW w:w="50" w:type="pct"/>
                    <w:hideMark/>
                  </w:tcPr>
                  <w:p w14:paraId="6DCB0545" w14:textId="77777777" w:rsidR="00ED39DF" w:rsidRDefault="00ED39DF" w:rsidP="00ED39DF">
                    <w:pPr>
                      <w:pStyle w:val="Bibliography"/>
                      <w:spacing w:after="60"/>
                      <w:rPr>
                        <w:noProof/>
                      </w:rPr>
                    </w:pPr>
                    <w:r>
                      <w:rPr>
                        <w:noProof/>
                      </w:rPr>
                      <w:t xml:space="preserve">[4] </w:t>
                    </w:r>
                  </w:p>
                </w:tc>
                <w:tc>
                  <w:tcPr>
                    <w:tcW w:w="0" w:type="auto"/>
                    <w:hideMark/>
                  </w:tcPr>
                  <w:p w14:paraId="20960907" w14:textId="77777777" w:rsidR="00ED39DF" w:rsidRDefault="00ED39DF" w:rsidP="00ED39DF">
                    <w:pPr>
                      <w:pStyle w:val="Bibliography"/>
                      <w:spacing w:after="60"/>
                      <w:rPr>
                        <w:noProof/>
                      </w:rPr>
                    </w:pPr>
                    <w:r>
                      <w:rPr>
                        <w:noProof/>
                      </w:rPr>
                      <w:t>BSI, “BS 5930:2015+A1:2020, Code of practice for ground investigations”.</w:t>
                    </w:r>
                  </w:p>
                </w:tc>
              </w:tr>
              <w:tr w:rsidR="00ED39DF" w14:paraId="02D8C191" w14:textId="77777777">
                <w:trPr>
                  <w:divId w:val="1659840292"/>
                  <w:tblCellSpacing w:w="15" w:type="dxa"/>
                </w:trPr>
                <w:tc>
                  <w:tcPr>
                    <w:tcW w:w="50" w:type="pct"/>
                    <w:hideMark/>
                  </w:tcPr>
                  <w:p w14:paraId="0B435F63" w14:textId="77777777" w:rsidR="00ED39DF" w:rsidRDefault="00ED39DF" w:rsidP="00ED39DF">
                    <w:pPr>
                      <w:pStyle w:val="Bibliography"/>
                      <w:spacing w:after="60"/>
                      <w:rPr>
                        <w:noProof/>
                      </w:rPr>
                    </w:pPr>
                    <w:r>
                      <w:rPr>
                        <w:noProof/>
                      </w:rPr>
                      <w:t xml:space="preserve">[5] </w:t>
                    </w:r>
                  </w:p>
                </w:tc>
                <w:tc>
                  <w:tcPr>
                    <w:tcW w:w="0" w:type="auto"/>
                    <w:hideMark/>
                  </w:tcPr>
                  <w:p w14:paraId="32AF1C2D" w14:textId="77777777" w:rsidR="00ED39DF" w:rsidRDefault="00ED39DF" w:rsidP="00ED39DF">
                    <w:pPr>
                      <w:pStyle w:val="Bibliography"/>
                      <w:spacing w:after="60"/>
                      <w:rPr>
                        <w:noProof/>
                      </w:rPr>
                    </w:pPr>
                    <w:r>
                      <w:rPr>
                        <w:noProof/>
                      </w:rPr>
                      <w:t>ONR, “NS-TAST-GD-017 - Annex 1 - Design,” [Online]. Available: ONR website.</w:t>
                    </w:r>
                  </w:p>
                </w:tc>
              </w:tr>
              <w:tr w:rsidR="00ED39DF" w14:paraId="3DCFB072" w14:textId="77777777">
                <w:trPr>
                  <w:divId w:val="1659840292"/>
                  <w:tblCellSpacing w:w="15" w:type="dxa"/>
                </w:trPr>
                <w:tc>
                  <w:tcPr>
                    <w:tcW w:w="50" w:type="pct"/>
                    <w:hideMark/>
                  </w:tcPr>
                  <w:p w14:paraId="50869BA3" w14:textId="77777777" w:rsidR="00ED39DF" w:rsidRDefault="00ED39DF" w:rsidP="00ED39DF">
                    <w:pPr>
                      <w:pStyle w:val="Bibliography"/>
                      <w:spacing w:after="60"/>
                      <w:rPr>
                        <w:noProof/>
                      </w:rPr>
                    </w:pPr>
                    <w:r>
                      <w:rPr>
                        <w:noProof/>
                      </w:rPr>
                      <w:t xml:space="preserve">[6] </w:t>
                    </w:r>
                  </w:p>
                </w:tc>
                <w:tc>
                  <w:tcPr>
                    <w:tcW w:w="0" w:type="auto"/>
                    <w:hideMark/>
                  </w:tcPr>
                  <w:p w14:paraId="570D8C64" w14:textId="77777777" w:rsidR="00ED39DF" w:rsidRDefault="00ED39DF" w:rsidP="00ED39DF">
                    <w:pPr>
                      <w:pStyle w:val="Bibliography"/>
                      <w:spacing w:after="60"/>
                      <w:rPr>
                        <w:noProof/>
                      </w:rPr>
                    </w:pPr>
                    <w:r>
                      <w:rPr>
                        <w:noProof/>
                      </w:rPr>
                      <w:t>ONR, “NS-TAST-GD-017 - Annex 4 - Civil Engineering – Construction Assurance,” [Online]. Available: ONR website.</w:t>
                    </w:r>
                  </w:p>
                </w:tc>
              </w:tr>
              <w:tr w:rsidR="00ED39DF" w14:paraId="600319C6" w14:textId="77777777">
                <w:trPr>
                  <w:divId w:val="1659840292"/>
                  <w:tblCellSpacing w:w="15" w:type="dxa"/>
                </w:trPr>
                <w:tc>
                  <w:tcPr>
                    <w:tcW w:w="50" w:type="pct"/>
                    <w:hideMark/>
                  </w:tcPr>
                  <w:p w14:paraId="63B0D044" w14:textId="77777777" w:rsidR="00ED39DF" w:rsidRDefault="00ED39DF" w:rsidP="00ED39DF">
                    <w:pPr>
                      <w:pStyle w:val="Bibliography"/>
                      <w:spacing w:after="60"/>
                      <w:rPr>
                        <w:noProof/>
                      </w:rPr>
                    </w:pPr>
                    <w:r>
                      <w:rPr>
                        <w:noProof/>
                      </w:rPr>
                      <w:t xml:space="preserve">[7] </w:t>
                    </w:r>
                  </w:p>
                </w:tc>
                <w:tc>
                  <w:tcPr>
                    <w:tcW w:w="0" w:type="auto"/>
                    <w:hideMark/>
                  </w:tcPr>
                  <w:p w14:paraId="1132AC27" w14:textId="77777777" w:rsidR="00ED39DF" w:rsidRDefault="00ED39DF" w:rsidP="00ED39DF">
                    <w:pPr>
                      <w:pStyle w:val="Bibliography"/>
                      <w:spacing w:after="60"/>
                      <w:rPr>
                        <w:noProof/>
                      </w:rPr>
                    </w:pPr>
                    <w:r>
                      <w:rPr>
                        <w:noProof/>
                      </w:rPr>
                      <w:t>ONR, “NS-TAST-GD-017 - Annex 6 - Civil Engineering – Post Operation,” [Online]. Available: ONR website.</w:t>
                    </w:r>
                  </w:p>
                </w:tc>
              </w:tr>
              <w:tr w:rsidR="00ED39DF" w14:paraId="3B581AF8" w14:textId="77777777">
                <w:trPr>
                  <w:divId w:val="1659840292"/>
                  <w:tblCellSpacing w:w="15" w:type="dxa"/>
                </w:trPr>
                <w:tc>
                  <w:tcPr>
                    <w:tcW w:w="50" w:type="pct"/>
                    <w:hideMark/>
                  </w:tcPr>
                  <w:p w14:paraId="7200B750" w14:textId="77777777" w:rsidR="00ED39DF" w:rsidRDefault="00ED39DF" w:rsidP="00ED39DF">
                    <w:pPr>
                      <w:pStyle w:val="Bibliography"/>
                      <w:spacing w:after="60"/>
                      <w:rPr>
                        <w:noProof/>
                      </w:rPr>
                    </w:pPr>
                    <w:r>
                      <w:rPr>
                        <w:noProof/>
                      </w:rPr>
                      <w:t xml:space="preserve">[8] </w:t>
                    </w:r>
                  </w:p>
                </w:tc>
                <w:tc>
                  <w:tcPr>
                    <w:tcW w:w="0" w:type="auto"/>
                    <w:hideMark/>
                  </w:tcPr>
                  <w:p w14:paraId="208577F8" w14:textId="77777777" w:rsidR="00ED39DF" w:rsidRDefault="00ED39DF" w:rsidP="00ED39DF">
                    <w:pPr>
                      <w:pStyle w:val="Bibliography"/>
                      <w:spacing w:after="60"/>
                      <w:rPr>
                        <w:noProof/>
                      </w:rPr>
                    </w:pPr>
                    <w:r>
                      <w:rPr>
                        <w:noProof/>
                      </w:rPr>
                      <w:t>ONR, “NS-TAST-GD-005 - Regulating duties to reduce risks to ALARP,” [Online]. Available: ONR website.</w:t>
                    </w:r>
                  </w:p>
                </w:tc>
              </w:tr>
              <w:tr w:rsidR="00ED39DF" w14:paraId="53F7CCF0" w14:textId="77777777">
                <w:trPr>
                  <w:divId w:val="1659840292"/>
                  <w:tblCellSpacing w:w="15" w:type="dxa"/>
                </w:trPr>
                <w:tc>
                  <w:tcPr>
                    <w:tcW w:w="50" w:type="pct"/>
                    <w:hideMark/>
                  </w:tcPr>
                  <w:p w14:paraId="3E0F6693" w14:textId="77777777" w:rsidR="00ED39DF" w:rsidRDefault="00ED39DF" w:rsidP="00ED39DF">
                    <w:pPr>
                      <w:pStyle w:val="Bibliography"/>
                      <w:spacing w:after="60"/>
                      <w:rPr>
                        <w:noProof/>
                      </w:rPr>
                    </w:pPr>
                    <w:r>
                      <w:rPr>
                        <w:noProof/>
                      </w:rPr>
                      <w:t xml:space="preserve">[9] </w:t>
                    </w:r>
                  </w:p>
                </w:tc>
                <w:tc>
                  <w:tcPr>
                    <w:tcW w:w="0" w:type="auto"/>
                    <w:hideMark/>
                  </w:tcPr>
                  <w:p w14:paraId="6FDEDE01" w14:textId="77777777" w:rsidR="00ED39DF" w:rsidRDefault="00ED39DF" w:rsidP="00ED39DF">
                    <w:pPr>
                      <w:pStyle w:val="Bibliography"/>
                      <w:spacing w:after="60"/>
                      <w:rPr>
                        <w:noProof/>
                      </w:rPr>
                    </w:pPr>
                    <w:r>
                      <w:rPr>
                        <w:noProof/>
                      </w:rPr>
                      <w:t>HSE, “HSG 47, Avoiding danger from underground services (Third Edition),” 2014.</w:t>
                    </w:r>
                  </w:p>
                </w:tc>
              </w:tr>
              <w:tr w:rsidR="00ED39DF" w14:paraId="09D61373" w14:textId="77777777">
                <w:trPr>
                  <w:divId w:val="1659840292"/>
                  <w:tblCellSpacing w:w="15" w:type="dxa"/>
                </w:trPr>
                <w:tc>
                  <w:tcPr>
                    <w:tcW w:w="50" w:type="pct"/>
                    <w:hideMark/>
                  </w:tcPr>
                  <w:p w14:paraId="647E07B3" w14:textId="77777777" w:rsidR="00ED39DF" w:rsidRDefault="00ED39DF" w:rsidP="00ED39DF">
                    <w:pPr>
                      <w:pStyle w:val="Bibliography"/>
                      <w:spacing w:after="60"/>
                      <w:rPr>
                        <w:noProof/>
                      </w:rPr>
                    </w:pPr>
                    <w:r>
                      <w:rPr>
                        <w:noProof/>
                      </w:rPr>
                      <w:t xml:space="preserve">[10] </w:t>
                    </w:r>
                  </w:p>
                </w:tc>
                <w:tc>
                  <w:tcPr>
                    <w:tcW w:w="0" w:type="auto"/>
                    <w:hideMark/>
                  </w:tcPr>
                  <w:p w14:paraId="51FA492D" w14:textId="77777777" w:rsidR="00ED39DF" w:rsidRDefault="00ED39DF" w:rsidP="00ED39DF">
                    <w:pPr>
                      <w:pStyle w:val="Bibliography"/>
                      <w:spacing w:after="60"/>
                      <w:rPr>
                        <w:noProof/>
                      </w:rPr>
                    </w:pPr>
                    <w:r>
                      <w:rPr>
                        <w:noProof/>
                      </w:rPr>
                      <w:t>BSI, “BS EN 1997-2:2007, Eurocode 7 - Geotechnical design - Part 2: Ground investigation and testing”.</w:t>
                    </w:r>
                  </w:p>
                </w:tc>
              </w:tr>
              <w:tr w:rsidR="00ED39DF" w14:paraId="6FF89340" w14:textId="77777777">
                <w:trPr>
                  <w:divId w:val="1659840292"/>
                  <w:tblCellSpacing w:w="15" w:type="dxa"/>
                </w:trPr>
                <w:tc>
                  <w:tcPr>
                    <w:tcW w:w="50" w:type="pct"/>
                    <w:hideMark/>
                  </w:tcPr>
                  <w:p w14:paraId="74B4DCEB" w14:textId="77777777" w:rsidR="00ED39DF" w:rsidRDefault="00ED39DF" w:rsidP="00ED39DF">
                    <w:pPr>
                      <w:pStyle w:val="Bibliography"/>
                      <w:spacing w:after="60"/>
                      <w:rPr>
                        <w:noProof/>
                      </w:rPr>
                    </w:pPr>
                    <w:r>
                      <w:rPr>
                        <w:noProof/>
                      </w:rPr>
                      <w:t xml:space="preserve">[11] </w:t>
                    </w:r>
                  </w:p>
                </w:tc>
                <w:tc>
                  <w:tcPr>
                    <w:tcW w:w="0" w:type="auto"/>
                    <w:hideMark/>
                  </w:tcPr>
                  <w:p w14:paraId="598C21C6" w14:textId="77777777" w:rsidR="00ED39DF" w:rsidRDefault="00ED39DF" w:rsidP="00ED39DF">
                    <w:pPr>
                      <w:pStyle w:val="Bibliography"/>
                      <w:spacing w:after="60"/>
                      <w:rPr>
                        <w:noProof/>
                      </w:rPr>
                    </w:pPr>
                    <w:r>
                      <w:rPr>
                        <w:noProof/>
                      </w:rPr>
                      <w:t>IAEA, “ NS-G-3.6, Geotechnical Aspects of Site Evaluation and Foundations for Nuclear Power Plants,” 2004.</w:t>
                    </w:r>
                  </w:p>
                </w:tc>
              </w:tr>
              <w:tr w:rsidR="00ED39DF" w14:paraId="062B5DCD" w14:textId="77777777">
                <w:trPr>
                  <w:divId w:val="1659840292"/>
                  <w:tblCellSpacing w:w="15" w:type="dxa"/>
                </w:trPr>
                <w:tc>
                  <w:tcPr>
                    <w:tcW w:w="50" w:type="pct"/>
                    <w:hideMark/>
                  </w:tcPr>
                  <w:p w14:paraId="2E35F4CA" w14:textId="77777777" w:rsidR="00ED39DF" w:rsidRDefault="00ED39DF" w:rsidP="00ED39DF">
                    <w:pPr>
                      <w:pStyle w:val="Bibliography"/>
                      <w:spacing w:after="60"/>
                      <w:rPr>
                        <w:noProof/>
                      </w:rPr>
                    </w:pPr>
                    <w:r>
                      <w:rPr>
                        <w:noProof/>
                      </w:rPr>
                      <w:t xml:space="preserve">[12] </w:t>
                    </w:r>
                  </w:p>
                </w:tc>
                <w:tc>
                  <w:tcPr>
                    <w:tcW w:w="0" w:type="auto"/>
                    <w:hideMark/>
                  </w:tcPr>
                  <w:p w14:paraId="66FCAAA5" w14:textId="77777777" w:rsidR="00ED39DF" w:rsidRDefault="00ED39DF" w:rsidP="00ED39DF">
                    <w:pPr>
                      <w:pStyle w:val="Bibliography"/>
                      <w:spacing w:after="60"/>
                      <w:rPr>
                        <w:noProof/>
                      </w:rPr>
                    </w:pPr>
                    <w:r>
                      <w:rPr>
                        <w:noProof/>
                      </w:rPr>
                      <w:t>IAEA, “ SSG-35, Site Survey and Site Selection for Nuclear Installations,” 2015.</w:t>
                    </w:r>
                  </w:p>
                </w:tc>
              </w:tr>
              <w:tr w:rsidR="00ED39DF" w14:paraId="44C7AE34" w14:textId="77777777">
                <w:trPr>
                  <w:divId w:val="1659840292"/>
                  <w:tblCellSpacing w:w="15" w:type="dxa"/>
                </w:trPr>
                <w:tc>
                  <w:tcPr>
                    <w:tcW w:w="50" w:type="pct"/>
                    <w:hideMark/>
                  </w:tcPr>
                  <w:p w14:paraId="48BA3D7D" w14:textId="77777777" w:rsidR="00ED39DF" w:rsidRDefault="00ED39DF" w:rsidP="00ED39DF">
                    <w:pPr>
                      <w:pStyle w:val="Bibliography"/>
                      <w:spacing w:after="60"/>
                      <w:rPr>
                        <w:noProof/>
                      </w:rPr>
                    </w:pPr>
                    <w:r>
                      <w:rPr>
                        <w:noProof/>
                      </w:rPr>
                      <w:t xml:space="preserve">[13] </w:t>
                    </w:r>
                  </w:p>
                </w:tc>
                <w:tc>
                  <w:tcPr>
                    <w:tcW w:w="0" w:type="auto"/>
                    <w:hideMark/>
                  </w:tcPr>
                  <w:p w14:paraId="2BD5D135" w14:textId="77777777" w:rsidR="00ED39DF" w:rsidRDefault="00ED39DF" w:rsidP="00ED39DF">
                    <w:pPr>
                      <w:pStyle w:val="Bibliography"/>
                      <w:spacing w:after="60"/>
                      <w:rPr>
                        <w:noProof/>
                      </w:rPr>
                    </w:pPr>
                    <w:r>
                      <w:rPr>
                        <w:noProof/>
                      </w:rPr>
                      <w:t>Highways England, “CD 622, Managing geotechnical risk, version 2.0.0.0”.</w:t>
                    </w:r>
                  </w:p>
                </w:tc>
              </w:tr>
              <w:tr w:rsidR="00ED39DF" w14:paraId="5E55394D" w14:textId="77777777">
                <w:trPr>
                  <w:divId w:val="1659840292"/>
                  <w:tblCellSpacing w:w="15" w:type="dxa"/>
                </w:trPr>
                <w:tc>
                  <w:tcPr>
                    <w:tcW w:w="50" w:type="pct"/>
                    <w:hideMark/>
                  </w:tcPr>
                  <w:p w14:paraId="3B72D376" w14:textId="77777777" w:rsidR="00ED39DF" w:rsidRDefault="00ED39DF" w:rsidP="00ED39DF">
                    <w:pPr>
                      <w:pStyle w:val="Bibliography"/>
                      <w:spacing w:after="60"/>
                      <w:rPr>
                        <w:noProof/>
                      </w:rPr>
                    </w:pPr>
                    <w:r>
                      <w:rPr>
                        <w:noProof/>
                      </w:rPr>
                      <w:t xml:space="preserve">[14] </w:t>
                    </w:r>
                  </w:p>
                </w:tc>
                <w:tc>
                  <w:tcPr>
                    <w:tcW w:w="0" w:type="auto"/>
                    <w:hideMark/>
                  </w:tcPr>
                  <w:p w14:paraId="3F273627" w14:textId="77777777" w:rsidR="00ED39DF" w:rsidRDefault="00ED39DF" w:rsidP="00ED39DF">
                    <w:pPr>
                      <w:pStyle w:val="Bibliography"/>
                      <w:spacing w:after="60"/>
                      <w:rPr>
                        <w:noProof/>
                      </w:rPr>
                    </w:pPr>
                    <w:r>
                      <w:rPr>
                        <w:noProof/>
                      </w:rPr>
                      <w:t>ONR, “NS-TAST-GD-027 - Training and Assuring Personnel Competence,” [Online]. Available: ONR website.</w:t>
                    </w:r>
                  </w:p>
                </w:tc>
              </w:tr>
              <w:tr w:rsidR="00ED39DF" w14:paraId="76AC6E33" w14:textId="77777777">
                <w:trPr>
                  <w:divId w:val="1659840292"/>
                  <w:tblCellSpacing w:w="15" w:type="dxa"/>
                </w:trPr>
                <w:tc>
                  <w:tcPr>
                    <w:tcW w:w="50" w:type="pct"/>
                    <w:hideMark/>
                  </w:tcPr>
                  <w:p w14:paraId="06843597" w14:textId="77777777" w:rsidR="00ED39DF" w:rsidRDefault="00ED39DF" w:rsidP="00ED39DF">
                    <w:pPr>
                      <w:pStyle w:val="Bibliography"/>
                      <w:spacing w:after="60"/>
                      <w:rPr>
                        <w:noProof/>
                      </w:rPr>
                    </w:pPr>
                    <w:r>
                      <w:rPr>
                        <w:noProof/>
                      </w:rPr>
                      <w:t xml:space="preserve">[15] </w:t>
                    </w:r>
                  </w:p>
                </w:tc>
                <w:tc>
                  <w:tcPr>
                    <w:tcW w:w="0" w:type="auto"/>
                    <w:hideMark/>
                  </w:tcPr>
                  <w:p w14:paraId="19088393" w14:textId="77777777" w:rsidR="00ED39DF" w:rsidRDefault="00ED39DF" w:rsidP="00ED39DF">
                    <w:pPr>
                      <w:pStyle w:val="Bibliography"/>
                      <w:spacing w:after="60"/>
                      <w:rPr>
                        <w:noProof/>
                      </w:rPr>
                    </w:pPr>
                    <w:r>
                      <w:rPr>
                        <w:noProof/>
                      </w:rPr>
                      <w:t>ONR, “NS-TAST-GD-049 - Licensee Core Safety and Intelligent Customer Capabilities,” [Online]. Available: ONR website.</w:t>
                    </w:r>
                  </w:p>
                </w:tc>
              </w:tr>
              <w:tr w:rsidR="00ED39DF" w14:paraId="2EA409A4" w14:textId="77777777">
                <w:trPr>
                  <w:divId w:val="1659840292"/>
                  <w:tblCellSpacing w:w="15" w:type="dxa"/>
                </w:trPr>
                <w:tc>
                  <w:tcPr>
                    <w:tcW w:w="50" w:type="pct"/>
                    <w:hideMark/>
                  </w:tcPr>
                  <w:p w14:paraId="500C8586" w14:textId="77777777" w:rsidR="00ED39DF" w:rsidRDefault="00ED39DF" w:rsidP="00ED39DF">
                    <w:pPr>
                      <w:pStyle w:val="Bibliography"/>
                      <w:spacing w:after="60"/>
                      <w:rPr>
                        <w:noProof/>
                      </w:rPr>
                    </w:pPr>
                    <w:r>
                      <w:rPr>
                        <w:noProof/>
                      </w:rPr>
                      <w:t xml:space="preserve">[16] </w:t>
                    </w:r>
                  </w:p>
                </w:tc>
                <w:tc>
                  <w:tcPr>
                    <w:tcW w:w="0" w:type="auto"/>
                    <w:hideMark/>
                  </w:tcPr>
                  <w:p w14:paraId="0B6B4E35" w14:textId="77777777" w:rsidR="00ED39DF" w:rsidRDefault="00ED39DF" w:rsidP="00ED39DF">
                    <w:pPr>
                      <w:pStyle w:val="Bibliography"/>
                      <w:spacing w:after="60"/>
                      <w:rPr>
                        <w:noProof/>
                      </w:rPr>
                    </w:pPr>
                    <w:r>
                      <w:rPr>
                        <w:noProof/>
                      </w:rPr>
                      <w:t>ONR, “NS-TAST-GD-079 - Licensee Design Authority Capability,” [Online]. Available: ONR website.</w:t>
                    </w:r>
                  </w:p>
                </w:tc>
              </w:tr>
              <w:tr w:rsidR="00ED39DF" w14:paraId="57B6919A" w14:textId="77777777">
                <w:trPr>
                  <w:divId w:val="1659840292"/>
                  <w:tblCellSpacing w:w="15" w:type="dxa"/>
                </w:trPr>
                <w:tc>
                  <w:tcPr>
                    <w:tcW w:w="50" w:type="pct"/>
                    <w:hideMark/>
                  </w:tcPr>
                  <w:p w14:paraId="6612AFDE" w14:textId="77777777" w:rsidR="00ED39DF" w:rsidRDefault="00ED39DF" w:rsidP="00ED39DF">
                    <w:pPr>
                      <w:pStyle w:val="Bibliography"/>
                      <w:spacing w:after="60"/>
                      <w:rPr>
                        <w:noProof/>
                      </w:rPr>
                    </w:pPr>
                    <w:r>
                      <w:rPr>
                        <w:noProof/>
                      </w:rPr>
                      <w:t xml:space="preserve">[17] </w:t>
                    </w:r>
                  </w:p>
                </w:tc>
                <w:tc>
                  <w:tcPr>
                    <w:tcW w:w="0" w:type="auto"/>
                    <w:hideMark/>
                  </w:tcPr>
                  <w:p w14:paraId="75F1C8F0" w14:textId="77777777" w:rsidR="00ED39DF" w:rsidRDefault="00ED39DF" w:rsidP="00ED39DF">
                    <w:pPr>
                      <w:pStyle w:val="Bibliography"/>
                      <w:spacing w:after="60"/>
                      <w:rPr>
                        <w:noProof/>
                      </w:rPr>
                    </w:pPr>
                    <w:r>
                      <w:rPr>
                        <w:noProof/>
                      </w:rPr>
                      <w:t>ONR, “NS-INSP-GD-010 - LC10 Training,” [Online]. Available: ONR website.</w:t>
                    </w:r>
                  </w:p>
                </w:tc>
              </w:tr>
              <w:tr w:rsidR="00ED39DF" w14:paraId="581D3D22" w14:textId="77777777">
                <w:trPr>
                  <w:divId w:val="1659840292"/>
                  <w:tblCellSpacing w:w="15" w:type="dxa"/>
                </w:trPr>
                <w:tc>
                  <w:tcPr>
                    <w:tcW w:w="50" w:type="pct"/>
                    <w:hideMark/>
                  </w:tcPr>
                  <w:p w14:paraId="11FCA8E0" w14:textId="77777777" w:rsidR="00ED39DF" w:rsidRDefault="00ED39DF" w:rsidP="00ED39DF">
                    <w:pPr>
                      <w:pStyle w:val="Bibliography"/>
                      <w:spacing w:after="60"/>
                      <w:rPr>
                        <w:noProof/>
                      </w:rPr>
                    </w:pPr>
                    <w:r>
                      <w:rPr>
                        <w:noProof/>
                      </w:rPr>
                      <w:t xml:space="preserve">[18] </w:t>
                    </w:r>
                  </w:p>
                </w:tc>
                <w:tc>
                  <w:tcPr>
                    <w:tcW w:w="0" w:type="auto"/>
                    <w:hideMark/>
                  </w:tcPr>
                  <w:p w14:paraId="24E74A61" w14:textId="77777777" w:rsidR="00ED39DF" w:rsidRDefault="00ED39DF" w:rsidP="00ED39DF">
                    <w:pPr>
                      <w:pStyle w:val="Bibliography"/>
                      <w:spacing w:after="60"/>
                      <w:rPr>
                        <w:noProof/>
                      </w:rPr>
                    </w:pPr>
                    <w:r>
                      <w:rPr>
                        <w:noProof/>
                      </w:rPr>
                      <w:t>ONR, “NS-TAST-GD-013 - Annex 1 - Seismic hazards,” [Online]. Available: ONR website.</w:t>
                    </w:r>
                  </w:p>
                </w:tc>
              </w:tr>
              <w:tr w:rsidR="00ED39DF" w14:paraId="6E99FF92" w14:textId="77777777">
                <w:trPr>
                  <w:divId w:val="1659840292"/>
                  <w:tblCellSpacing w:w="15" w:type="dxa"/>
                </w:trPr>
                <w:tc>
                  <w:tcPr>
                    <w:tcW w:w="50" w:type="pct"/>
                    <w:hideMark/>
                  </w:tcPr>
                  <w:p w14:paraId="74BF2FA5" w14:textId="77777777" w:rsidR="00ED39DF" w:rsidRDefault="00ED39DF" w:rsidP="00ED39DF">
                    <w:pPr>
                      <w:pStyle w:val="Bibliography"/>
                      <w:spacing w:after="60"/>
                      <w:rPr>
                        <w:noProof/>
                      </w:rPr>
                    </w:pPr>
                    <w:r>
                      <w:rPr>
                        <w:noProof/>
                      </w:rPr>
                      <w:t xml:space="preserve">[19] </w:t>
                    </w:r>
                  </w:p>
                </w:tc>
                <w:tc>
                  <w:tcPr>
                    <w:tcW w:w="0" w:type="auto"/>
                    <w:hideMark/>
                  </w:tcPr>
                  <w:p w14:paraId="6593B52A" w14:textId="77777777" w:rsidR="00ED39DF" w:rsidRDefault="00ED39DF" w:rsidP="00ED39DF">
                    <w:pPr>
                      <w:pStyle w:val="Bibliography"/>
                      <w:spacing w:after="60"/>
                      <w:rPr>
                        <w:noProof/>
                      </w:rPr>
                    </w:pPr>
                    <w:r>
                      <w:rPr>
                        <w:noProof/>
                      </w:rPr>
                      <w:t>IAEA, “SSR-1, Site Evaluation for Nuclear Installations,” 2019.</w:t>
                    </w:r>
                  </w:p>
                </w:tc>
              </w:tr>
              <w:tr w:rsidR="00ED39DF" w14:paraId="6EED86C5" w14:textId="77777777">
                <w:trPr>
                  <w:divId w:val="1659840292"/>
                  <w:tblCellSpacing w:w="15" w:type="dxa"/>
                </w:trPr>
                <w:tc>
                  <w:tcPr>
                    <w:tcW w:w="50" w:type="pct"/>
                    <w:hideMark/>
                  </w:tcPr>
                  <w:p w14:paraId="24EE72C9" w14:textId="77777777" w:rsidR="00ED39DF" w:rsidRDefault="00ED39DF" w:rsidP="00ED39DF">
                    <w:pPr>
                      <w:pStyle w:val="Bibliography"/>
                      <w:spacing w:after="60"/>
                      <w:rPr>
                        <w:noProof/>
                      </w:rPr>
                    </w:pPr>
                    <w:r>
                      <w:rPr>
                        <w:noProof/>
                      </w:rPr>
                      <w:t xml:space="preserve">[20] </w:t>
                    </w:r>
                  </w:p>
                </w:tc>
                <w:tc>
                  <w:tcPr>
                    <w:tcW w:w="0" w:type="auto"/>
                    <w:hideMark/>
                  </w:tcPr>
                  <w:p w14:paraId="6AB64E7A" w14:textId="77777777" w:rsidR="00ED39DF" w:rsidRDefault="00ED39DF" w:rsidP="00ED39DF">
                    <w:pPr>
                      <w:pStyle w:val="Bibliography"/>
                      <w:spacing w:after="60"/>
                      <w:rPr>
                        <w:noProof/>
                      </w:rPr>
                    </w:pPr>
                    <w:r>
                      <w:rPr>
                        <w:noProof/>
                      </w:rPr>
                      <w:t>BSI, “BS EN 1997-1:2024, Eurocode 7 - Geotechnical design - Part 1: General rules”.</w:t>
                    </w:r>
                  </w:p>
                </w:tc>
              </w:tr>
              <w:tr w:rsidR="00ED39DF" w14:paraId="7F9F93CF" w14:textId="77777777">
                <w:trPr>
                  <w:divId w:val="1659840292"/>
                  <w:tblCellSpacing w:w="15" w:type="dxa"/>
                </w:trPr>
                <w:tc>
                  <w:tcPr>
                    <w:tcW w:w="50" w:type="pct"/>
                    <w:hideMark/>
                  </w:tcPr>
                  <w:p w14:paraId="29581559" w14:textId="77777777" w:rsidR="00ED39DF" w:rsidRDefault="00ED39DF" w:rsidP="00ED39DF">
                    <w:pPr>
                      <w:pStyle w:val="Bibliography"/>
                      <w:spacing w:after="60"/>
                      <w:rPr>
                        <w:noProof/>
                      </w:rPr>
                    </w:pPr>
                    <w:r>
                      <w:rPr>
                        <w:noProof/>
                      </w:rPr>
                      <w:lastRenderedPageBreak/>
                      <w:t xml:space="preserve">[21] </w:t>
                    </w:r>
                  </w:p>
                </w:tc>
                <w:tc>
                  <w:tcPr>
                    <w:tcW w:w="0" w:type="auto"/>
                    <w:hideMark/>
                  </w:tcPr>
                  <w:p w14:paraId="3337D2D2" w14:textId="77777777" w:rsidR="00ED39DF" w:rsidRDefault="00ED39DF" w:rsidP="00ED39DF">
                    <w:pPr>
                      <w:pStyle w:val="Bibliography"/>
                      <w:spacing w:after="60"/>
                      <w:rPr>
                        <w:noProof/>
                      </w:rPr>
                    </w:pPr>
                    <w:r>
                      <w:rPr>
                        <w:noProof/>
                      </w:rPr>
                      <w:t>ONR, “NS-TAST-GD-033 - Management of records,” [Online]. Available: ONR website.</w:t>
                    </w:r>
                  </w:p>
                </w:tc>
              </w:tr>
              <w:tr w:rsidR="00ED39DF" w14:paraId="5364299B" w14:textId="77777777">
                <w:trPr>
                  <w:divId w:val="1659840292"/>
                  <w:tblCellSpacing w:w="15" w:type="dxa"/>
                </w:trPr>
                <w:tc>
                  <w:tcPr>
                    <w:tcW w:w="50" w:type="pct"/>
                    <w:hideMark/>
                  </w:tcPr>
                  <w:p w14:paraId="27F65E04" w14:textId="77777777" w:rsidR="00ED39DF" w:rsidRDefault="00ED39DF" w:rsidP="00ED39DF">
                    <w:pPr>
                      <w:pStyle w:val="Bibliography"/>
                      <w:spacing w:after="60"/>
                      <w:rPr>
                        <w:noProof/>
                      </w:rPr>
                    </w:pPr>
                    <w:r>
                      <w:rPr>
                        <w:noProof/>
                      </w:rPr>
                      <w:t xml:space="preserve">[22] </w:t>
                    </w:r>
                  </w:p>
                </w:tc>
                <w:tc>
                  <w:tcPr>
                    <w:tcW w:w="0" w:type="auto"/>
                    <w:hideMark/>
                  </w:tcPr>
                  <w:p w14:paraId="318195FF" w14:textId="77777777" w:rsidR="00ED39DF" w:rsidRDefault="00ED39DF" w:rsidP="00ED39DF">
                    <w:pPr>
                      <w:pStyle w:val="Bibliography"/>
                      <w:spacing w:after="60"/>
                      <w:rPr>
                        <w:noProof/>
                      </w:rPr>
                    </w:pPr>
                    <w:r>
                      <w:rPr>
                        <w:noProof/>
                      </w:rPr>
                      <w:t>ASCE/SEI, “ASCE/SEI 4-16, ‘Seismic analysis of safety-related nuclear structures’”.</w:t>
                    </w:r>
                  </w:p>
                </w:tc>
              </w:tr>
              <w:tr w:rsidR="00ED39DF" w14:paraId="630A9DB1" w14:textId="77777777">
                <w:trPr>
                  <w:divId w:val="1659840292"/>
                  <w:tblCellSpacing w:w="15" w:type="dxa"/>
                </w:trPr>
                <w:tc>
                  <w:tcPr>
                    <w:tcW w:w="50" w:type="pct"/>
                    <w:hideMark/>
                  </w:tcPr>
                  <w:p w14:paraId="449D1492" w14:textId="77777777" w:rsidR="00ED39DF" w:rsidRDefault="00ED39DF" w:rsidP="00ED39DF">
                    <w:pPr>
                      <w:pStyle w:val="Bibliography"/>
                      <w:spacing w:after="60"/>
                      <w:rPr>
                        <w:noProof/>
                      </w:rPr>
                    </w:pPr>
                    <w:r>
                      <w:rPr>
                        <w:noProof/>
                      </w:rPr>
                      <w:t xml:space="preserve">[23] </w:t>
                    </w:r>
                  </w:p>
                </w:tc>
                <w:tc>
                  <w:tcPr>
                    <w:tcW w:w="0" w:type="auto"/>
                    <w:hideMark/>
                  </w:tcPr>
                  <w:p w14:paraId="592B0924" w14:textId="77777777" w:rsidR="00ED39DF" w:rsidRDefault="00ED39DF" w:rsidP="00ED39DF">
                    <w:pPr>
                      <w:pStyle w:val="Bibliography"/>
                      <w:spacing w:after="60"/>
                      <w:rPr>
                        <w:noProof/>
                      </w:rPr>
                    </w:pPr>
                    <w:r>
                      <w:rPr>
                        <w:noProof/>
                      </w:rPr>
                      <w:t>AFCEN, “ETC-C EPR Technical Code for Civil Works,” 2010.</w:t>
                    </w:r>
                  </w:p>
                </w:tc>
              </w:tr>
              <w:tr w:rsidR="00ED39DF" w14:paraId="29AE2CF1" w14:textId="77777777">
                <w:trPr>
                  <w:divId w:val="1659840292"/>
                  <w:tblCellSpacing w:w="15" w:type="dxa"/>
                </w:trPr>
                <w:tc>
                  <w:tcPr>
                    <w:tcW w:w="50" w:type="pct"/>
                    <w:hideMark/>
                  </w:tcPr>
                  <w:p w14:paraId="2950738E" w14:textId="77777777" w:rsidR="00ED39DF" w:rsidRDefault="00ED39DF" w:rsidP="00ED39DF">
                    <w:pPr>
                      <w:pStyle w:val="Bibliography"/>
                      <w:spacing w:after="60"/>
                      <w:rPr>
                        <w:noProof/>
                      </w:rPr>
                    </w:pPr>
                    <w:r>
                      <w:rPr>
                        <w:noProof/>
                      </w:rPr>
                      <w:t xml:space="preserve">[24] </w:t>
                    </w:r>
                  </w:p>
                </w:tc>
                <w:tc>
                  <w:tcPr>
                    <w:tcW w:w="0" w:type="auto"/>
                    <w:hideMark/>
                  </w:tcPr>
                  <w:p w14:paraId="0E6DE9C7" w14:textId="77777777" w:rsidR="00ED39DF" w:rsidRDefault="00ED39DF" w:rsidP="00ED39DF">
                    <w:pPr>
                      <w:pStyle w:val="Bibliography"/>
                      <w:spacing w:after="60"/>
                      <w:rPr>
                        <w:noProof/>
                      </w:rPr>
                    </w:pPr>
                    <w:r>
                      <w:rPr>
                        <w:noProof/>
                      </w:rPr>
                      <w:t>IAEA, “IAEA-TECDOC-1990, Methodologies for Seismic Soil-Structure Interaction Analysis in the Design and Assessment of Nuclear Installations,” 2022.</w:t>
                    </w:r>
                  </w:p>
                </w:tc>
              </w:tr>
              <w:tr w:rsidR="00ED39DF" w14:paraId="14020F55" w14:textId="77777777">
                <w:trPr>
                  <w:divId w:val="1659840292"/>
                  <w:tblCellSpacing w:w="15" w:type="dxa"/>
                </w:trPr>
                <w:tc>
                  <w:tcPr>
                    <w:tcW w:w="50" w:type="pct"/>
                    <w:hideMark/>
                  </w:tcPr>
                  <w:p w14:paraId="19FEF57E" w14:textId="77777777" w:rsidR="00ED39DF" w:rsidRDefault="00ED39DF" w:rsidP="00ED39DF">
                    <w:pPr>
                      <w:pStyle w:val="Bibliography"/>
                      <w:spacing w:after="60"/>
                      <w:rPr>
                        <w:noProof/>
                      </w:rPr>
                    </w:pPr>
                    <w:r>
                      <w:rPr>
                        <w:noProof/>
                      </w:rPr>
                      <w:t xml:space="preserve">[25] </w:t>
                    </w:r>
                  </w:p>
                </w:tc>
                <w:tc>
                  <w:tcPr>
                    <w:tcW w:w="0" w:type="auto"/>
                    <w:hideMark/>
                  </w:tcPr>
                  <w:p w14:paraId="651C9160" w14:textId="77777777" w:rsidR="00ED39DF" w:rsidRDefault="00ED39DF" w:rsidP="00ED39DF">
                    <w:pPr>
                      <w:pStyle w:val="Bibliography"/>
                      <w:spacing w:after="60"/>
                      <w:rPr>
                        <w:noProof/>
                      </w:rPr>
                    </w:pPr>
                    <w:r>
                      <w:rPr>
                        <w:noProof/>
                      </w:rPr>
                      <w:t>NAFEMS, “Validating Numerical Modelling in Geotechnical Engineering,” December 2013.</w:t>
                    </w:r>
                  </w:p>
                </w:tc>
              </w:tr>
              <w:tr w:rsidR="00ED39DF" w14:paraId="664809F6" w14:textId="77777777">
                <w:trPr>
                  <w:divId w:val="1659840292"/>
                  <w:tblCellSpacing w:w="15" w:type="dxa"/>
                </w:trPr>
                <w:tc>
                  <w:tcPr>
                    <w:tcW w:w="50" w:type="pct"/>
                    <w:hideMark/>
                  </w:tcPr>
                  <w:p w14:paraId="2E12E23B" w14:textId="77777777" w:rsidR="00ED39DF" w:rsidRDefault="00ED39DF" w:rsidP="00ED39DF">
                    <w:pPr>
                      <w:pStyle w:val="Bibliography"/>
                      <w:spacing w:after="60"/>
                      <w:rPr>
                        <w:noProof/>
                      </w:rPr>
                    </w:pPr>
                    <w:r>
                      <w:rPr>
                        <w:noProof/>
                      </w:rPr>
                      <w:t xml:space="preserve">[26] </w:t>
                    </w:r>
                  </w:p>
                </w:tc>
                <w:tc>
                  <w:tcPr>
                    <w:tcW w:w="0" w:type="auto"/>
                    <w:hideMark/>
                  </w:tcPr>
                  <w:p w14:paraId="257DCDAC" w14:textId="77777777" w:rsidR="00ED39DF" w:rsidRDefault="00ED39DF" w:rsidP="00ED39DF">
                    <w:pPr>
                      <w:pStyle w:val="Bibliography"/>
                      <w:spacing w:after="60"/>
                      <w:rPr>
                        <w:noProof/>
                      </w:rPr>
                    </w:pPr>
                    <w:r>
                      <w:rPr>
                        <w:noProof/>
                      </w:rPr>
                      <w:t>HSE, “Research Report 319, Safer foundations by design,” 2005.</w:t>
                    </w:r>
                  </w:p>
                </w:tc>
              </w:tr>
              <w:tr w:rsidR="00ED39DF" w14:paraId="48AB58A7" w14:textId="77777777">
                <w:trPr>
                  <w:divId w:val="1659840292"/>
                  <w:tblCellSpacing w:w="15" w:type="dxa"/>
                </w:trPr>
                <w:tc>
                  <w:tcPr>
                    <w:tcW w:w="50" w:type="pct"/>
                    <w:hideMark/>
                  </w:tcPr>
                  <w:p w14:paraId="74B31155" w14:textId="77777777" w:rsidR="00ED39DF" w:rsidRDefault="00ED39DF" w:rsidP="00ED39DF">
                    <w:pPr>
                      <w:pStyle w:val="Bibliography"/>
                      <w:spacing w:after="60"/>
                      <w:rPr>
                        <w:noProof/>
                      </w:rPr>
                    </w:pPr>
                    <w:r>
                      <w:rPr>
                        <w:noProof/>
                      </w:rPr>
                      <w:t xml:space="preserve">[27] </w:t>
                    </w:r>
                  </w:p>
                </w:tc>
                <w:tc>
                  <w:tcPr>
                    <w:tcW w:w="0" w:type="auto"/>
                    <w:hideMark/>
                  </w:tcPr>
                  <w:p w14:paraId="14ACEA75" w14:textId="77777777" w:rsidR="00ED39DF" w:rsidRDefault="00ED39DF" w:rsidP="00ED39DF">
                    <w:pPr>
                      <w:pStyle w:val="Bibliography"/>
                      <w:spacing w:after="60"/>
                      <w:rPr>
                        <w:noProof/>
                      </w:rPr>
                    </w:pPr>
                    <w:r>
                      <w:rPr>
                        <w:noProof/>
                      </w:rPr>
                      <w:t>BRE, “Special Digest 1, Concrete in Aggressive Ground,” 2005.</w:t>
                    </w:r>
                  </w:p>
                </w:tc>
              </w:tr>
              <w:tr w:rsidR="00ED39DF" w14:paraId="79F211C2" w14:textId="77777777">
                <w:trPr>
                  <w:divId w:val="1659840292"/>
                  <w:tblCellSpacing w:w="15" w:type="dxa"/>
                </w:trPr>
                <w:tc>
                  <w:tcPr>
                    <w:tcW w:w="50" w:type="pct"/>
                    <w:hideMark/>
                  </w:tcPr>
                  <w:p w14:paraId="7074E9D0" w14:textId="77777777" w:rsidR="00ED39DF" w:rsidRDefault="00ED39DF" w:rsidP="00ED39DF">
                    <w:pPr>
                      <w:pStyle w:val="Bibliography"/>
                      <w:spacing w:after="60"/>
                      <w:rPr>
                        <w:noProof/>
                      </w:rPr>
                    </w:pPr>
                    <w:r>
                      <w:rPr>
                        <w:noProof/>
                      </w:rPr>
                      <w:t xml:space="preserve">[28] </w:t>
                    </w:r>
                  </w:p>
                </w:tc>
                <w:tc>
                  <w:tcPr>
                    <w:tcW w:w="0" w:type="auto"/>
                    <w:hideMark/>
                  </w:tcPr>
                  <w:p w14:paraId="503AC706" w14:textId="77777777" w:rsidR="00ED39DF" w:rsidRDefault="00ED39DF" w:rsidP="00ED39DF">
                    <w:pPr>
                      <w:pStyle w:val="Bibliography"/>
                      <w:spacing w:after="60"/>
                      <w:rPr>
                        <w:noProof/>
                      </w:rPr>
                    </w:pPr>
                    <w:r>
                      <w:rPr>
                        <w:noProof/>
                      </w:rPr>
                      <w:t xml:space="preserve">BRE, Building Research Establishment document, A review of materials used as waterbars and sealants in pond structures, 2010, CM9 2020/260321. </w:t>
                    </w:r>
                  </w:p>
                </w:tc>
              </w:tr>
              <w:tr w:rsidR="00ED39DF" w14:paraId="4A768CF2" w14:textId="77777777">
                <w:trPr>
                  <w:divId w:val="1659840292"/>
                  <w:tblCellSpacing w:w="15" w:type="dxa"/>
                </w:trPr>
                <w:tc>
                  <w:tcPr>
                    <w:tcW w:w="50" w:type="pct"/>
                    <w:hideMark/>
                  </w:tcPr>
                  <w:p w14:paraId="56A044D9" w14:textId="77777777" w:rsidR="00ED39DF" w:rsidRDefault="00ED39DF" w:rsidP="00ED39DF">
                    <w:pPr>
                      <w:pStyle w:val="Bibliography"/>
                      <w:spacing w:after="60"/>
                      <w:rPr>
                        <w:noProof/>
                      </w:rPr>
                    </w:pPr>
                    <w:r>
                      <w:rPr>
                        <w:noProof/>
                      </w:rPr>
                      <w:t xml:space="preserve">[29] </w:t>
                    </w:r>
                  </w:p>
                </w:tc>
                <w:tc>
                  <w:tcPr>
                    <w:tcW w:w="0" w:type="auto"/>
                    <w:hideMark/>
                  </w:tcPr>
                  <w:p w14:paraId="5D7E1EF5" w14:textId="77777777" w:rsidR="00ED39DF" w:rsidRDefault="00ED39DF" w:rsidP="00ED39DF">
                    <w:pPr>
                      <w:pStyle w:val="Bibliography"/>
                      <w:spacing w:after="60"/>
                      <w:rPr>
                        <w:noProof/>
                      </w:rPr>
                    </w:pPr>
                    <w:r>
                      <w:rPr>
                        <w:noProof/>
                      </w:rPr>
                      <w:t>ONR, “NS-TAST-GD-006 - Design Basis Analysis,” [Online]. Available: ONR website.</w:t>
                    </w:r>
                  </w:p>
                </w:tc>
              </w:tr>
              <w:tr w:rsidR="00ED39DF" w14:paraId="384EB9A3" w14:textId="77777777">
                <w:trPr>
                  <w:divId w:val="1659840292"/>
                  <w:tblCellSpacing w:w="15" w:type="dxa"/>
                </w:trPr>
                <w:tc>
                  <w:tcPr>
                    <w:tcW w:w="50" w:type="pct"/>
                    <w:hideMark/>
                  </w:tcPr>
                  <w:p w14:paraId="410A07FD" w14:textId="77777777" w:rsidR="00ED39DF" w:rsidRDefault="00ED39DF" w:rsidP="00ED39DF">
                    <w:pPr>
                      <w:pStyle w:val="Bibliography"/>
                      <w:spacing w:after="60"/>
                      <w:rPr>
                        <w:noProof/>
                      </w:rPr>
                    </w:pPr>
                    <w:r>
                      <w:rPr>
                        <w:noProof/>
                      </w:rPr>
                      <w:t xml:space="preserve">[30] </w:t>
                    </w:r>
                  </w:p>
                </w:tc>
                <w:tc>
                  <w:tcPr>
                    <w:tcW w:w="0" w:type="auto"/>
                    <w:hideMark/>
                  </w:tcPr>
                  <w:p w14:paraId="38E15A37" w14:textId="77777777" w:rsidR="00ED39DF" w:rsidRDefault="00ED39DF" w:rsidP="00ED39DF">
                    <w:pPr>
                      <w:pStyle w:val="Bibliography"/>
                      <w:spacing w:after="60"/>
                      <w:rPr>
                        <w:noProof/>
                      </w:rPr>
                    </w:pPr>
                    <w:r>
                      <w:rPr>
                        <w:noProof/>
                      </w:rPr>
                      <w:t>ONR, “NS-TAST-GD-077 - Supply Chain Management Arrangements for the Procurement of Nuclear Safety Related Items or Services,” [Online]. Available: ONR website.</w:t>
                    </w:r>
                  </w:p>
                </w:tc>
              </w:tr>
              <w:tr w:rsidR="00ED39DF" w14:paraId="651590E7" w14:textId="77777777">
                <w:trPr>
                  <w:divId w:val="1659840292"/>
                  <w:tblCellSpacing w:w="15" w:type="dxa"/>
                </w:trPr>
                <w:tc>
                  <w:tcPr>
                    <w:tcW w:w="50" w:type="pct"/>
                    <w:hideMark/>
                  </w:tcPr>
                  <w:p w14:paraId="3F346AE5" w14:textId="77777777" w:rsidR="00ED39DF" w:rsidRDefault="00ED39DF" w:rsidP="00ED39DF">
                    <w:pPr>
                      <w:pStyle w:val="Bibliography"/>
                      <w:spacing w:after="60"/>
                      <w:rPr>
                        <w:noProof/>
                      </w:rPr>
                    </w:pPr>
                    <w:r>
                      <w:rPr>
                        <w:noProof/>
                      </w:rPr>
                      <w:t xml:space="preserve">[31] </w:t>
                    </w:r>
                  </w:p>
                </w:tc>
                <w:tc>
                  <w:tcPr>
                    <w:tcW w:w="0" w:type="auto"/>
                    <w:hideMark/>
                  </w:tcPr>
                  <w:p w14:paraId="58F5B45F" w14:textId="77777777" w:rsidR="00ED39DF" w:rsidRDefault="00ED39DF" w:rsidP="00ED39DF">
                    <w:pPr>
                      <w:pStyle w:val="Bibliography"/>
                      <w:spacing w:after="60"/>
                      <w:rPr>
                        <w:noProof/>
                      </w:rPr>
                    </w:pPr>
                    <w:r>
                      <w:rPr>
                        <w:noProof/>
                      </w:rPr>
                      <w:t>CIRIA, “C750, ‘Groundwater control: design and practice (second edition)’,” 2016.</w:t>
                    </w:r>
                  </w:p>
                </w:tc>
              </w:tr>
              <w:tr w:rsidR="00ED39DF" w14:paraId="08173C65" w14:textId="77777777">
                <w:trPr>
                  <w:divId w:val="1659840292"/>
                  <w:tblCellSpacing w:w="15" w:type="dxa"/>
                </w:trPr>
                <w:tc>
                  <w:tcPr>
                    <w:tcW w:w="50" w:type="pct"/>
                    <w:hideMark/>
                  </w:tcPr>
                  <w:p w14:paraId="0764D972" w14:textId="77777777" w:rsidR="00ED39DF" w:rsidRDefault="00ED39DF" w:rsidP="00ED39DF">
                    <w:pPr>
                      <w:pStyle w:val="Bibliography"/>
                      <w:spacing w:after="60"/>
                      <w:rPr>
                        <w:noProof/>
                      </w:rPr>
                    </w:pPr>
                    <w:r>
                      <w:rPr>
                        <w:noProof/>
                      </w:rPr>
                      <w:t xml:space="preserve">[32] </w:t>
                    </w:r>
                  </w:p>
                </w:tc>
                <w:tc>
                  <w:tcPr>
                    <w:tcW w:w="0" w:type="auto"/>
                    <w:hideMark/>
                  </w:tcPr>
                  <w:p w14:paraId="42F690A1" w14:textId="77777777" w:rsidR="00ED39DF" w:rsidRDefault="00ED39DF" w:rsidP="00ED39DF">
                    <w:pPr>
                      <w:pStyle w:val="Bibliography"/>
                      <w:spacing w:after="60"/>
                      <w:rPr>
                        <w:noProof/>
                      </w:rPr>
                    </w:pPr>
                    <w:r>
                      <w:rPr>
                        <w:noProof/>
                      </w:rPr>
                      <w:t>HSE, “L153, Managing Health and Safety in Construction, Construction (Design and Management) Regulations 2015,” 2015.</w:t>
                    </w:r>
                  </w:p>
                </w:tc>
              </w:tr>
              <w:tr w:rsidR="00ED39DF" w14:paraId="7E7D0999" w14:textId="77777777">
                <w:trPr>
                  <w:divId w:val="1659840292"/>
                  <w:tblCellSpacing w:w="15" w:type="dxa"/>
                </w:trPr>
                <w:tc>
                  <w:tcPr>
                    <w:tcW w:w="50" w:type="pct"/>
                    <w:hideMark/>
                  </w:tcPr>
                  <w:p w14:paraId="7E74A23D" w14:textId="77777777" w:rsidR="00ED39DF" w:rsidRDefault="00ED39DF" w:rsidP="00ED39DF">
                    <w:pPr>
                      <w:pStyle w:val="Bibliography"/>
                      <w:spacing w:after="60"/>
                      <w:rPr>
                        <w:noProof/>
                      </w:rPr>
                    </w:pPr>
                    <w:r>
                      <w:rPr>
                        <w:noProof/>
                      </w:rPr>
                      <w:t xml:space="preserve">[33] </w:t>
                    </w:r>
                  </w:p>
                </w:tc>
                <w:tc>
                  <w:tcPr>
                    <w:tcW w:w="0" w:type="auto"/>
                    <w:hideMark/>
                  </w:tcPr>
                  <w:p w14:paraId="5B80FD2A" w14:textId="77777777" w:rsidR="00ED39DF" w:rsidRDefault="00ED39DF" w:rsidP="00ED39DF">
                    <w:pPr>
                      <w:pStyle w:val="Bibliography"/>
                      <w:spacing w:after="60"/>
                      <w:rPr>
                        <w:noProof/>
                      </w:rPr>
                    </w:pPr>
                    <w:r>
                      <w:rPr>
                        <w:noProof/>
                      </w:rPr>
                      <w:t>ONR, “NS-TAST-GD-017 - Annex 2 - Containment structures,” [Online]. Available: ONR website.</w:t>
                    </w:r>
                  </w:p>
                </w:tc>
              </w:tr>
              <w:tr w:rsidR="00ED39DF" w14:paraId="065FFDAB" w14:textId="77777777">
                <w:trPr>
                  <w:divId w:val="1659840292"/>
                  <w:tblCellSpacing w:w="15" w:type="dxa"/>
                </w:trPr>
                <w:tc>
                  <w:tcPr>
                    <w:tcW w:w="50" w:type="pct"/>
                    <w:hideMark/>
                  </w:tcPr>
                  <w:p w14:paraId="1DE62E84" w14:textId="77777777" w:rsidR="00ED39DF" w:rsidRDefault="00ED39DF" w:rsidP="00ED39DF">
                    <w:pPr>
                      <w:pStyle w:val="Bibliography"/>
                      <w:spacing w:after="60"/>
                      <w:rPr>
                        <w:noProof/>
                      </w:rPr>
                    </w:pPr>
                    <w:r>
                      <w:rPr>
                        <w:noProof/>
                      </w:rPr>
                      <w:t xml:space="preserve">[34] </w:t>
                    </w:r>
                  </w:p>
                </w:tc>
                <w:tc>
                  <w:tcPr>
                    <w:tcW w:w="0" w:type="auto"/>
                    <w:hideMark/>
                  </w:tcPr>
                  <w:p w14:paraId="22934237" w14:textId="77777777" w:rsidR="00ED39DF" w:rsidRDefault="00ED39DF" w:rsidP="00ED39DF">
                    <w:pPr>
                      <w:pStyle w:val="Bibliography"/>
                      <w:spacing w:after="60"/>
                      <w:rPr>
                        <w:noProof/>
                      </w:rPr>
                    </w:pPr>
                    <w:r>
                      <w:rPr>
                        <w:noProof/>
                      </w:rPr>
                      <w:t>BSI, “BS 8081:2015+A2:2018 ‘Code of practice for grouted anchors’”.</w:t>
                    </w:r>
                  </w:p>
                </w:tc>
              </w:tr>
              <w:tr w:rsidR="00ED39DF" w14:paraId="14DF5E29" w14:textId="77777777">
                <w:trPr>
                  <w:divId w:val="1659840292"/>
                  <w:tblCellSpacing w:w="15" w:type="dxa"/>
                </w:trPr>
                <w:tc>
                  <w:tcPr>
                    <w:tcW w:w="50" w:type="pct"/>
                    <w:hideMark/>
                  </w:tcPr>
                  <w:p w14:paraId="2B9339C0" w14:textId="77777777" w:rsidR="00ED39DF" w:rsidRDefault="00ED39DF" w:rsidP="00ED39DF">
                    <w:pPr>
                      <w:pStyle w:val="Bibliography"/>
                      <w:spacing w:after="60"/>
                      <w:rPr>
                        <w:noProof/>
                      </w:rPr>
                    </w:pPr>
                    <w:r>
                      <w:rPr>
                        <w:noProof/>
                      </w:rPr>
                      <w:t xml:space="preserve">[35] </w:t>
                    </w:r>
                  </w:p>
                </w:tc>
                <w:tc>
                  <w:tcPr>
                    <w:tcW w:w="0" w:type="auto"/>
                    <w:hideMark/>
                  </w:tcPr>
                  <w:p w14:paraId="4A1B502B" w14:textId="77777777" w:rsidR="00ED39DF" w:rsidRDefault="00ED39DF" w:rsidP="00ED39DF">
                    <w:pPr>
                      <w:pStyle w:val="Bibliography"/>
                      <w:spacing w:after="60"/>
                      <w:rPr>
                        <w:noProof/>
                      </w:rPr>
                    </w:pPr>
                    <w:r>
                      <w:rPr>
                        <w:noProof/>
                      </w:rPr>
                      <w:t>BSI, “BS EN ISO 22477-5:2018, ‘Geotechnical Investigation and Testing – Testing of geotechnical structures. Testing of grouted anchors’”.</w:t>
                    </w:r>
                  </w:p>
                </w:tc>
              </w:tr>
              <w:tr w:rsidR="00ED39DF" w14:paraId="1EFB7C35" w14:textId="77777777">
                <w:trPr>
                  <w:divId w:val="1659840292"/>
                  <w:tblCellSpacing w:w="15" w:type="dxa"/>
                </w:trPr>
                <w:tc>
                  <w:tcPr>
                    <w:tcW w:w="50" w:type="pct"/>
                    <w:hideMark/>
                  </w:tcPr>
                  <w:p w14:paraId="582C0AE2" w14:textId="77777777" w:rsidR="00ED39DF" w:rsidRDefault="00ED39DF" w:rsidP="00ED39DF">
                    <w:pPr>
                      <w:pStyle w:val="Bibliography"/>
                      <w:spacing w:after="60"/>
                      <w:rPr>
                        <w:noProof/>
                      </w:rPr>
                    </w:pPr>
                    <w:r>
                      <w:rPr>
                        <w:noProof/>
                      </w:rPr>
                      <w:t xml:space="preserve">[36] </w:t>
                    </w:r>
                  </w:p>
                </w:tc>
                <w:tc>
                  <w:tcPr>
                    <w:tcW w:w="0" w:type="auto"/>
                    <w:hideMark/>
                  </w:tcPr>
                  <w:p w14:paraId="2CAA5E96" w14:textId="77777777" w:rsidR="00ED39DF" w:rsidRDefault="00ED39DF" w:rsidP="00ED39DF">
                    <w:pPr>
                      <w:pStyle w:val="Bibliography"/>
                      <w:spacing w:after="60"/>
                      <w:rPr>
                        <w:noProof/>
                      </w:rPr>
                    </w:pPr>
                    <w:r>
                      <w:rPr>
                        <w:noProof/>
                      </w:rPr>
                      <w:t>BSI, “BS EN 1537:2013 ‘Execution of special geotechnical work’”.</w:t>
                    </w:r>
                  </w:p>
                </w:tc>
              </w:tr>
              <w:tr w:rsidR="00ED39DF" w14:paraId="0B2BDC55" w14:textId="77777777">
                <w:trPr>
                  <w:divId w:val="1659840292"/>
                  <w:tblCellSpacing w:w="15" w:type="dxa"/>
                </w:trPr>
                <w:tc>
                  <w:tcPr>
                    <w:tcW w:w="50" w:type="pct"/>
                    <w:hideMark/>
                  </w:tcPr>
                  <w:p w14:paraId="30D8BD52" w14:textId="77777777" w:rsidR="00ED39DF" w:rsidRDefault="00ED39DF" w:rsidP="00ED39DF">
                    <w:pPr>
                      <w:pStyle w:val="Bibliography"/>
                      <w:spacing w:after="60"/>
                      <w:rPr>
                        <w:noProof/>
                      </w:rPr>
                    </w:pPr>
                    <w:r>
                      <w:rPr>
                        <w:noProof/>
                      </w:rPr>
                      <w:t xml:space="preserve">[37] </w:t>
                    </w:r>
                  </w:p>
                </w:tc>
                <w:tc>
                  <w:tcPr>
                    <w:tcW w:w="0" w:type="auto"/>
                    <w:hideMark/>
                  </w:tcPr>
                  <w:p w14:paraId="05E3B1E2" w14:textId="77777777" w:rsidR="00ED39DF" w:rsidRDefault="00ED39DF" w:rsidP="00ED39DF">
                    <w:pPr>
                      <w:pStyle w:val="Bibliography"/>
                      <w:spacing w:after="60"/>
                      <w:rPr>
                        <w:noProof/>
                      </w:rPr>
                    </w:pPr>
                    <w:r>
                      <w:rPr>
                        <w:noProof/>
                      </w:rPr>
                      <w:t>BSI, “BS EN 1997-3:2025, ‘Eurocode 7 – Geotechnical Design, Part 3:Geotechnical structures’”.</w:t>
                    </w:r>
                  </w:p>
                </w:tc>
              </w:tr>
              <w:tr w:rsidR="00ED39DF" w14:paraId="54F6CE68" w14:textId="77777777">
                <w:trPr>
                  <w:divId w:val="1659840292"/>
                  <w:tblCellSpacing w:w="15" w:type="dxa"/>
                </w:trPr>
                <w:tc>
                  <w:tcPr>
                    <w:tcW w:w="50" w:type="pct"/>
                    <w:hideMark/>
                  </w:tcPr>
                  <w:p w14:paraId="2CB06952" w14:textId="77777777" w:rsidR="00ED39DF" w:rsidRDefault="00ED39DF" w:rsidP="00ED39DF">
                    <w:pPr>
                      <w:pStyle w:val="Bibliography"/>
                      <w:spacing w:after="60"/>
                      <w:rPr>
                        <w:noProof/>
                      </w:rPr>
                    </w:pPr>
                    <w:r>
                      <w:rPr>
                        <w:noProof/>
                      </w:rPr>
                      <w:t xml:space="preserve">[38] </w:t>
                    </w:r>
                  </w:p>
                </w:tc>
                <w:tc>
                  <w:tcPr>
                    <w:tcW w:w="0" w:type="auto"/>
                    <w:hideMark/>
                  </w:tcPr>
                  <w:p w14:paraId="06C52A5C" w14:textId="77777777" w:rsidR="00ED39DF" w:rsidRDefault="00ED39DF" w:rsidP="00ED39DF">
                    <w:pPr>
                      <w:pStyle w:val="Bibliography"/>
                      <w:spacing w:after="60"/>
                      <w:rPr>
                        <w:noProof/>
                      </w:rPr>
                    </w:pPr>
                    <w:r>
                      <w:rPr>
                        <w:noProof/>
                      </w:rPr>
                      <w:t>ONR, “NS-TAST-GD-017 - Annex 5 - Civil Engineering – Ageing Management and Damaged Structures,” [Online]. Available: ONR website.</w:t>
                    </w:r>
                  </w:p>
                </w:tc>
              </w:tr>
              <w:tr w:rsidR="00ED39DF" w14:paraId="0E698011" w14:textId="77777777">
                <w:trPr>
                  <w:divId w:val="1659840292"/>
                  <w:tblCellSpacing w:w="15" w:type="dxa"/>
                </w:trPr>
                <w:tc>
                  <w:tcPr>
                    <w:tcW w:w="50" w:type="pct"/>
                    <w:hideMark/>
                  </w:tcPr>
                  <w:p w14:paraId="1B595475" w14:textId="77777777" w:rsidR="00ED39DF" w:rsidRDefault="00ED39DF" w:rsidP="00ED39DF">
                    <w:pPr>
                      <w:pStyle w:val="Bibliography"/>
                      <w:spacing w:after="60"/>
                      <w:rPr>
                        <w:noProof/>
                      </w:rPr>
                    </w:pPr>
                    <w:r>
                      <w:rPr>
                        <w:noProof/>
                      </w:rPr>
                      <w:t xml:space="preserve">[39] </w:t>
                    </w:r>
                  </w:p>
                </w:tc>
                <w:tc>
                  <w:tcPr>
                    <w:tcW w:w="0" w:type="auto"/>
                    <w:hideMark/>
                  </w:tcPr>
                  <w:p w14:paraId="4D09DCD4" w14:textId="77777777" w:rsidR="00ED39DF" w:rsidRDefault="00ED39DF" w:rsidP="00ED39DF">
                    <w:pPr>
                      <w:pStyle w:val="Bibliography"/>
                      <w:spacing w:after="60"/>
                      <w:rPr>
                        <w:noProof/>
                      </w:rPr>
                    </w:pPr>
                    <w:r>
                      <w:rPr>
                        <w:noProof/>
                      </w:rPr>
                      <w:t>IAEA, “Technical Reports Series No. 433, 'Upgrading of Near Surface Repositories for Nuclear Waste',” 2005.</w:t>
                    </w:r>
                  </w:p>
                </w:tc>
              </w:tr>
              <w:tr w:rsidR="00ED39DF" w14:paraId="6E4BECAE" w14:textId="77777777">
                <w:trPr>
                  <w:divId w:val="1659840292"/>
                  <w:tblCellSpacing w:w="15" w:type="dxa"/>
                </w:trPr>
                <w:tc>
                  <w:tcPr>
                    <w:tcW w:w="50" w:type="pct"/>
                    <w:hideMark/>
                  </w:tcPr>
                  <w:p w14:paraId="0062D7DC" w14:textId="77777777" w:rsidR="00ED39DF" w:rsidRDefault="00ED39DF" w:rsidP="00ED39DF">
                    <w:pPr>
                      <w:pStyle w:val="Bibliography"/>
                      <w:spacing w:after="60"/>
                      <w:rPr>
                        <w:noProof/>
                      </w:rPr>
                    </w:pPr>
                    <w:r>
                      <w:rPr>
                        <w:noProof/>
                      </w:rPr>
                      <w:t xml:space="preserve">[40] </w:t>
                    </w:r>
                  </w:p>
                </w:tc>
                <w:tc>
                  <w:tcPr>
                    <w:tcW w:w="0" w:type="auto"/>
                    <w:hideMark/>
                  </w:tcPr>
                  <w:p w14:paraId="6AFFB191" w14:textId="77777777" w:rsidR="00ED39DF" w:rsidRDefault="00ED39DF" w:rsidP="00ED39DF">
                    <w:pPr>
                      <w:pStyle w:val="Bibliography"/>
                      <w:spacing w:after="60"/>
                      <w:rPr>
                        <w:noProof/>
                      </w:rPr>
                    </w:pPr>
                    <w:r>
                      <w:rPr>
                        <w:noProof/>
                      </w:rPr>
                      <w:t>BSI, “BS EN 16933-1:2022, 'Drain and sewer systems outside buildings - Design - Part 1:Layout Principles'”.</w:t>
                    </w:r>
                  </w:p>
                </w:tc>
              </w:tr>
              <w:tr w:rsidR="00ED39DF" w14:paraId="75E0BC57" w14:textId="77777777">
                <w:trPr>
                  <w:divId w:val="1659840292"/>
                  <w:tblCellSpacing w:w="15" w:type="dxa"/>
                </w:trPr>
                <w:tc>
                  <w:tcPr>
                    <w:tcW w:w="50" w:type="pct"/>
                    <w:hideMark/>
                  </w:tcPr>
                  <w:p w14:paraId="71C3B1BD" w14:textId="77777777" w:rsidR="00ED39DF" w:rsidRDefault="00ED39DF" w:rsidP="00ED39DF">
                    <w:pPr>
                      <w:pStyle w:val="Bibliography"/>
                      <w:spacing w:after="60"/>
                      <w:rPr>
                        <w:noProof/>
                      </w:rPr>
                    </w:pPr>
                    <w:r>
                      <w:rPr>
                        <w:noProof/>
                      </w:rPr>
                      <w:t xml:space="preserve">[41] </w:t>
                    </w:r>
                  </w:p>
                </w:tc>
                <w:tc>
                  <w:tcPr>
                    <w:tcW w:w="0" w:type="auto"/>
                    <w:hideMark/>
                  </w:tcPr>
                  <w:p w14:paraId="7B869A77" w14:textId="77777777" w:rsidR="00ED39DF" w:rsidRDefault="00ED39DF" w:rsidP="00ED39DF">
                    <w:pPr>
                      <w:pStyle w:val="Bibliography"/>
                      <w:spacing w:after="60"/>
                      <w:rPr>
                        <w:noProof/>
                      </w:rPr>
                    </w:pPr>
                    <w:r>
                      <w:rPr>
                        <w:noProof/>
                      </w:rPr>
                      <w:t>BSI, “BS EN 16933-2:2022, 'Drain and sewer systems outside buildings - Design - Part 1:Hydraulic Design'”.</w:t>
                    </w:r>
                  </w:p>
                </w:tc>
              </w:tr>
              <w:tr w:rsidR="00ED39DF" w14:paraId="5A07C485" w14:textId="77777777">
                <w:trPr>
                  <w:divId w:val="1659840292"/>
                  <w:tblCellSpacing w:w="15" w:type="dxa"/>
                </w:trPr>
                <w:tc>
                  <w:tcPr>
                    <w:tcW w:w="50" w:type="pct"/>
                    <w:hideMark/>
                  </w:tcPr>
                  <w:p w14:paraId="49A65236" w14:textId="77777777" w:rsidR="00ED39DF" w:rsidRDefault="00ED39DF" w:rsidP="00ED39DF">
                    <w:pPr>
                      <w:pStyle w:val="Bibliography"/>
                      <w:spacing w:after="60"/>
                      <w:rPr>
                        <w:noProof/>
                      </w:rPr>
                    </w:pPr>
                    <w:r>
                      <w:rPr>
                        <w:noProof/>
                      </w:rPr>
                      <w:lastRenderedPageBreak/>
                      <w:t xml:space="preserve">[42] </w:t>
                    </w:r>
                  </w:p>
                </w:tc>
                <w:tc>
                  <w:tcPr>
                    <w:tcW w:w="0" w:type="auto"/>
                    <w:hideMark/>
                  </w:tcPr>
                  <w:p w14:paraId="0CACBE28" w14:textId="77777777" w:rsidR="00ED39DF" w:rsidRDefault="00ED39DF" w:rsidP="00ED39DF">
                    <w:pPr>
                      <w:pStyle w:val="Bibliography"/>
                      <w:spacing w:after="60"/>
                      <w:rPr>
                        <w:noProof/>
                      </w:rPr>
                    </w:pPr>
                    <w:r>
                      <w:rPr>
                        <w:noProof/>
                      </w:rPr>
                      <w:t>CIRIA, “The SuDS Manual (C753)”.</w:t>
                    </w:r>
                  </w:p>
                </w:tc>
              </w:tr>
              <w:tr w:rsidR="00ED39DF" w14:paraId="0883B581" w14:textId="77777777">
                <w:trPr>
                  <w:divId w:val="1659840292"/>
                  <w:tblCellSpacing w:w="15" w:type="dxa"/>
                </w:trPr>
                <w:tc>
                  <w:tcPr>
                    <w:tcW w:w="50" w:type="pct"/>
                    <w:hideMark/>
                  </w:tcPr>
                  <w:p w14:paraId="770B00CC" w14:textId="77777777" w:rsidR="00ED39DF" w:rsidRDefault="00ED39DF" w:rsidP="00ED39DF">
                    <w:pPr>
                      <w:pStyle w:val="Bibliography"/>
                      <w:spacing w:after="60"/>
                      <w:rPr>
                        <w:noProof/>
                      </w:rPr>
                    </w:pPr>
                    <w:r>
                      <w:rPr>
                        <w:noProof/>
                      </w:rPr>
                      <w:t xml:space="preserve">[43] </w:t>
                    </w:r>
                  </w:p>
                </w:tc>
                <w:tc>
                  <w:tcPr>
                    <w:tcW w:w="0" w:type="auto"/>
                    <w:hideMark/>
                  </w:tcPr>
                  <w:p w14:paraId="7C2A942E" w14:textId="77777777" w:rsidR="00ED39DF" w:rsidRDefault="00ED39DF" w:rsidP="00ED39DF">
                    <w:pPr>
                      <w:pStyle w:val="Bibliography"/>
                      <w:spacing w:after="60"/>
                      <w:rPr>
                        <w:noProof/>
                      </w:rPr>
                    </w:pPr>
                    <w:r>
                      <w:rPr>
                        <w:noProof/>
                      </w:rPr>
                      <w:t>EurOtop, “Overtopping Manual,” [Online]. Available: https://www.overtopping-manual.com/.</w:t>
                    </w:r>
                  </w:p>
                </w:tc>
              </w:tr>
              <w:tr w:rsidR="00ED39DF" w14:paraId="25EF6421" w14:textId="77777777">
                <w:trPr>
                  <w:divId w:val="1659840292"/>
                  <w:tblCellSpacing w:w="15" w:type="dxa"/>
                </w:trPr>
                <w:tc>
                  <w:tcPr>
                    <w:tcW w:w="50" w:type="pct"/>
                    <w:hideMark/>
                  </w:tcPr>
                  <w:p w14:paraId="3FD6D507" w14:textId="77777777" w:rsidR="00ED39DF" w:rsidRDefault="00ED39DF" w:rsidP="00ED39DF">
                    <w:pPr>
                      <w:pStyle w:val="Bibliography"/>
                      <w:spacing w:after="60"/>
                      <w:rPr>
                        <w:noProof/>
                      </w:rPr>
                    </w:pPr>
                    <w:r>
                      <w:rPr>
                        <w:noProof/>
                      </w:rPr>
                      <w:t xml:space="preserve">[44] </w:t>
                    </w:r>
                  </w:p>
                </w:tc>
                <w:tc>
                  <w:tcPr>
                    <w:tcW w:w="0" w:type="auto"/>
                    <w:hideMark/>
                  </w:tcPr>
                  <w:p w14:paraId="2FB74C1B" w14:textId="77777777" w:rsidR="00ED39DF" w:rsidRDefault="00ED39DF" w:rsidP="00ED39DF">
                    <w:pPr>
                      <w:pStyle w:val="Bibliography"/>
                      <w:spacing w:after="60"/>
                      <w:rPr>
                        <w:noProof/>
                      </w:rPr>
                    </w:pPr>
                    <w:r>
                      <w:rPr>
                        <w:noProof/>
                      </w:rPr>
                      <w:t>HSE, “L101 - Safe work in confined spaces - Confined Spaces Regulations 1997: Approved Code of Practice, Regulations and guidance”.</w:t>
                    </w:r>
                  </w:p>
                </w:tc>
              </w:tr>
              <w:tr w:rsidR="00ED39DF" w14:paraId="41830407" w14:textId="77777777">
                <w:trPr>
                  <w:divId w:val="1659840292"/>
                  <w:tblCellSpacing w:w="15" w:type="dxa"/>
                </w:trPr>
                <w:tc>
                  <w:tcPr>
                    <w:tcW w:w="50" w:type="pct"/>
                    <w:hideMark/>
                  </w:tcPr>
                  <w:p w14:paraId="6BE101EE" w14:textId="77777777" w:rsidR="00ED39DF" w:rsidRDefault="00ED39DF" w:rsidP="00ED39DF">
                    <w:pPr>
                      <w:pStyle w:val="Bibliography"/>
                      <w:spacing w:after="60"/>
                      <w:rPr>
                        <w:noProof/>
                      </w:rPr>
                    </w:pPr>
                    <w:r>
                      <w:rPr>
                        <w:noProof/>
                      </w:rPr>
                      <w:t xml:space="preserve">[45] </w:t>
                    </w:r>
                  </w:p>
                </w:tc>
                <w:tc>
                  <w:tcPr>
                    <w:tcW w:w="0" w:type="auto"/>
                    <w:hideMark/>
                  </w:tcPr>
                  <w:p w14:paraId="3213ED4A" w14:textId="77777777" w:rsidR="00ED39DF" w:rsidRDefault="00ED39DF" w:rsidP="00ED39DF">
                    <w:pPr>
                      <w:pStyle w:val="Bibliography"/>
                      <w:spacing w:after="60"/>
                      <w:rPr>
                        <w:noProof/>
                      </w:rPr>
                    </w:pPr>
                    <w:r>
                      <w:rPr>
                        <w:noProof/>
                      </w:rPr>
                      <w:t>HSE, “L140 - Hand-arm vibration - The Control of Vibration at Work Regulations 2005,” 2019.</w:t>
                    </w:r>
                  </w:p>
                </w:tc>
              </w:tr>
              <w:tr w:rsidR="00ED39DF" w14:paraId="322824CE" w14:textId="77777777">
                <w:trPr>
                  <w:divId w:val="1659840292"/>
                  <w:tblCellSpacing w:w="15" w:type="dxa"/>
                </w:trPr>
                <w:tc>
                  <w:tcPr>
                    <w:tcW w:w="50" w:type="pct"/>
                    <w:hideMark/>
                  </w:tcPr>
                  <w:p w14:paraId="5A3E59B5" w14:textId="77777777" w:rsidR="00ED39DF" w:rsidRDefault="00ED39DF" w:rsidP="00ED39DF">
                    <w:pPr>
                      <w:pStyle w:val="Bibliography"/>
                      <w:spacing w:after="60"/>
                      <w:rPr>
                        <w:noProof/>
                      </w:rPr>
                    </w:pPr>
                    <w:r>
                      <w:rPr>
                        <w:noProof/>
                      </w:rPr>
                      <w:t xml:space="preserve">[46] </w:t>
                    </w:r>
                  </w:p>
                </w:tc>
                <w:tc>
                  <w:tcPr>
                    <w:tcW w:w="0" w:type="auto"/>
                    <w:hideMark/>
                  </w:tcPr>
                  <w:p w14:paraId="25045470" w14:textId="77777777" w:rsidR="00ED39DF" w:rsidRDefault="00ED39DF" w:rsidP="00ED39DF">
                    <w:pPr>
                      <w:pStyle w:val="Bibliography"/>
                      <w:spacing w:after="60"/>
                      <w:rPr>
                        <w:noProof/>
                      </w:rPr>
                    </w:pPr>
                    <w:r>
                      <w:rPr>
                        <w:noProof/>
                      </w:rPr>
                      <w:t>HSE, “HSG85 - Electricity at Work Safe Working Practices,” 2013.</w:t>
                    </w:r>
                  </w:p>
                </w:tc>
              </w:tr>
              <w:tr w:rsidR="00ED39DF" w14:paraId="78793F92" w14:textId="77777777">
                <w:trPr>
                  <w:divId w:val="1659840292"/>
                  <w:tblCellSpacing w:w="15" w:type="dxa"/>
                </w:trPr>
                <w:tc>
                  <w:tcPr>
                    <w:tcW w:w="50" w:type="pct"/>
                    <w:hideMark/>
                  </w:tcPr>
                  <w:p w14:paraId="4918BDB0" w14:textId="77777777" w:rsidR="00ED39DF" w:rsidRDefault="00ED39DF" w:rsidP="00ED39DF">
                    <w:pPr>
                      <w:pStyle w:val="Bibliography"/>
                      <w:spacing w:after="60"/>
                      <w:rPr>
                        <w:noProof/>
                      </w:rPr>
                    </w:pPr>
                    <w:r>
                      <w:rPr>
                        <w:noProof/>
                      </w:rPr>
                      <w:t xml:space="preserve">[47] </w:t>
                    </w:r>
                  </w:p>
                </w:tc>
                <w:tc>
                  <w:tcPr>
                    <w:tcW w:w="0" w:type="auto"/>
                    <w:hideMark/>
                  </w:tcPr>
                  <w:p w14:paraId="5531F462" w14:textId="77777777" w:rsidR="00ED39DF" w:rsidRDefault="00ED39DF" w:rsidP="00ED39DF">
                    <w:pPr>
                      <w:pStyle w:val="Bibliography"/>
                      <w:spacing w:after="60"/>
                      <w:rPr>
                        <w:noProof/>
                      </w:rPr>
                    </w:pPr>
                    <w:r>
                      <w:rPr>
                        <w:noProof/>
                      </w:rPr>
                      <w:t>HSE, “HSR25 - The Electricity at Work Regulations 1989,” 2015.</w:t>
                    </w:r>
                  </w:p>
                </w:tc>
              </w:tr>
              <w:tr w:rsidR="00ED39DF" w14:paraId="3A5237E1" w14:textId="77777777">
                <w:trPr>
                  <w:divId w:val="1659840292"/>
                  <w:tblCellSpacing w:w="15" w:type="dxa"/>
                </w:trPr>
                <w:tc>
                  <w:tcPr>
                    <w:tcW w:w="50" w:type="pct"/>
                    <w:hideMark/>
                  </w:tcPr>
                  <w:p w14:paraId="5E88BA6D" w14:textId="77777777" w:rsidR="00ED39DF" w:rsidRDefault="00ED39DF" w:rsidP="00ED39DF">
                    <w:pPr>
                      <w:pStyle w:val="Bibliography"/>
                      <w:spacing w:after="60"/>
                      <w:rPr>
                        <w:noProof/>
                      </w:rPr>
                    </w:pPr>
                    <w:r>
                      <w:rPr>
                        <w:noProof/>
                      </w:rPr>
                      <w:t xml:space="preserve">[48] </w:t>
                    </w:r>
                  </w:p>
                </w:tc>
                <w:tc>
                  <w:tcPr>
                    <w:tcW w:w="0" w:type="auto"/>
                    <w:hideMark/>
                  </w:tcPr>
                  <w:p w14:paraId="3E64C123" w14:textId="77777777" w:rsidR="00ED39DF" w:rsidRDefault="00ED39DF" w:rsidP="00ED39DF">
                    <w:pPr>
                      <w:pStyle w:val="Bibliography"/>
                      <w:spacing w:after="60"/>
                      <w:rPr>
                        <w:noProof/>
                      </w:rPr>
                    </w:pPr>
                    <w:r>
                      <w:rPr>
                        <w:noProof/>
                      </w:rPr>
                      <w:t>HSE, “HSG65 - Managing for health and safety,” 2013.</w:t>
                    </w:r>
                  </w:p>
                </w:tc>
              </w:tr>
              <w:tr w:rsidR="00ED39DF" w14:paraId="65E6EDA8" w14:textId="77777777">
                <w:trPr>
                  <w:divId w:val="1659840292"/>
                  <w:tblCellSpacing w:w="15" w:type="dxa"/>
                </w:trPr>
                <w:tc>
                  <w:tcPr>
                    <w:tcW w:w="50" w:type="pct"/>
                    <w:hideMark/>
                  </w:tcPr>
                  <w:p w14:paraId="7F36763F" w14:textId="77777777" w:rsidR="00ED39DF" w:rsidRDefault="00ED39DF" w:rsidP="00ED39DF">
                    <w:pPr>
                      <w:pStyle w:val="Bibliography"/>
                      <w:spacing w:after="60"/>
                      <w:rPr>
                        <w:noProof/>
                      </w:rPr>
                    </w:pPr>
                    <w:r>
                      <w:rPr>
                        <w:noProof/>
                      </w:rPr>
                      <w:t xml:space="preserve">[49] </w:t>
                    </w:r>
                  </w:p>
                </w:tc>
                <w:tc>
                  <w:tcPr>
                    <w:tcW w:w="0" w:type="auto"/>
                    <w:hideMark/>
                  </w:tcPr>
                  <w:p w14:paraId="676341F9" w14:textId="77777777" w:rsidR="00ED39DF" w:rsidRDefault="00ED39DF" w:rsidP="00ED39DF">
                    <w:pPr>
                      <w:pStyle w:val="Bibliography"/>
                      <w:spacing w:after="60"/>
                      <w:rPr>
                        <w:noProof/>
                      </w:rPr>
                    </w:pPr>
                    <w:r>
                      <w:rPr>
                        <w:noProof/>
                      </w:rPr>
                      <w:t>HSE, “HSG159 - Managing Contractors”.</w:t>
                    </w:r>
                  </w:p>
                </w:tc>
              </w:tr>
              <w:tr w:rsidR="00ED39DF" w14:paraId="0BA6E7E8" w14:textId="77777777">
                <w:trPr>
                  <w:divId w:val="1659840292"/>
                  <w:tblCellSpacing w:w="15" w:type="dxa"/>
                </w:trPr>
                <w:tc>
                  <w:tcPr>
                    <w:tcW w:w="50" w:type="pct"/>
                    <w:hideMark/>
                  </w:tcPr>
                  <w:p w14:paraId="67383E10" w14:textId="77777777" w:rsidR="00ED39DF" w:rsidRDefault="00ED39DF" w:rsidP="00ED39DF">
                    <w:pPr>
                      <w:pStyle w:val="Bibliography"/>
                      <w:spacing w:after="60"/>
                      <w:rPr>
                        <w:noProof/>
                      </w:rPr>
                    </w:pPr>
                    <w:r>
                      <w:rPr>
                        <w:noProof/>
                      </w:rPr>
                      <w:t xml:space="preserve">[50] </w:t>
                    </w:r>
                  </w:p>
                </w:tc>
                <w:tc>
                  <w:tcPr>
                    <w:tcW w:w="0" w:type="auto"/>
                    <w:hideMark/>
                  </w:tcPr>
                  <w:p w14:paraId="73B1EB90" w14:textId="77777777" w:rsidR="00ED39DF" w:rsidRDefault="00ED39DF" w:rsidP="00ED39DF">
                    <w:pPr>
                      <w:pStyle w:val="Bibliography"/>
                      <w:spacing w:after="60"/>
                      <w:rPr>
                        <w:noProof/>
                      </w:rPr>
                    </w:pPr>
                    <w:r>
                      <w:rPr>
                        <w:noProof/>
                      </w:rPr>
                      <w:t>HSE, “HSG170 - Vibration solutions: Practical ways to reduce the risk of hand-arm vibration injury,” 1997.</w:t>
                    </w:r>
                  </w:p>
                </w:tc>
              </w:tr>
              <w:tr w:rsidR="00ED39DF" w14:paraId="65468DBF" w14:textId="77777777">
                <w:trPr>
                  <w:divId w:val="1659840292"/>
                  <w:tblCellSpacing w:w="15" w:type="dxa"/>
                </w:trPr>
                <w:tc>
                  <w:tcPr>
                    <w:tcW w:w="50" w:type="pct"/>
                    <w:hideMark/>
                  </w:tcPr>
                  <w:p w14:paraId="1D1B54AC" w14:textId="77777777" w:rsidR="00ED39DF" w:rsidRDefault="00ED39DF" w:rsidP="00ED39DF">
                    <w:pPr>
                      <w:pStyle w:val="Bibliography"/>
                      <w:spacing w:after="60"/>
                      <w:rPr>
                        <w:noProof/>
                      </w:rPr>
                    </w:pPr>
                    <w:r>
                      <w:rPr>
                        <w:noProof/>
                      </w:rPr>
                      <w:t xml:space="preserve">[51] </w:t>
                    </w:r>
                  </w:p>
                </w:tc>
                <w:tc>
                  <w:tcPr>
                    <w:tcW w:w="0" w:type="auto"/>
                    <w:hideMark/>
                  </w:tcPr>
                  <w:p w14:paraId="3C8C1676" w14:textId="77777777" w:rsidR="00ED39DF" w:rsidRDefault="00ED39DF" w:rsidP="00ED39DF">
                    <w:pPr>
                      <w:pStyle w:val="Bibliography"/>
                      <w:spacing w:after="60"/>
                      <w:rPr>
                        <w:noProof/>
                      </w:rPr>
                    </w:pPr>
                    <w:r>
                      <w:rPr>
                        <w:noProof/>
                      </w:rPr>
                      <w:t>HSE, “HSG268 - The health and safety toolbox: how to control risks at work,” 2014.</w:t>
                    </w:r>
                  </w:p>
                </w:tc>
              </w:tr>
              <w:tr w:rsidR="00ED39DF" w14:paraId="22FFB833" w14:textId="77777777">
                <w:trPr>
                  <w:divId w:val="1659840292"/>
                  <w:tblCellSpacing w:w="15" w:type="dxa"/>
                </w:trPr>
                <w:tc>
                  <w:tcPr>
                    <w:tcW w:w="50" w:type="pct"/>
                    <w:hideMark/>
                  </w:tcPr>
                  <w:p w14:paraId="5EB8D344" w14:textId="77777777" w:rsidR="00ED39DF" w:rsidRDefault="00ED39DF" w:rsidP="00ED39DF">
                    <w:pPr>
                      <w:pStyle w:val="Bibliography"/>
                      <w:spacing w:after="60"/>
                      <w:rPr>
                        <w:noProof/>
                      </w:rPr>
                    </w:pPr>
                    <w:r>
                      <w:rPr>
                        <w:noProof/>
                      </w:rPr>
                      <w:t xml:space="preserve">[52] </w:t>
                    </w:r>
                  </w:p>
                </w:tc>
                <w:tc>
                  <w:tcPr>
                    <w:tcW w:w="0" w:type="auto"/>
                    <w:hideMark/>
                  </w:tcPr>
                  <w:p w14:paraId="738DD3B5" w14:textId="77777777" w:rsidR="00ED39DF" w:rsidRDefault="00ED39DF" w:rsidP="00ED39DF">
                    <w:pPr>
                      <w:pStyle w:val="Bibliography"/>
                      <w:spacing w:after="60"/>
                      <w:rPr>
                        <w:noProof/>
                      </w:rPr>
                    </w:pPr>
                    <w:r>
                      <w:rPr>
                        <w:noProof/>
                      </w:rPr>
                      <w:t>HSE, “INDG411, A short guide for clients on the Construction (Design and Management) Regulations 2015 Rev 1,” April 2015.</w:t>
                    </w:r>
                  </w:p>
                </w:tc>
              </w:tr>
              <w:tr w:rsidR="00ED39DF" w14:paraId="235DA239" w14:textId="77777777">
                <w:trPr>
                  <w:divId w:val="1659840292"/>
                  <w:tblCellSpacing w:w="15" w:type="dxa"/>
                </w:trPr>
                <w:tc>
                  <w:tcPr>
                    <w:tcW w:w="50" w:type="pct"/>
                    <w:hideMark/>
                  </w:tcPr>
                  <w:p w14:paraId="474A304D" w14:textId="77777777" w:rsidR="00ED39DF" w:rsidRDefault="00ED39DF" w:rsidP="00ED39DF">
                    <w:pPr>
                      <w:pStyle w:val="Bibliography"/>
                      <w:spacing w:after="60"/>
                      <w:rPr>
                        <w:noProof/>
                      </w:rPr>
                    </w:pPr>
                    <w:r>
                      <w:rPr>
                        <w:noProof/>
                      </w:rPr>
                      <w:t xml:space="preserve">[53] </w:t>
                    </w:r>
                  </w:p>
                </w:tc>
                <w:tc>
                  <w:tcPr>
                    <w:tcW w:w="0" w:type="auto"/>
                    <w:hideMark/>
                  </w:tcPr>
                  <w:p w14:paraId="042BE786" w14:textId="77777777" w:rsidR="00ED39DF" w:rsidRDefault="00ED39DF" w:rsidP="00ED39DF">
                    <w:pPr>
                      <w:pStyle w:val="Bibliography"/>
                      <w:spacing w:after="60"/>
                      <w:rPr>
                        <w:noProof/>
                      </w:rPr>
                    </w:pPr>
                    <w:r>
                      <w:rPr>
                        <w:noProof/>
                      </w:rPr>
                      <w:t>HSE, “RR319 - Safer foundations by design (buildability)”.</w:t>
                    </w:r>
                  </w:p>
                </w:tc>
              </w:tr>
              <w:tr w:rsidR="00ED39DF" w14:paraId="5B922D8E" w14:textId="77777777">
                <w:trPr>
                  <w:divId w:val="1659840292"/>
                  <w:tblCellSpacing w:w="15" w:type="dxa"/>
                </w:trPr>
                <w:tc>
                  <w:tcPr>
                    <w:tcW w:w="50" w:type="pct"/>
                    <w:hideMark/>
                  </w:tcPr>
                  <w:p w14:paraId="5A25346E" w14:textId="77777777" w:rsidR="00ED39DF" w:rsidRDefault="00ED39DF" w:rsidP="00ED39DF">
                    <w:pPr>
                      <w:pStyle w:val="Bibliography"/>
                      <w:spacing w:after="60"/>
                      <w:rPr>
                        <w:noProof/>
                      </w:rPr>
                    </w:pPr>
                    <w:r>
                      <w:rPr>
                        <w:noProof/>
                      </w:rPr>
                      <w:t xml:space="preserve">[54] </w:t>
                    </w:r>
                  </w:p>
                </w:tc>
                <w:tc>
                  <w:tcPr>
                    <w:tcW w:w="0" w:type="auto"/>
                    <w:hideMark/>
                  </w:tcPr>
                  <w:p w14:paraId="605943FD" w14:textId="77777777" w:rsidR="00ED39DF" w:rsidRDefault="00ED39DF" w:rsidP="00ED39DF">
                    <w:pPr>
                      <w:pStyle w:val="Bibliography"/>
                      <w:spacing w:after="60"/>
                      <w:rPr>
                        <w:noProof/>
                      </w:rPr>
                    </w:pPr>
                    <w:r>
                      <w:rPr>
                        <w:noProof/>
                      </w:rPr>
                      <w:t>USNRC, “Standard Review Plan for the Review of Safety Analysis Reports for Nuclear Power Plants: LWR Edition (NUREG-0800, Formerly issued as NUREG-75/087),” [Online]. Available: https://www.nrc.gov/reading-rm/doc-collections/nuregs/staff/sr0800/index.</w:t>
                    </w:r>
                  </w:p>
                </w:tc>
              </w:tr>
              <w:tr w:rsidR="00ED39DF" w14:paraId="0D00643F" w14:textId="77777777">
                <w:trPr>
                  <w:divId w:val="1659840292"/>
                  <w:tblCellSpacing w:w="15" w:type="dxa"/>
                </w:trPr>
                <w:tc>
                  <w:tcPr>
                    <w:tcW w:w="50" w:type="pct"/>
                    <w:hideMark/>
                  </w:tcPr>
                  <w:p w14:paraId="11EA88F7" w14:textId="77777777" w:rsidR="00ED39DF" w:rsidRDefault="00ED39DF" w:rsidP="00ED39DF">
                    <w:pPr>
                      <w:pStyle w:val="Bibliography"/>
                      <w:spacing w:after="60"/>
                      <w:rPr>
                        <w:noProof/>
                      </w:rPr>
                    </w:pPr>
                    <w:r>
                      <w:rPr>
                        <w:noProof/>
                      </w:rPr>
                      <w:t xml:space="preserve">[55] </w:t>
                    </w:r>
                  </w:p>
                </w:tc>
                <w:tc>
                  <w:tcPr>
                    <w:tcW w:w="0" w:type="auto"/>
                    <w:hideMark/>
                  </w:tcPr>
                  <w:p w14:paraId="6D95202E" w14:textId="77777777" w:rsidR="00ED39DF" w:rsidRDefault="00ED39DF" w:rsidP="00ED39DF">
                    <w:pPr>
                      <w:pStyle w:val="Bibliography"/>
                      <w:spacing w:after="60"/>
                      <w:rPr>
                        <w:noProof/>
                      </w:rPr>
                    </w:pPr>
                    <w:r>
                      <w:rPr>
                        <w:noProof/>
                      </w:rPr>
                      <w:t>BSI, “BS 1377. 'Methods of test for soils for civil engineering purposes'”.</w:t>
                    </w:r>
                  </w:p>
                </w:tc>
              </w:tr>
              <w:tr w:rsidR="00ED39DF" w14:paraId="543275A7" w14:textId="77777777">
                <w:trPr>
                  <w:divId w:val="1659840292"/>
                  <w:tblCellSpacing w:w="15" w:type="dxa"/>
                </w:trPr>
                <w:tc>
                  <w:tcPr>
                    <w:tcW w:w="50" w:type="pct"/>
                    <w:hideMark/>
                  </w:tcPr>
                  <w:p w14:paraId="63128F24" w14:textId="77777777" w:rsidR="00ED39DF" w:rsidRDefault="00ED39DF" w:rsidP="00ED39DF">
                    <w:pPr>
                      <w:pStyle w:val="Bibliography"/>
                      <w:spacing w:after="60"/>
                      <w:rPr>
                        <w:noProof/>
                      </w:rPr>
                    </w:pPr>
                    <w:r>
                      <w:rPr>
                        <w:noProof/>
                      </w:rPr>
                      <w:t xml:space="preserve">[56] </w:t>
                    </w:r>
                  </w:p>
                </w:tc>
                <w:tc>
                  <w:tcPr>
                    <w:tcW w:w="0" w:type="auto"/>
                    <w:hideMark/>
                  </w:tcPr>
                  <w:p w14:paraId="5A0A3224" w14:textId="77777777" w:rsidR="00ED39DF" w:rsidRDefault="00ED39DF" w:rsidP="00ED39DF">
                    <w:pPr>
                      <w:pStyle w:val="Bibliography"/>
                      <w:spacing w:after="60"/>
                      <w:rPr>
                        <w:noProof/>
                      </w:rPr>
                    </w:pPr>
                    <w:r>
                      <w:rPr>
                        <w:noProof/>
                      </w:rPr>
                      <w:t>BSI, “BS 8004:2015+A1:2020, 'Code of practice for foundations'”.</w:t>
                    </w:r>
                  </w:p>
                </w:tc>
              </w:tr>
              <w:tr w:rsidR="00ED39DF" w14:paraId="0B7F22AA" w14:textId="77777777">
                <w:trPr>
                  <w:divId w:val="1659840292"/>
                  <w:tblCellSpacing w:w="15" w:type="dxa"/>
                </w:trPr>
                <w:tc>
                  <w:tcPr>
                    <w:tcW w:w="50" w:type="pct"/>
                    <w:hideMark/>
                  </w:tcPr>
                  <w:p w14:paraId="2ED87B0F" w14:textId="77777777" w:rsidR="00ED39DF" w:rsidRDefault="00ED39DF" w:rsidP="00ED39DF">
                    <w:pPr>
                      <w:pStyle w:val="Bibliography"/>
                      <w:spacing w:after="60"/>
                      <w:rPr>
                        <w:noProof/>
                      </w:rPr>
                    </w:pPr>
                    <w:r>
                      <w:rPr>
                        <w:noProof/>
                      </w:rPr>
                      <w:t xml:space="preserve">[57] </w:t>
                    </w:r>
                  </w:p>
                </w:tc>
                <w:tc>
                  <w:tcPr>
                    <w:tcW w:w="0" w:type="auto"/>
                    <w:hideMark/>
                  </w:tcPr>
                  <w:p w14:paraId="41F5BDCC" w14:textId="77777777" w:rsidR="00ED39DF" w:rsidRDefault="00ED39DF" w:rsidP="00ED39DF">
                    <w:pPr>
                      <w:pStyle w:val="Bibliography"/>
                      <w:spacing w:after="60"/>
                      <w:rPr>
                        <w:noProof/>
                      </w:rPr>
                    </w:pPr>
                    <w:r>
                      <w:rPr>
                        <w:noProof/>
                      </w:rPr>
                      <w:t>BSI, “BS 8002:2015, 'Code of practice for earth retaining structures'”.</w:t>
                    </w:r>
                  </w:p>
                </w:tc>
              </w:tr>
              <w:tr w:rsidR="00ED39DF" w14:paraId="5BDCD173" w14:textId="77777777">
                <w:trPr>
                  <w:divId w:val="1659840292"/>
                  <w:tblCellSpacing w:w="15" w:type="dxa"/>
                </w:trPr>
                <w:tc>
                  <w:tcPr>
                    <w:tcW w:w="50" w:type="pct"/>
                    <w:hideMark/>
                  </w:tcPr>
                  <w:p w14:paraId="27618849" w14:textId="77777777" w:rsidR="00ED39DF" w:rsidRDefault="00ED39DF" w:rsidP="00ED39DF">
                    <w:pPr>
                      <w:pStyle w:val="Bibliography"/>
                      <w:spacing w:after="60"/>
                      <w:rPr>
                        <w:noProof/>
                      </w:rPr>
                    </w:pPr>
                    <w:r>
                      <w:rPr>
                        <w:noProof/>
                      </w:rPr>
                      <w:t xml:space="preserve">[58] </w:t>
                    </w:r>
                  </w:p>
                </w:tc>
                <w:tc>
                  <w:tcPr>
                    <w:tcW w:w="0" w:type="auto"/>
                    <w:hideMark/>
                  </w:tcPr>
                  <w:p w14:paraId="63B618A8" w14:textId="77777777" w:rsidR="00ED39DF" w:rsidRDefault="00ED39DF" w:rsidP="00ED39DF">
                    <w:pPr>
                      <w:pStyle w:val="Bibliography"/>
                      <w:spacing w:after="60"/>
                      <w:rPr>
                        <w:noProof/>
                      </w:rPr>
                    </w:pPr>
                    <w:r>
                      <w:rPr>
                        <w:noProof/>
                      </w:rPr>
                      <w:t xml:space="preserve">JRC Science and Technology Report, New European Technical Rules for the Assessment and Retrofitting of Existing Structures, European Commission Joint Research Centre, 2015, CM9 2020/314976. </w:t>
                    </w:r>
                  </w:p>
                </w:tc>
              </w:tr>
            </w:tbl>
            <w:p w14:paraId="415C229C" w14:textId="77777777" w:rsidR="00ED39DF" w:rsidRDefault="00ED39DF">
              <w:pPr>
                <w:divId w:val="1659840292"/>
                <w:rPr>
                  <w:rFonts w:eastAsia="Times New Roman"/>
                  <w:noProof/>
                </w:rPr>
              </w:pPr>
            </w:p>
            <w:p w14:paraId="7DE7EF28" w14:textId="0FE103D2" w:rsidR="00401277" w:rsidRDefault="00401277">
              <w:r>
                <w:rPr>
                  <w:b/>
                  <w:bCs/>
                </w:rPr>
                <w:fldChar w:fldCharType="end"/>
              </w:r>
            </w:p>
          </w:sdtContent>
        </w:sdt>
      </w:sdtContent>
    </w:sdt>
    <w:p w14:paraId="0302E9B2" w14:textId="49BBFFFE" w:rsidR="008168DE" w:rsidRPr="00D04502" w:rsidRDefault="008168DE" w:rsidP="003E0431"/>
    <w:p w14:paraId="5D307F5E" w14:textId="5B0E81C5" w:rsidR="00E60777" w:rsidRPr="00D04502" w:rsidRDefault="00E60777">
      <w:pPr>
        <w:spacing w:after="0" w:line="240" w:lineRule="auto"/>
      </w:pPr>
      <w:r w:rsidRPr="00D04502">
        <w:br w:type="page"/>
      </w:r>
    </w:p>
    <w:p w14:paraId="17DED67D" w14:textId="19D13A2F" w:rsidR="00E60777" w:rsidRPr="00D04502" w:rsidRDefault="00401277" w:rsidP="00401277">
      <w:pPr>
        <w:pStyle w:val="Heading1"/>
        <w:numPr>
          <w:ilvl w:val="0"/>
          <w:numId w:val="0"/>
        </w:numPr>
      </w:pPr>
      <w:bookmarkStart w:id="33" w:name="_Toc89268373"/>
      <w:bookmarkStart w:id="34" w:name="_Toc140566577"/>
      <w:bookmarkStart w:id="35" w:name="_Toc218000544"/>
      <w:bookmarkStart w:id="36" w:name="_Toc234832907"/>
      <w:r>
        <w:lastRenderedPageBreak/>
        <w:t>List of acronyms, a</w:t>
      </w:r>
      <w:r w:rsidR="00E60777" w:rsidRPr="00D04502">
        <w:t>bbreviations</w:t>
      </w:r>
      <w:bookmarkEnd w:id="33"/>
      <w:bookmarkEnd w:id="34"/>
      <w:bookmarkEnd w:id="35"/>
      <w:r>
        <w:t xml:space="preserve"> and initialisms</w:t>
      </w:r>
      <w:bookmarkEnd w:id="36"/>
    </w:p>
    <w:p w14:paraId="67B167AE" w14:textId="58F37C7C" w:rsidR="00AD0C05" w:rsidRPr="00D04502" w:rsidRDefault="00AD0C05" w:rsidP="00AD0C05">
      <w:pPr>
        <w:pStyle w:val="NoSpacing"/>
        <w:contextualSpacing/>
      </w:pPr>
      <w:r w:rsidRPr="00D04502">
        <w:t>BIM</w:t>
      </w:r>
      <w:r w:rsidRPr="00D04502">
        <w:tab/>
      </w:r>
      <w:r w:rsidR="008C2990" w:rsidRPr="00D04502">
        <w:tab/>
      </w:r>
      <w:r w:rsidRPr="00D04502">
        <w:t>Building Information Modelling</w:t>
      </w:r>
    </w:p>
    <w:p w14:paraId="1BE35BCD" w14:textId="0FFB88FA" w:rsidR="00AD0C05" w:rsidRPr="00D04502" w:rsidRDefault="00AD0C05" w:rsidP="00AD0C05">
      <w:pPr>
        <w:pStyle w:val="NoSpacing"/>
        <w:contextualSpacing/>
      </w:pPr>
      <w:r w:rsidRPr="00D04502">
        <w:t>BRE</w:t>
      </w:r>
      <w:r w:rsidRPr="00D04502">
        <w:tab/>
      </w:r>
      <w:r w:rsidR="008C2990" w:rsidRPr="00D04502">
        <w:tab/>
      </w:r>
      <w:r w:rsidRPr="00D04502">
        <w:t>Building Research Establishment</w:t>
      </w:r>
    </w:p>
    <w:p w14:paraId="68E95CA1" w14:textId="2D890744" w:rsidR="00AD0C05" w:rsidRPr="00D04502" w:rsidRDefault="00AD0C05" w:rsidP="00AD0C05">
      <w:pPr>
        <w:pStyle w:val="NoSpacing"/>
        <w:contextualSpacing/>
      </w:pPr>
      <w:r w:rsidRPr="00D04502">
        <w:t>EIMT</w:t>
      </w:r>
      <w:r w:rsidRPr="00D04502">
        <w:tab/>
      </w:r>
      <w:r w:rsidR="008C2990" w:rsidRPr="00D04502">
        <w:tab/>
      </w:r>
      <w:r w:rsidRPr="00D04502">
        <w:t>Examination, Inspection, Maintenance and Testing</w:t>
      </w:r>
    </w:p>
    <w:p w14:paraId="5B938040" w14:textId="77777777" w:rsidR="00AD0C05" w:rsidRPr="00D04502" w:rsidRDefault="00AD0C05" w:rsidP="00AD0C05">
      <w:pPr>
        <w:pStyle w:val="NoSpacing"/>
        <w:contextualSpacing/>
      </w:pPr>
      <w:r w:rsidRPr="00D04502">
        <w:t>ENSREG</w:t>
      </w:r>
      <w:r w:rsidRPr="00D04502">
        <w:tab/>
        <w:t>European Nuclear Safety Regulators Group</w:t>
      </w:r>
    </w:p>
    <w:p w14:paraId="44AC0971" w14:textId="0C3D7A49" w:rsidR="00AD0C05" w:rsidRPr="00D04502" w:rsidRDefault="00AD0C05" w:rsidP="00AD0C05">
      <w:pPr>
        <w:pStyle w:val="NoSpacing"/>
        <w:contextualSpacing/>
      </w:pPr>
      <w:r w:rsidRPr="00D04502">
        <w:t>FEMA</w:t>
      </w:r>
      <w:r w:rsidRPr="00D04502">
        <w:tab/>
      </w:r>
      <w:r w:rsidR="008C2990" w:rsidRPr="00D04502">
        <w:tab/>
      </w:r>
      <w:r w:rsidRPr="00D04502">
        <w:t>Federal Emergency Management Agency</w:t>
      </w:r>
    </w:p>
    <w:p w14:paraId="04604167" w14:textId="11AF2F12" w:rsidR="00AD0C05" w:rsidRPr="00D04502" w:rsidRDefault="00AD0C05" w:rsidP="00AD0C05">
      <w:pPr>
        <w:pStyle w:val="NoSpacing"/>
        <w:contextualSpacing/>
      </w:pPr>
      <w:r w:rsidRPr="00D04502">
        <w:t>IAEA</w:t>
      </w:r>
      <w:r w:rsidRPr="00D04502">
        <w:tab/>
      </w:r>
      <w:r w:rsidR="008C2990" w:rsidRPr="00D04502">
        <w:tab/>
      </w:r>
      <w:r w:rsidRPr="00D04502">
        <w:t>International Atomic Energy Agency</w:t>
      </w:r>
    </w:p>
    <w:p w14:paraId="1F45CE67" w14:textId="2074D521" w:rsidR="00AD0C05" w:rsidRPr="00D04502" w:rsidRDefault="00AD0C05" w:rsidP="006748DA">
      <w:pPr>
        <w:pStyle w:val="NoSpacing"/>
        <w:contextualSpacing/>
      </w:pPr>
      <w:r w:rsidRPr="00D04502">
        <w:t>IGALL</w:t>
      </w:r>
      <w:r w:rsidR="008C2990" w:rsidRPr="00D04502">
        <w:tab/>
      </w:r>
      <w:r w:rsidRPr="00D04502">
        <w:tab/>
        <w:t>International Generic Ageing Lessons Learned</w:t>
      </w:r>
    </w:p>
    <w:p w14:paraId="540BFBE4" w14:textId="488319C4" w:rsidR="00AD0C05" w:rsidRPr="00D04502" w:rsidRDefault="00AD0C05" w:rsidP="00AD0C05">
      <w:pPr>
        <w:pStyle w:val="NoSpacing"/>
        <w:contextualSpacing/>
      </w:pPr>
      <w:r w:rsidRPr="00D04502">
        <w:t>JRC</w:t>
      </w:r>
      <w:r w:rsidRPr="00D04502">
        <w:tab/>
      </w:r>
      <w:r w:rsidR="008C2990" w:rsidRPr="00D04502">
        <w:tab/>
      </w:r>
      <w:r w:rsidRPr="00D04502">
        <w:t>Joint Research Centre</w:t>
      </w:r>
    </w:p>
    <w:p w14:paraId="6ACB35B0" w14:textId="7D628B33" w:rsidR="00AD0C05" w:rsidRPr="00D04502" w:rsidRDefault="00AD0C05" w:rsidP="00AD0C05">
      <w:pPr>
        <w:pStyle w:val="NoSpacing"/>
        <w:contextualSpacing/>
      </w:pPr>
      <w:r w:rsidRPr="00D04502">
        <w:t>LC</w:t>
      </w:r>
      <w:r w:rsidRPr="00D04502">
        <w:tab/>
      </w:r>
      <w:r w:rsidR="008C2990" w:rsidRPr="00D04502">
        <w:tab/>
      </w:r>
      <w:r w:rsidRPr="00D04502">
        <w:t>Licence Condition</w:t>
      </w:r>
    </w:p>
    <w:p w14:paraId="10D7954E" w14:textId="53EE7099" w:rsidR="00AD0C05" w:rsidRPr="00D04502" w:rsidRDefault="00AD0C05" w:rsidP="00AD0C05">
      <w:pPr>
        <w:pStyle w:val="NoSpacing"/>
        <w:contextualSpacing/>
      </w:pPr>
      <w:r w:rsidRPr="00D04502">
        <w:t>NDT</w:t>
      </w:r>
      <w:r w:rsidRPr="00D04502">
        <w:tab/>
      </w:r>
      <w:r w:rsidR="008C2990" w:rsidRPr="00D04502">
        <w:tab/>
      </w:r>
      <w:r w:rsidRPr="00D04502">
        <w:t>Non-destructive testing</w:t>
      </w:r>
    </w:p>
    <w:p w14:paraId="39878842" w14:textId="51A8CDDD" w:rsidR="00AD0C05" w:rsidRPr="00D04502" w:rsidRDefault="00AD0C05" w:rsidP="00AD0C05">
      <w:pPr>
        <w:pStyle w:val="NoSpacing"/>
        <w:contextualSpacing/>
      </w:pPr>
      <w:r w:rsidRPr="00D04502">
        <w:t>ONR</w:t>
      </w:r>
      <w:r w:rsidRPr="00D04502">
        <w:tab/>
      </w:r>
      <w:r w:rsidR="008C2990" w:rsidRPr="00D04502">
        <w:tab/>
      </w:r>
      <w:r w:rsidRPr="00D04502">
        <w:t>Office for Nuclear Regulation</w:t>
      </w:r>
    </w:p>
    <w:p w14:paraId="06206B29" w14:textId="6E51CB00" w:rsidR="00AD0C05" w:rsidRPr="00D04502" w:rsidRDefault="00AD0C05" w:rsidP="00AD0C05">
      <w:pPr>
        <w:pStyle w:val="NoSpacing"/>
        <w:contextualSpacing/>
      </w:pPr>
      <w:r w:rsidRPr="00D04502">
        <w:t>PSR</w:t>
      </w:r>
      <w:r w:rsidRPr="00D04502">
        <w:tab/>
      </w:r>
      <w:r w:rsidR="008C2990" w:rsidRPr="00D04502">
        <w:tab/>
      </w:r>
      <w:r w:rsidRPr="00D04502">
        <w:t>Periodic Safety Review</w:t>
      </w:r>
    </w:p>
    <w:p w14:paraId="24BBBCFE" w14:textId="25EC1E44" w:rsidR="00AD0C05" w:rsidRPr="00D04502" w:rsidRDefault="00AD0C05" w:rsidP="00AD0C05">
      <w:pPr>
        <w:pStyle w:val="NoSpacing"/>
        <w:contextualSpacing/>
      </w:pPr>
      <w:r w:rsidRPr="00D04502">
        <w:t>RGP</w:t>
      </w:r>
      <w:r w:rsidRPr="00D04502">
        <w:tab/>
      </w:r>
      <w:r w:rsidR="008C2990" w:rsidRPr="00D04502">
        <w:tab/>
      </w:r>
      <w:r w:rsidRPr="00D04502">
        <w:t>Relevant Good Practice</w:t>
      </w:r>
    </w:p>
    <w:p w14:paraId="514E1F7C" w14:textId="4852A761" w:rsidR="00AD0C05" w:rsidRPr="00D04502" w:rsidRDefault="00AD0C05" w:rsidP="00AD0C05">
      <w:pPr>
        <w:pStyle w:val="NoSpacing"/>
        <w:contextualSpacing/>
      </w:pPr>
      <w:r w:rsidRPr="00D04502">
        <w:t>SAP</w:t>
      </w:r>
      <w:r w:rsidRPr="00D04502">
        <w:tab/>
      </w:r>
      <w:r w:rsidR="008C2990" w:rsidRPr="00D04502">
        <w:tab/>
      </w:r>
      <w:r w:rsidRPr="00D04502">
        <w:t>Safety Assessment Principle(s)</w:t>
      </w:r>
    </w:p>
    <w:p w14:paraId="378975C2" w14:textId="7ABCEDA1" w:rsidR="00407737" w:rsidRPr="00D04502" w:rsidRDefault="00407737" w:rsidP="00AD0C05">
      <w:pPr>
        <w:pStyle w:val="NoSpacing"/>
        <w:contextualSpacing/>
      </w:pPr>
      <w:r w:rsidRPr="00D04502">
        <w:t>SFR</w:t>
      </w:r>
      <w:r w:rsidRPr="00D04502">
        <w:tab/>
      </w:r>
      <w:r w:rsidRPr="00D04502">
        <w:tab/>
        <w:t>Safety Functional Requirement</w:t>
      </w:r>
      <w:r w:rsidR="00E60192" w:rsidRPr="00D04502">
        <w:t>(</w:t>
      </w:r>
      <w:r w:rsidRPr="00D04502">
        <w:t>s</w:t>
      </w:r>
      <w:r w:rsidR="00E60192" w:rsidRPr="00D04502">
        <w:t>)</w:t>
      </w:r>
    </w:p>
    <w:p w14:paraId="43C287AA" w14:textId="2E697553" w:rsidR="00AD0C05" w:rsidRPr="00D04502" w:rsidRDefault="00AD0C05" w:rsidP="00AD0C05">
      <w:pPr>
        <w:pStyle w:val="NoSpacing"/>
        <w:contextualSpacing/>
      </w:pPr>
      <w:r w:rsidRPr="00D04502">
        <w:t>SQEP</w:t>
      </w:r>
      <w:r w:rsidRPr="00D04502">
        <w:tab/>
      </w:r>
      <w:r w:rsidR="008C2990" w:rsidRPr="00D04502">
        <w:tab/>
      </w:r>
      <w:r w:rsidRPr="00D04502">
        <w:t>Suitably qualified and experienced person</w:t>
      </w:r>
    </w:p>
    <w:p w14:paraId="18DB54EF" w14:textId="2BCE8FA5" w:rsidR="00AD0C05" w:rsidRPr="00D04502" w:rsidRDefault="00AD0C05" w:rsidP="00AD0C05">
      <w:pPr>
        <w:pStyle w:val="NoSpacing"/>
        <w:contextualSpacing/>
      </w:pPr>
      <w:r w:rsidRPr="00D04502">
        <w:t>SSC</w:t>
      </w:r>
      <w:r w:rsidRPr="00D04502">
        <w:tab/>
      </w:r>
      <w:r w:rsidR="008C2990" w:rsidRPr="00D04502">
        <w:tab/>
      </w:r>
      <w:r w:rsidRPr="00D04502">
        <w:t>Structure, System and Component</w:t>
      </w:r>
    </w:p>
    <w:p w14:paraId="315615F0" w14:textId="4F132065" w:rsidR="00AD0C05" w:rsidRPr="00D04502" w:rsidRDefault="00AD0C05" w:rsidP="00AD0C05">
      <w:pPr>
        <w:pStyle w:val="NoSpacing"/>
        <w:contextualSpacing/>
      </w:pPr>
      <w:r w:rsidRPr="00D04502">
        <w:t>TAG</w:t>
      </w:r>
      <w:r w:rsidRPr="00D04502">
        <w:tab/>
      </w:r>
      <w:r w:rsidR="008C2990" w:rsidRPr="00D04502">
        <w:tab/>
      </w:r>
      <w:r w:rsidRPr="00D04502">
        <w:t>Technical Assessment Guide(s) (ONR)</w:t>
      </w:r>
    </w:p>
    <w:p w14:paraId="4F0F9202" w14:textId="77777777" w:rsidR="00AD0C05" w:rsidRPr="00D04502" w:rsidRDefault="00AD0C05" w:rsidP="00AD0C05">
      <w:pPr>
        <w:pStyle w:val="NoSpacing"/>
        <w:contextualSpacing/>
      </w:pPr>
      <w:r w:rsidRPr="00D04502">
        <w:t>WENRA</w:t>
      </w:r>
      <w:r w:rsidRPr="00D04502">
        <w:tab/>
        <w:t>Western European Nuclear Regulators’ Association</w:t>
      </w:r>
    </w:p>
    <w:p w14:paraId="7079E66E" w14:textId="77777777" w:rsidR="00AD0C05" w:rsidRPr="00D04502" w:rsidRDefault="00AD0C05" w:rsidP="00086223">
      <w:pPr>
        <w:pStyle w:val="NoSpacing"/>
        <w:spacing w:line="240" w:lineRule="auto"/>
        <w:contextualSpacing/>
      </w:pPr>
    </w:p>
    <w:p w14:paraId="1B5F91F0" w14:textId="77777777" w:rsidR="00AD0C05" w:rsidRPr="00D04502" w:rsidRDefault="00AD0C05" w:rsidP="00086223">
      <w:pPr>
        <w:pStyle w:val="NoSpacing"/>
        <w:spacing w:line="240" w:lineRule="auto"/>
        <w:contextualSpacing/>
        <w:sectPr w:rsidR="00AD0C05" w:rsidRPr="00D04502">
          <w:pgSz w:w="11906" w:h="16838"/>
          <w:pgMar w:top="1440" w:right="1440" w:bottom="1440" w:left="1440" w:header="708" w:footer="708" w:gutter="0"/>
          <w:cols w:space="708"/>
          <w:docGrid w:linePitch="360"/>
        </w:sectPr>
      </w:pPr>
    </w:p>
    <w:p w14:paraId="1D8AB62C" w14:textId="6E9FCEF9" w:rsidR="005E3470" w:rsidRPr="00D04502" w:rsidRDefault="005E3470" w:rsidP="005E3470">
      <w:pPr>
        <w:pStyle w:val="Heading1"/>
        <w:numPr>
          <w:ilvl w:val="0"/>
          <w:numId w:val="0"/>
        </w:numPr>
        <w:ind w:left="851" w:hanging="851"/>
      </w:pPr>
      <w:bookmarkStart w:id="37" w:name="_Toc218000545"/>
      <w:bookmarkStart w:id="38" w:name="_Toc234832908"/>
      <w:r w:rsidRPr="00D04502">
        <w:lastRenderedPageBreak/>
        <w:t>Glossary</w:t>
      </w:r>
      <w:bookmarkEnd w:id="37"/>
      <w:r w:rsidRPr="00D04502">
        <w:t xml:space="preserve"> </w:t>
      </w:r>
      <w:r w:rsidR="00401277">
        <w:t>of terms</w:t>
      </w:r>
      <w:bookmarkEnd w:id="38"/>
    </w:p>
    <w:p w14:paraId="37F80D70" w14:textId="5CBA8BC3" w:rsidR="00F7568B" w:rsidRDefault="003D1D29">
      <w:pPr>
        <w:spacing w:after="0" w:line="240" w:lineRule="auto"/>
      </w:pPr>
      <w:r w:rsidRPr="00D04502">
        <w:t xml:space="preserve">To be read in conjunction with </w:t>
      </w:r>
      <w:r w:rsidR="00ED39DF">
        <w:t xml:space="preserve">the </w:t>
      </w:r>
      <w:r w:rsidRPr="00D04502">
        <w:t xml:space="preserve">glossary in </w:t>
      </w:r>
      <w:sdt>
        <w:sdtPr>
          <w:id w:val="69318781"/>
          <w:citation/>
        </w:sdtPr>
        <w:sdtContent>
          <w:r w:rsidR="00ED39DF">
            <w:fldChar w:fldCharType="begin"/>
          </w:r>
          <w:r w:rsidR="00ED39DF">
            <w:instrText xml:space="preserve"> CITATION NST1 \l 2057 </w:instrText>
          </w:r>
          <w:r w:rsidR="00ED39DF">
            <w:fldChar w:fldCharType="separate"/>
          </w:r>
          <w:r w:rsidR="00ED39DF" w:rsidRPr="00ED39DF">
            <w:rPr>
              <w:noProof/>
            </w:rPr>
            <w:t>[1]</w:t>
          </w:r>
          <w:r w:rsidR="00ED39DF">
            <w:fldChar w:fldCharType="end"/>
          </w:r>
        </w:sdtContent>
      </w:sdt>
      <w:r w:rsidR="00590F33" w:rsidRPr="00D04502">
        <w:t>.</w:t>
      </w:r>
    </w:p>
    <w:p w14:paraId="77B82945" w14:textId="77777777" w:rsidR="00ED39DF" w:rsidRPr="00D04502" w:rsidRDefault="00ED39DF">
      <w:pPr>
        <w:spacing w:after="0" w:line="240" w:lineRule="auto"/>
      </w:pPr>
    </w:p>
    <w:tbl>
      <w:tblPr>
        <w:tblStyle w:val="ONRTable1"/>
        <w:tblW w:w="9356" w:type="dxa"/>
        <w:tblInd w:w="0" w:type="dxa"/>
        <w:tblLayout w:type="fixed"/>
        <w:tblLook w:val="01E0" w:firstRow="1" w:lastRow="1" w:firstColumn="1" w:lastColumn="1" w:noHBand="0" w:noVBand="0"/>
      </w:tblPr>
      <w:tblGrid>
        <w:gridCol w:w="1843"/>
        <w:gridCol w:w="5387"/>
        <w:gridCol w:w="2126"/>
      </w:tblGrid>
      <w:tr w:rsidR="00F31C24" w:rsidRPr="00ED39DF" w14:paraId="2198F43B" w14:textId="5D1E407F" w:rsidTr="00ED39DF">
        <w:trPr>
          <w:cnfStyle w:val="100000000000" w:firstRow="1" w:lastRow="0" w:firstColumn="0" w:lastColumn="0" w:oddVBand="0" w:evenVBand="0" w:oddHBand="0" w:evenHBand="0" w:firstRowFirstColumn="0" w:firstRowLastColumn="0" w:lastRowFirstColumn="0" w:lastRowLastColumn="0"/>
        </w:trPr>
        <w:tc>
          <w:tcPr>
            <w:tcW w:w="1843" w:type="dxa"/>
          </w:tcPr>
          <w:p w14:paraId="2B5B98FF" w14:textId="77777777" w:rsidR="00F31C24" w:rsidRPr="00ED39DF" w:rsidRDefault="00F31C24" w:rsidP="00BD57B5">
            <w:pPr>
              <w:spacing w:before="60" w:after="60" w:line="240" w:lineRule="auto"/>
              <w:rPr>
                <w:rFonts w:cs="Arial"/>
                <w:color w:val="000000" w:themeColor="text1"/>
                <w:szCs w:val="24"/>
              </w:rPr>
            </w:pPr>
            <w:r w:rsidRPr="00ED39DF">
              <w:rPr>
                <w:rFonts w:cs="Arial"/>
                <w:color w:val="000000" w:themeColor="text1"/>
                <w:szCs w:val="24"/>
              </w:rPr>
              <w:t>Term</w:t>
            </w:r>
            <w:r w:rsidRPr="00ED39DF">
              <w:rPr>
                <w:rFonts w:cs="Arial"/>
                <w:color w:val="000000" w:themeColor="text1"/>
                <w:szCs w:val="24"/>
              </w:rPr>
              <w:tab/>
            </w:r>
          </w:p>
        </w:tc>
        <w:tc>
          <w:tcPr>
            <w:tcW w:w="5387" w:type="dxa"/>
          </w:tcPr>
          <w:p w14:paraId="74093DE8" w14:textId="77777777" w:rsidR="00F31C24" w:rsidRPr="00ED39DF" w:rsidRDefault="00F31C24" w:rsidP="00BD57B5">
            <w:pPr>
              <w:spacing w:before="60" w:after="60" w:line="240" w:lineRule="auto"/>
              <w:rPr>
                <w:rFonts w:cs="Arial"/>
                <w:color w:val="000000" w:themeColor="text1"/>
                <w:szCs w:val="24"/>
              </w:rPr>
            </w:pPr>
            <w:r w:rsidRPr="00ED39DF">
              <w:rPr>
                <w:rFonts w:cs="Arial"/>
                <w:color w:val="000000" w:themeColor="text1"/>
                <w:szCs w:val="24"/>
              </w:rPr>
              <w:t>Description</w:t>
            </w:r>
          </w:p>
        </w:tc>
        <w:tc>
          <w:tcPr>
            <w:tcW w:w="2126" w:type="dxa"/>
          </w:tcPr>
          <w:p w14:paraId="6C9D37ED" w14:textId="08BFE2DF" w:rsidR="00F31C24" w:rsidRPr="00ED39DF" w:rsidRDefault="000B60B3" w:rsidP="00BD1692">
            <w:pPr>
              <w:spacing w:before="60" w:after="60" w:line="240" w:lineRule="auto"/>
              <w:rPr>
                <w:color w:val="000000" w:themeColor="text1"/>
                <w:szCs w:val="24"/>
              </w:rPr>
            </w:pPr>
            <w:r w:rsidRPr="00ED39DF">
              <w:rPr>
                <w:color w:val="000000" w:themeColor="text1"/>
                <w:szCs w:val="24"/>
              </w:rPr>
              <w:t>Sour</w:t>
            </w:r>
            <w:r w:rsidR="00BD1692" w:rsidRPr="00ED39DF">
              <w:rPr>
                <w:color w:val="000000" w:themeColor="text1"/>
                <w:szCs w:val="24"/>
              </w:rPr>
              <w:t>c</w:t>
            </w:r>
            <w:r w:rsidRPr="00ED39DF">
              <w:rPr>
                <w:color w:val="000000" w:themeColor="text1"/>
                <w:szCs w:val="24"/>
              </w:rPr>
              <w:t>e</w:t>
            </w:r>
          </w:p>
        </w:tc>
      </w:tr>
      <w:tr w:rsidR="00B321CF" w:rsidRPr="00ED39DF" w14:paraId="48AE87C1" w14:textId="78A74A49" w:rsidTr="00ED39DF">
        <w:tc>
          <w:tcPr>
            <w:tcW w:w="1843" w:type="dxa"/>
          </w:tcPr>
          <w:p w14:paraId="27361D9F" w14:textId="1D302F96" w:rsidR="00B321CF" w:rsidRPr="00ED39DF" w:rsidRDefault="00B321CF" w:rsidP="00B321CF">
            <w:pPr>
              <w:spacing w:before="60" w:after="60" w:line="240" w:lineRule="auto"/>
              <w:rPr>
                <w:rFonts w:cs="Arial"/>
                <w:szCs w:val="24"/>
              </w:rPr>
            </w:pPr>
            <w:r w:rsidRPr="00ED39DF">
              <w:rPr>
                <w:szCs w:val="24"/>
              </w:rPr>
              <w:t>Ageing degradation</w:t>
            </w:r>
          </w:p>
        </w:tc>
        <w:tc>
          <w:tcPr>
            <w:tcW w:w="5387" w:type="dxa"/>
            <w:vAlign w:val="center"/>
          </w:tcPr>
          <w:p w14:paraId="621B3434" w14:textId="5C9E48FC" w:rsidR="00B321CF" w:rsidRPr="00ED39DF" w:rsidRDefault="00B321CF" w:rsidP="00B321CF">
            <w:pPr>
              <w:spacing w:before="60" w:after="60" w:line="240" w:lineRule="auto"/>
              <w:ind w:left="41"/>
              <w:rPr>
                <w:rFonts w:cs="Arial"/>
                <w:szCs w:val="24"/>
              </w:rPr>
            </w:pPr>
            <w:r w:rsidRPr="00ED39DF">
              <w:rPr>
                <w:szCs w:val="24"/>
              </w:rPr>
              <w:t>Ageing effects that could impair the ability of a structure, system or component to function within its acceptance criteria.</w:t>
            </w:r>
          </w:p>
        </w:tc>
        <w:tc>
          <w:tcPr>
            <w:tcW w:w="2126" w:type="dxa"/>
          </w:tcPr>
          <w:p w14:paraId="44D9D592" w14:textId="71C53B91" w:rsidR="00B321CF" w:rsidRPr="00ED39DF" w:rsidRDefault="00434244" w:rsidP="00B321CF">
            <w:pPr>
              <w:spacing w:before="60" w:after="60" w:line="240" w:lineRule="auto"/>
              <w:ind w:left="26"/>
              <w:rPr>
                <w:szCs w:val="24"/>
              </w:rPr>
            </w:pPr>
            <w:r w:rsidRPr="00ED39DF">
              <w:rPr>
                <w:szCs w:val="24"/>
              </w:rPr>
              <w:t>IAEA Nuclear Safety and Security Glossary</w:t>
            </w:r>
          </w:p>
        </w:tc>
      </w:tr>
      <w:tr w:rsidR="00B321CF" w:rsidRPr="00ED39DF" w14:paraId="67A8EC9D" w14:textId="212432D0" w:rsidTr="00ED39DF">
        <w:tc>
          <w:tcPr>
            <w:tcW w:w="1843" w:type="dxa"/>
          </w:tcPr>
          <w:p w14:paraId="6A9AE149" w14:textId="09E525A7" w:rsidR="00B321CF" w:rsidRPr="00ED39DF" w:rsidRDefault="00B321CF" w:rsidP="00B321CF">
            <w:pPr>
              <w:spacing w:before="60" w:after="60" w:line="240" w:lineRule="auto"/>
              <w:rPr>
                <w:rFonts w:cs="Arial"/>
                <w:szCs w:val="24"/>
              </w:rPr>
            </w:pPr>
            <w:r w:rsidRPr="00ED39DF">
              <w:rPr>
                <w:szCs w:val="24"/>
              </w:rPr>
              <w:t>Ageing management</w:t>
            </w:r>
          </w:p>
        </w:tc>
        <w:tc>
          <w:tcPr>
            <w:tcW w:w="5387" w:type="dxa"/>
            <w:vAlign w:val="center"/>
          </w:tcPr>
          <w:p w14:paraId="52C1961E" w14:textId="36E23197" w:rsidR="00B321CF" w:rsidRPr="00ED39DF" w:rsidRDefault="00B321CF" w:rsidP="00B321CF">
            <w:pPr>
              <w:spacing w:before="60" w:after="60" w:line="240" w:lineRule="auto"/>
              <w:rPr>
                <w:rFonts w:cs="Arial"/>
                <w:szCs w:val="24"/>
              </w:rPr>
            </w:pPr>
            <w:bookmarkStart w:id="39" w:name="_Hlk120709281"/>
            <w:r w:rsidRPr="00ED39DF">
              <w:rPr>
                <w:szCs w:val="24"/>
              </w:rPr>
              <w:t>Engineering, operations and maintenance actions to control within acceptable limits the ageing degradation of structures, systems and components.</w:t>
            </w:r>
            <w:bookmarkEnd w:id="39"/>
          </w:p>
        </w:tc>
        <w:tc>
          <w:tcPr>
            <w:tcW w:w="2126" w:type="dxa"/>
          </w:tcPr>
          <w:p w14:paraId="04BE0EF6" w14:textId="560B2C13" w:rsidR="00B321CF" w:rsidRPr="00ED39DF" w:rsidRDefault="00895B4F" w:rsidP="00B321CF">
            <w:pPr>
              <w:spacing w:before="60" w:after="60" w:line="240" w:lineRule="auto"/>
              <w:ind w:left="26"/>
              <w:rPr>
                <w:szCs w:val="24"/>
              </w:rPr>
            </w:pPr>
            <w:r w:rsidRPr="00ED39DF">
              <w:rPr>
                <w:szCs w:val="24"/>
              </w:rPr>
              <w:t>IAEA Nuclear Safety and Security Glossary</w:t>
            </w:r>
          </w:p>
        </w:tc>
      </w:tr>
      <w:tr w:rsidR="00B321CF" w:rsidRPr="00ED39DF" w14:paraId="610F907F" w14:textId="54BDF8D0" w:rsidTr="00ED39DF">
        <w:tc>
          <w:tcPr>
            <w:tcW w:w="1843" w:type="dxa"/>
          </w:tcPr>
          <w:p w14:paraId="568A3C91" w14:textId="5C855085" w:rsidR="00B321CF" w:rsidRPr="00ED39DF" w:rsidRDefault="00B321CF" w:rsidP="00B321CF">
            <w:pPr>
              <w:spacing w:before="60" w:after="60" w:line="240" w:lineRule="auto"/>
              <w:rPr>
                <w:rFonts w:cs="Arial"/>
                <w:szCs w:val="24"/>
              </w:rPr>
            </w:pPr>
            <w:r w:rsidRPr="00ED39DF">
              <w:rPr>
                <w:szCs w:val="24"/>
              </w:rPr>
              <w:t>Ageing management programme</w:t>
            </w:r>
          </w:p>
        </w:tc>
        <w:tc>
          <w:tcPr>
            <w:tcW w:w="5387" w:type="dxa"/>
            <w:vAlign w:val="center"/>
          </w:tcPr>
          <w:p w14:paraId="10427858" w14:textId="016EECC4" w:rsidR="00B321CF" w:rsidRPr="00ED39DF" w:rsidRDefault="00B321CF" w:rsidP="00B321CF">
            <w:pPr>
              <w:spacing w:before="60" w:after="60" w:line="240" w:lineRule="auto"/>
              <w:rPr>
                <w:rFonts w:cs="Arial"/>
                <w:szCs w:val="24"/>
              </w:rPr>
            </w:pPr>
            <w:r w:rsidRPr="00ED39DF">
              <w:rPr>
                <w:rFonts w:cs="Arial"/>
                <w:szCs w:val="24"/>
                <w:lang w:eastAsia="en-GB"/>
              </w:rPr>
              <w:t>A set of plant activities relating to the understanding, prevention, detection, monitoring and mitigation of a specific ageing effect on a structure, component or group of components. Plant activities include maintenance, in</w:t>
            </w:r>
            <w:r w:rsidRPr="00ED39DF">
              <w:rPr>
                <w:rFonts w:cs="Arial"/>
                <w:szCs w:val="24"/>
                <w:lang w:eastAsia="en-GB"/>
              </w:rPr>
              <w:noBreakHyphen/>
              <w:t>service inspection, testing and surveillance, as well as technical support programmes.</w:t>
            </w:r>
          </w:p>
        </w:tc>
        <w:tc>
          <w:tcPr>
            <w:tcW w:w="2126" w:type="dxa"/>
          </w:tcPr>
          <w:p w14:paraId="16FF2C04" w14:textId="36E896D7" w:rsidR="00B321CF" w:rsidRPr="00ED39DF" w:rsidRDefault="00B321CF" w:rsidP="00B321CF">
            <w:pPr>
              <w:spacing w:before="60" w:after="60" w:line="240" w:lineRule="auto"/>
              <w:ind w:left="26"/>
              <w:rPr>
                <w:szCs w:val="24"/>
              </w:rPr>
            </w:pPr>
            <w:r w:rsidRPr="00ED39DF">
              <w:rPr>
                <w:szCs w:val="24"/>
              </w:rPr>
              <w:t>IAEA SR 82</w:t>
            </w:r>
            <w:r w:rsidR="00AB12AD" w:rsidRPr="00ED39DF">
              <w:rPr>
                <w:szCs w:val="24"/>
              </w:rPr>
              <w:t xml:space="preserve"> Rev </w:t>
            </w:r>
            <w:r w:rsidR="008458AF" w:rsidRPr="00ED39DF">
              <w:rPr>
                <w:szCs w:val="24"/>
              </w:rPr>
              <w:t>0</w:t>
            </w:r>
            <w:r w:rsidR="001E3B75" w:rsidRPr="00ED39DF">
              <w:rPr>
                <w:szCs w:val="24"/>
              </w:rPr>
              <w:t>)</w:t>
            </w:r>
          </w:p>
        </w:tc>
      </w:tr>
      <w:tr w:rsidR="003A390A" w:rsidRPr="00ED39DF" w14:paraId="4EA3A1C8" w14:textId="0815F91C" w:rsidTr="00ED39DF">
        <w:tc>
          <w:tcPr>
            <w:tcW w:w="1843" w:type="dxa"/>
          </w:tcPr>
          <w:p w14:paraId="366F5B75" w14:textId="03DDD7AC" w:rsidR="003A390A" w:rsidRPr="00ED39DF" w:rsidRDefault="003A390A" w:rsidP="003A390A">
            <w:pPr>
              <w:spacing w:before="60" w:after="60" w:line="240" w:lineRule="auto"/>
              <w:rPr>
                <w:rFonts w:cs="Arial"/>
                <w:szCs w:val="24"/>
              </w:rPr>
            </w:pPr>
            <w:r w:rsidRPr="00ED39DF">
              <w:rPr>
                <w:szCs w:val="24"/>
              </w:rPr>
              <w:t xml:space="preserve">Damage </w:t>
            </w:r>
          </w:p>
        </w:tc>
        <w:tc>
          <w:tcPr>
            <w:tcW w:w="5387" w:type="dxa"/>
            <w:vAlign w:val="center"/>
          </w:tcPr>
          <w:p w14:paraId="69146640" w14:textId="70A7945C" w:rsidR="003A390A" w:rsidRPr="00ED39DF" w:rsidRDefault="003A390A" w:rsidP="003A390A">
            <w:pPr>
              <w:spacing w:before="60" w:after="60" w:line="240" w:lineRule="auto"/>
              <w:rPr>
                <w:rFonts w:cs="Arial"/>
                <w:szCs w:val="24"/>
              </w:rPr>
            </w:pPr>
            <w:r w:rsidRPr="00ED39DF">
              <w:rPr>
                <w:szCs w:val="24"/>
              </w:rPr>
              <w:t>An unfavourable change in the condition of a structure that can adversely affect current or future structural performance</w:t>
            </w:r>
          </w:p>
        </w:tc>
        <w:tc>
          <w:tcPr>
            <w:tcW w:w="2126" w:type="dxa"/>
          </w:tcPr>
          <w:p w14:paraId="4E025361" w14:textId="127A2454" w:rsidR="003A390A" w:rsidRPr="00ED39DF" w:rsidRDefault="003A390A" w:rsidP="00782C2C">
            <w:pPr>
              <w:spacing w:before="60" w:after="60" w:line="240" w:lineRule="auto"/>
              <w:ind w:left="26"/>
              <w:rPr>
                <w:szCs w:val="24"/>
              </w:rPr>
            </w:pPr>
            <w:r w:rsidRPr="00ED39DF">
              <w:rPr>
                <w:szCs w:val="24"/>
              </w:rPr>
              <w:t xml:space="preserve">Reference </w:t>
            </w:r>
            <w:sdt>
              <w:sdtPr>
                <w:rPr>
                  <w:szCs w:val="24"/>
                </w:rPr>
                <w:id w:val="-1074578824"/>
                <w:citation/>
              </w:sdtPr>
              <w:sdtEndPr/>
              <w:sdtContent>
                <w:r w:rsidR="00B75647" w:rsidRPr="00ED39DF">
                  <w:rPr>
                    <w:szCs w:val="24"/>
                  </w:rPr>
                  <w:fldChar w:fldCharType="begin"/>
                </w:r>
                <w:r w:rsidR="00B75647" w:rsidRPr="00ED39DF">
                  <w:rPr>
                    <w:szCs w:val="24"/>
                  </w:rPr>
                  <w:instrText xml:space="preserve"> CITATION JRC \l 2057 </w:instrText>
                </w:r>
                <w:r w:rsidR="00B75647" w:rsidRPr="00ED39DF">
                  <w:rPr>
                    <w:szCs w:val="24"/>
                  </w:rPr>
                  <w:fldChar w:fldCharType="separate"/>
                </w:r>
                <w:r w:rsidR="00401277" w:rsidRPr="00ED39DF">
                  <w:rPr>
                    <w:noProof/>
                    <w:szCs w:val="24"/>
                  </w:rPr>
                  <w:t>[58]</w:t>
                </w:r>
                <w:r w:rsidR="00B75647" w:rsidRPr="00ED39DF">
                  <w:rPr>
                    <w:szCs w:val="24"/>
                  </w:rPr>
                  <w:fldChar w:fldCharType="end"/>
                </w:r>
              </w:sdtContent>
            </w:sdt>
          </w:p>
        </w:tc>
      </w:tr>
      <w:tr w:rsidR="00E43CBE" w:rsidRPr="00ED39DF" w14:paraId="14CE12E6" w14:textId="4EBA0522" w:rsidTr="00ED39DF">
        <w:tc>
          <w:tcPr>
            <w:tcW w:w="1843" w:type="dxa"/>
          </w:tcPr>
          <w:p w14:paraId="2F36D565" w14:textId="2A01A64D" w:rsidR="00E43CBE" w:rsidRPr="00ED39DF" w:rsidRDefault="00E43CBE" w:rsidP="00E43CBE">
            <w:pPr>
              <w:spacing w:before="60" w:after="60" w:line="240" w:lineRule="auto"/>
              <w:rPr>
                <w:rFonts w:cs="Arial"/>
                <w:szCs w:val="24"/>
              </w:rPr>
            </w:pPr>
            <w:r w:rsidRPr="00ED39DF">
              <w:rPr>
                <w:szCs w:val="24"/>
              </w:rPr>
              <w:t>Design Life</w:t>
            </w:r>
          </w:p>
        </w:tc>
        <w:tc>
          <w:tcPr>
            <w:tcW w:w="5387" w:type="dxa"/>
            <w:vAlign w:val="center"/>
          </w:tcPr>
          <w:p w14:paraId="65A562D9" w14:textId="1C55920B" w:rsidR="00E43CBE" w:rsidRPr="00ED39DF" w:rsidRDefault="00E43CBE" w:rsidP="00E43CBE">
            <w:pPr>
              <w:spacing w:before="60" w:after="60" w:line="240" w:lineRule="auto"/>
              <w:rPr>
                <w:rFonts w:cs="Arial"/>
                <w:szCs w:val="24"/>
              </w:rPr>
            </w:pPr>
            <w:r w:rsidRPr="00ED39DF">
              <w:rPr>
                <w:szCs w:val="24"/>
              </w:rPr>
              <w:t>The period of time during which a facility or component is expected to perform according to the technical specifications to which it was produced.</w:t>
            </w:r>
          </w:p>
        </w:tc>
        <w:tc>
          <w:tcPr>
            <w:tcW w:w="2126" w:type="dxa"/>
          </w:tcPr>
          <w:p w14:paraId="5163CEE1" w14:textId="5DCF2312" w:rsidR="00E43CBE" w:rsidRPr="00ED39DF" w:rsidRDefault="00084B00" w:rsidP="00782C2C">
            <w:pPr>
              <w:spacing w:before="60" w:after="60" w:line="240" w:lineRule="auto"/>
              <w:ind w:left="26"/>
              <w:rPr>
                <w:szCs w:val="24"/>
              </w:rPr>
            </w:pPr>
            <w:r w:rsidRPr="00ED39DF">
              <w:rPr>
                <w:szCs w:val="24"/>
              </w:rPr>
              <w:t>IAEA Nuclear Safety and Security Glossary</w:t>
            </w:r>
          </w:p>
        </w:tc>
      </w:tr>
      <w:tr w:rsidR="009327B1" w:rsidRPr="00ED39DF" w14:paraId="2CD51934" w14:textId="12297845" w:rsidTr="00ED39DF">
        <w:tc>
          <w:tcPr>
            <w:tcW w:w="1843" w:type="dxa"/>
          </w:tcPr>
          <w:p w14:paraId="1A7D3D89" w14:textId="17BB45B3" w:rsidR="009327B1" w:rsidRPr="00ED39DF" w:rsidRDefault="009327B1" w:rsidP="009327B1">
            <w:pPr>
              <w:spacing w:before="60" w:after="60" w:line="240" w:lineRule="auto"/>
              <w:rPr>
                <w:rFonts w:cs="Arial"/>
                <w:szCs w:val="24"/>
              </w:rPr>
            </w:pPr>
            <w:r w:rsidRPr="00ED39DF">
              <w:rPr>
                <w:szCs w:val="24"/>
              </w:rPr>
              <w:t>Structural robustness</w:t>
            </w:r>
          </w:p>
        </w:tc>
        <w:tc>
          <w:tcPr>
            <w:tcW w:w="5387" w:type="dxa"/>
            <w:vAlign w:val="center"/>
          </w:tcPr>
          <w:p w14:paraId="51AE7541" w14:textId="1318A86C" w:rsidR="009327B1" w:rsidRPr="00ED39DF" w:rsidRDefault="009327B1" w:rsidP="009327B1">
            <w:pPr>
              <w:spacing w:before="60" w:after="60" w:line="240" w:lineRule="auto"/>
              <w:rPr>
                <w:rFonts w:cs="Arial"/>
                <w:szCs w:val="24"/>
              </w:rPr>
            </w:pPr>
            <w:r w:rsidRPr="00ED39DF">
              <w:rPr>
                <w:szCs w:val="24"/>
              </w:rPr>
              <w:t xml:space="preserve">Robustness is the ability of a structure to withstand events like fire, explosions, impact or the consequences of human error, </w:t>
            </w:r>
            <w:r w:rsidR="003F2F30" w:rsidRPr="00ED39DF">
              <w:rPr>
                <w:szCs w:val="24"/>
              </w:rPr>
              <w:t>(for example,</w:t>
            </w:r>
            <w:r w:rsidRPr="00ED39DF">
              <w:rPr>
                <w:szCs w:val="24"/>
              </w:rPr>
              <w:t xml:space="preserve"> design basis events) without being damaged to an extent disproportionate to the original cause</w:t>
            </w:r>
          </w:p>
        </w:tc>
        <w:tc>
          <w:tcPr>
            <w:tcW w:w="2126" w:type="dxa"/>
          </w:tcPr>
          <w:p w14:paraId="5BF7B9FE" w14:textId="3811A23D" w:rsidR="009327B1" w:rsidRPr="00ED39DF" w:rsidRDefault="009327B1" w:rsidP="00782C2C">
            <w:pPr>
              <w:spacing w:before="60" w:after="60" w:line="240" w:lineRule="auto"/>
              <w:ind w:left="26"/>
              <w:rPr>
                <w:szCs w:val="24"/>
                <w:lang w:val="fr-FR"/>
              </w:rPr>
            </w:pPr>
            <w:r w:rsidRPr="00ED39DF">
              <w:rPr>
                <w:szCs w:val="24"/>
                <w:lang w:val="fr-FR"/>
              </w:rPr>
              <w:t>BS EN 1991-1-7 ‘Actions on structures’</w:t>
            </w:r>
          </w:p>
        </w:tc>
      </w:tr>
    </w:tbl>
    <w:p w14:paraId="15BABAE0" w14:textId="77777777" w:rsidR="00CC1C1E" w:rsidRDefault="00CC1C1E" w:rsidP="00E309C8">
      <w:pPr>
        <w:spacing w:after="0" w:line="240" w:lineRule="auto"/>
        <w:rPr>
          <w:lang w:val="fr-FR"/>
        </w:rPr>
        <w:sectPr w:rsidR="00CC1C1E" w:rsidSect="000B2BCD">
          <w:headerReference w:type="default" r:id="rId24"/>
          <w:footerReference w:type="default" r:id="rId25"/>
          <w:pgSz w:w="11906" w:h="16838" w:code="9"/>
          <w:pgMar w:top="1440" w:right="1440" w:bottom="1440" w:left="1440" w:header="397" w:footer="397" w:gutter="0"/>
          <w:cols w:space="312"/>
          <w:docGrid w:linePitch="360"/>
        </w:sectPr>
      </w:pPr>
    </w:p>
    <w:p w14:paraId="14BAA3E0" w14:textId="6763489F" w:rsidR="00F7687C" w:rsidRDefault="00CC1C1E" w:rsidP="00CC1C1E">
      <w:pPr>
        <w:pStyle w:val="Heading1"/>
        <w:numPr>
          <w:ilvl w:val="0"/>
          <w:numId w:val="0"/>
        </w:numPr>
        <w:rPr>
          <w:lang w:val="fr-FR"/>
        </w:rPr>
      </w:pPr>
      <w:bookmarkStart w:id="40" w:name="_Toc234832909"/>
      <w:r>
        <w:rPr>
          <w:lang w:val="fr-FR"/>
        </w:rPr>
        <w:lastRenderedPageBreak/>
        <w:t>Document control information</w:t>
      </w:r>
      <w:bookmarkEnd w:id="40"/>
    </w:p>
    <w:p w14:paraId="26195241" w14:textId="6F2A53BE" w:rsidR="00CC1C1E" w:rsidRPr="00CC1C1E" w:rsidRDefault="00CC1C1E" w:rsidP="00CC1C1E">
      <w:r w:rsidRPr="00CC1C1E">
        <w:rPr>
          <w:b/>
          <w:bCs/>
        </w:rPr>
        <w:t>Authored by</w:t>
      </w:r>
      <w:r w:rsidRPr="00CC1C1E">
        <w:t>: Nuclear Safety Inspector</w:t>
      </w:r>
    </w:p>
    <w:p w14:paraId="15597A20" w14:textId="6914B6DD" w:rsidR="00CC1C1E" w:rsidRPr="00CC1C1E" w:rsidRDefault="00CC1C1E" w:rsidP="00CC1C1E">
      <w:r w:rsidRPr="00CC1C1E">
        <w:rPr>
          <w:b/>
          <w:bCs/>
        </w:rPr>
        <w:t>Approved by</w:t>
      </w:r>
      <w:r w:rsidRPr="00CC1C1E">
        <w:t>: Head of Profession – Civil Engineering and External Hazards Specialism</w:t>
      </w:r>
    </w:p>
    <w:p w14:paraId="75AD8C21" w14:textId="4856BC58" w:rsidR="00CC1C1E" w:rsidRPr="00CC1C1E" w:rsidRDefault="00CC1C1E" w:rsidP="00CC1C1E">
      <w:r w:rsidRPr="00CC1C1E">
        <w:rPr>
          <w:b/>
          <w:bCs/>
        </w:rPr>
        <w:t>Issue</w:t>
      </w:r>
      <w:r w:rsidRPr="00CC1C1E">
        <w:t xml:space="preserve">: </w:t>
      </w:r>
      <w:sdt>
        <w:sdtPr>
          <w:alias w:val="Status"/>
          <w:tag w:val=""/>
          <w:id w:val="1464474220"/>
          <w:placeholder>
            <w:docPart w:val="D4B56A1641B147BEA63304F62D2BB491"/>
          </w:placeholder>
          <w:dataBinding w:prefixMappings="xmlns:ns0='http://purl.org/dc/elements/1.1/' xmlns:ns1='http://schemas.openxmlformats.org/package/2006/metadata/core-properties' " w:xpath="/ns1:coreProperties[1]/ns1:contentStatus[1]" w:storeItemID="{6C3C8BC8-F283-45AE-878A-BAB7291924A1}"/>
          <w:text/>
        </w:sdtPr>
        <w:sdtContent>
          <w:r>
            <w:t>2</w:t>
          </w:r>
        </w:sdtContent>
      </w:sdt>
    </w:p>
    <w:p w14:paraId="1DE5C175" w14:textId="69EA3F7F" w:rsidR="00CC1C1E" w:rsidRPr="00CC1C1E" w:rsidRDefault="00CC1C1E" w:rsidP="00CC1C1E">
      <w:r w:rsidRPr="00CC1C1E">
        <w:rPr>
          <w:b/>
          <w:bCs/>
        </w:rPr>
        <w:t>Published</w:t>
      </w:r>
      <w:r w:rsidRPr="00CC1C1E">
        <w:t>: Jul</w:t>
      </w:r>
      <w:r>
        <w:t>y 2026</w:t>
      </w:r>
    </w:p>
    <w:p w14:paraId="123B5589" w14:textId="577ABE14" w:rsidR="00CC1C1E" w:rsidRPr="00CC1C1E" w:rsidRDefault="00CC1C1E" w:rsidP="00CC1C1E">
      <w:r w:rsidRPr="00CC1C1E">
        <w:rPr>
          <w:b/>
          <w:bCs/>
        </w:rPr>
        <w:t>Next</w:t>
      </w:r>
      <w:r w:rsidRPr="00CC1C1E">
        <w:t xml:space="preserve"> </w:t>
      </w:r>
      <w:r w:rsidRPr="00CC1C1E">
        <w:rPr>
          <w:b/>
          <w:bCs/>
        </w:rPr>
        <w:t>scheduled review</w:t>
      </w:r>
      <w:r w:rsidRPr="00CC1C1E">
        <w:t>: Nov</w:t>
      </w:r>
      <w:r>
        <w:t>ember 2030</w:t>
      </w:r>
    </w:p>
    <w:p w14:paraId="094D2CCF" w14:textId="4EC0B580" w:rsidR="00CC1C1E" w:rsidRDefault="00CC1C1E" w:rsidP="00CC1C1E">
      <w:r w:rsidRPr="00EB71BE">
        <w:rPr>
          <w:b/>
          <w:bCs/>
        </w:rPr>
        <w:t>Doc</w:t>
      </w:r>
      <w:r w:rsidRPr="00EB71BE">
        <w:rPr>
          <w:b/>
          <w:bCs/>
        </w:rPr>
        <w:t>ument reference</w:t>
      </w:r>
      <w:r>
        <w:t xml:space="preserve">: </w:t>
      </w:r>
      <w:r w:rsidRPr="00CC1C1E">
        <w:t>NS-TAST-GD-017 Annex 3</w:t>
      </w:r>
    </w:p>
    <w:p w14:paraId="6B2F545B" w14:textId="77777777" w:rsidR="00EB71BE" w:rsidRDefault="00EB71BE" w:rsidP="00CC1C1E"/>
    <w:p w14:paraId="43708E34" w14:textId="36653E09" w:rsidR="00EB71BE" w:rsidRPr="00CC1C1E" w:rsidRDefault="00EB71BE" w:rsidP="00EB71BE">
      <w:pPr>
        <w:pStyle w:val="Caption"/>
      </w:pPr>
      <w:r>
        <w:t>Revision commentary</w:t>
      </w:r>
    </w:p>
    <w:tbl>
      <w:tblPr>
        <w:tblStyle w:val="ONRTable1"/>
        <w:tblW w:w="0" w:type="auto"/>
        <w:tblInd w:w="0" w:type="dxa"/>
        <w:tblLook w:val="04A0" w:firstRow="1" w:lastRow="0" w:firstColumn="1" w:lastColumn="0" w:noHBand="0" w:noVBand="1"/>
      </w:tblPr>
      <w:tblGrid>
        <w:gridCol w:w="993"/>
        <w:gridCol w:w="8033"/>
      </w:tblGrid>
      <w:tr w:rsidR="00EB71BE" w:rsidRPr="00EB71BE" w14:paraId="4D3A5822" w14:textId="6ED4C6D5" w:rsidTr="00EB71BE">
        <w:trPr>
          <w:cnfStyle w:val="100000000000" w:firstRow="1" w:lastRow="0" w:firstColumn="0" w:lastColumn="0" w:oddVBand="0" w:evenVBand="0" w:oddHBand="0" w:evenHBand="0" w:firstRowFirstColumn="0" w:firstRowLastColumn="0" w:lastRowFirstColumn="0" w:lastRowLastColumn="0"/>
        </w:trPr>
        <w:tc>
          <w:tcPr>
            <w:tcW w:w="993" w:type="dxa"/>
          </w:tcPr>
          <w:p w14:paraId="0FA522F2" w14:textId="4770AE67" w:rsidR="00EB71BE" w:rsidRPr="00EB71BE" w:rsidRDefault="00EB71BE" w:rsidP="00EB71BE">
            <w:pPr>
              <w:spacing w:before="60" w:after="60"/>
            </w:pPr>
            <w:r>
              <w:t>Issue</w:t>
            </w:r>
          </w:p>
        </w:tc>
        <w:tc>
          <w:tcPr>
            <w:tcW w:w="8033" w:type="dxa"/>
          </w:tcPr>
          <w:p w14:paraId="73DCD7EE" w14:textId="713B5BA9" w:rsidR="00EB71BE" w:rsidRPr="00EB71BE" w:rsidRDefault="00EB71BE" w:rsidP="00EB71BE">
            <w:pPr>
              <w:spacing w:before="60" w:after="60"/>
            </w:pPr>
            <w:r>
              <w:t>Description of update(s)</w:t>
            </w:r>
          </w:p>
        </w:tc>
      </w:tr>
      <w:tr w:rsidR="00EB71BE" w:rsidRPr="00EB71BE" w14:paraId="7912828C" w14:textId="7A54BDB8" w:rsidTr="00EB71BE">
        <w:tc>
          <w:tcPr>
            <w:tcW w:w="993" w:type="dxa"/>
          </w:tcPr>
          <w:p w14:paraId="5253EF5C" w14:textId="185E9193" w:rsidR="00EB71BE" w:rsidRPr="00EB71BE" w:rsidRDefault="00EB71BE" w:rsidP="00EB71BE">
            <w:pPr>
              <w:spacing w:before="60" w:after="60"/>
            </w:pPr>
            <w:r>
              <w:t>1</w:t>
            </w:r>
          </w:p>
        </w:tc>
        <w:tc>
          <w:tcPr>
            <w:tcW w:w="8033" w:type="dxa"/>
          </w:tcPr>
          <w:p w14:paraId="1FFF2A37" w14:textId="4A501562" w:rsidR="00EB71BE" w:rsidRPr="00EB71BE" w:rsidRDefault="00EB71BE" w:rsidP="00EB71BE">
            <w:pPr>
              <w:spacing w:before="60" w:after="60"/>
            </w:pPr>
            <w:r>
              <w:t>First publication.</w:t>
            </w:r>
          </w:p>
        </w:tc>
      </w:tr>
      <w:tr w:rsidR="00EB71BE" w:rsidRPr="00EB71BE" w14:paraId="6BE1C8CB" w14:textId="77777777" w:rsidTr="00EB71BE">
        <w:tc>
          <w:tcPr>
            <w:tcW w:w="993" w:type="dxa"/>
          </w:tcPr>
          <w:p w14:paraId="3CA138D0" w14:textId="667D4A59" w:rsidR="00EB71BE" w:rsidRDefault="00EB71BE" w:rsidP="00EB71BE">
            <w:pPr>
              <w:spacing w:before="60" w:after="60"/>
            </w:pPr>
            <w:r>
              <w:t>1.1</w:t>
            </w:r>
          </w:p>
        </w:tc>
        <w:tc>
          <w:tcPr>
            <w:tcW w:w="8033" w:type="dxa"/>
          </w:tcPr>
          <w:p w14:paraId="100D5E27" w14:textId="21B2255D" w:rsidR="00EB71BE" w:rsidRPr="00EB71BE" w:rsidRDefault="00EB71BE" w:rsidP="00EB71BE">
            <w:pPr>
              <w:spacing w:before="60" w:after="60"/>
              <w:rPr>
                <w:rFonts w:cs="Arial"/>
              </w:rPr>
            </w:pPr>
            <w:r w:rsidRPr="006005A2">
              <w:rPr>
                <w:rFonts w:cs="Arial"/>
              </w:rPr>
              <w:t>Minor update to extend review date to allow time for internal peer review to account for wider review of technical guidance</w:t>
            </w:r>
            <w:r>
              <w:rPr>
                <w:rFonts w:cs="Arial"/>
              </w:rPr>
              <w:t>.</w:t>
            </w:r>
          </w:p>
        </w:tc>
      </w:tr>
      <w:tr w:rsidR="00EB71BE" w:rsidRPr="00EB71BE" w14:paraId="36BBB4B3" w14:textId="1B0348E3" w:rsidTr="00EB71BE">
        <w:tc>
          <w:tcPr>
            <w:tcW w:w="993" w:type="dxa"/>
          </w:tcPr>
          <w:p w14:paraId="562724CD" w14:textId="7F036FE4" w:rsidR="00EB71BE" w:rsidRPr="00EB71BE" w:rsidRDefault="00EB71BE" w:rsidP="00EB71BE">
            <w:pPr>
              <w:spacing w:before="60" w:after="60"/>
            </w:pPr>
            <w:r>
              <w:t>2</w:t>
            </w:r>
          </w:p>
        </w:tc>
        <w:tc>
          <w:tcPr>
            <w:tcW w:w="8033" w:type="dxa"/>
          </w:tcPr>
          <w:p w14:paraId="680FFC30" w14:textId="66C654BF" w:rsidR="00EB71BE" w:rsidRPr="00EB71BE" w:rsidRDefault="00EB71BE" w:rsidP="00EB71BE">
            <w:pPr>
              <w:spacing w:before="60" w:after="60"/>
            </w:pPr>
            <w:r>
              <w:t xml:space="preserve">Major rewrite. </w:t>
            </w:r>
          </w:p>
        </w:tc>
      </w:tr>
    </w:tbl>
    <w:p w14:paraId="1C84EC7F" w14:textId="6D23C0B7" w:rsidR="00CC1C1E" w:rsidRPr="00CC1C1E" w:rsidRDefault="00CC1C1E" w:rsidP="00EB71BE"/>
    <w:sectPr w:rsidR="00CC1C1E" w:rsidRPr="00CC1C1E" w:rsidSect="000B2BCD">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95A7" w14:textId="77777777" w:rsidR="00B17BEB" w:rsidRDefault="00B17BEB" w:rsidP="007D199A">
      <w:pPr>
        <w:spacing w:after="0"/>
      </w:pPr>
      <w:r>
        <w:separator/>
      </w:r>
    </w:p>
    <w:p w14:paraId="1A202926" w14:textId="77777777" w:rsidR="00B17BEB" w:rsidRDefault="00B17BEB"/>
    <w:p w14:paraId="5ED7457C" w14:textId="77777777" w:rsidR="00B17BEB" w:rsidRDefault="00B17BEB"/>
  </w:endnote>
  <w:endnote w:type="continuationSeparator" w:id="0">
    <w:p w14:paraId="00D28E68" w14:textId="77777777" w:rsidR="00B17BEB" w:rsidRDefault="00B17BEB" w:rsidP="007D199A">
      <w:pPr>
        <w:spacing w:after="0"/>
      </w:pPr>
      <w:r>
        <w:continuationSeparator/>
      </w:r>
    </w:p>
    <w:p w14:paraId="28ADE208" w14:textId="77777777" w:rsidR="00B17BEB" w:rsidRDefault="00B17BEB"/>
    <w:p w14:paraId="31C513DE" w14:textId="77777777" w:rsidR="00B17BEB" w:rsidRDefault="00B17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5270A75" w:rsidR="00CE6198" w:rsidRPr="00EB71BE" w:rsidRDefault="00EB71BE" w:rsidP="000B2BCD">
    <w:pPr>
      <w:pStyle w:val="Footer"/>
      <w:spacing w:before="240" w:after="0" w:line="240" w:lineRule="auto"/>
      <w:rPr>
        <w:rStyle w:val="PageNumber"/>
        <w:color w:val="22413A"/>
        <w:sz w:val="24"/>
      </w:rPr>
    </w:pPr>
    <w:r w:rsidRPr="00EB71BE">
      <w:rPr>
        <w:rStyle w:val="PageNumber"/>
        <w:color w:val="22413A"/>
        <w:sz w:val="24"/>
      </w:rPr>
      <w:t xml:space="preserve">Page </w:t>
    </w:r>
    <w:r w:rsidRPr="00EB71BE">
      <w:rPr>
        <w:rStyle w:val="PageNumber"/>
        <w:color w:val="22413A"/>
        <w:sz w:val="24"/>
      </w:rPr>
      <w:fldChar w:fldCharType="begin"/>
    </w:r>
    <w:r w:rsidRPr="00EB71BE">
      <w:rPr>
        <w:rStyle w:val="PageNumber"/>
        <w:color w:val="22413A"/>
        <w:sz w:val="24"/>
      </w:rPr>
      <w:instrText>PAGE  \* Arabic  \* MERGEFORMAT</w:instrText>
    </w:r>
    <w:r w:rsidRPr="00EB71BE">
      <w:rPr>
        <w:rStyle w:val="PageNumber"/>
        <w:color w:val="22413A"/>
        <w:sz w:val="24"/>
      </w:rPr>
      <w:fldChar w:fldCharType="separate"/>
    </w:r>
    <w:r w:rsidRPr="00EB71BE">
      <w:rPr>
        <w:rStyle w:val="PageNumber"/>
        <w:color w:val="22413A"/>
        <w:sz w:val="24"/>
      </w:rPr>
      <w:t>1</w:t>
    </w:r>
    <w:r w:rsidRPr="00EB71BE">
      <w:rPr>
        <w:rStyle w:val="PageNumber"/>
        <w:color w:val="22413A"/>
        <w:sz w:val="24"/>
      </w:rPr>
      <w:fldChar w:fldCharType="end"/>
    </w:r>
    <w:r w:rsidRPr="00EB71BE">
      <w:rPr>
        <w:rStyle w:val="PageNumber"/>
        <w:color w:val="22413A"/>
        <w:sz w:val="24"/>
      </w:rPr>
      <w:t xml:space="preserve"> of </w:t>
    </w:r>
    <w:r w:rsidRPr="00EB71BE">
      <w:rPr>
        <w:rStyle w:val="PageNumber"/>
        <w:color w:val="22413A"/>
        <w:sz w:val="24"/>
      </w:rPr>
      <w:fldChar w:fldCharType="begin"/>
    </w:r>
    <w:r w:rsidRPr="00EB71BE">
      <w:rPr>
        <w:rStyle w:val="PageNumber"/>
        <w:color w:val="22413A"/>
        <w:sz w:val="24"/>
      </w:rPr>
      <w:instrText>NUMPAGES  \* Arabic  \* MERGEFORMAT</w:instrText>
    </w:r>
    <w:r w:rsidRPr="00EB71BE">
      <w:rPr>
        <w:rStyle w:val="PageNumber"/>
        <w:color w:val="22413A"/>
        <w:sz w:val="24"/>
      </w:rPr>
      <w:fldChar w:fldCharType="separate"/>
    </w:r>
    <w:r w:rsidRPr="00EB71BE">
      <w:rPr>
        <w:rStyle w:val="PageNumber"/>
        <w:color w:val="22413A"/>
        <w:sz w:val="24"/>
      </w:rPr>
      <w:t>2</w:t>
    </w:r>
    <w:r w:rsidRPr="00EB71BE">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07FF8408" w:rsidR="000B2BCD" w:rsidRPr="000B2BCD" w:rsidRDefault="00A8606E"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8782" w14:textId="77777777" w:rsidR="00B17BEB" w:rsidRPr="005E0344" w:rsidRDefault="00B17BEB" w:rsidP="005E0344">
      <w:pPr>
        <w:spacing w:after="120"/>
        <w:rPr>
          <w:color w:val="000000" w:themeColor="text2"/>
        </w:rPr>
      </w:pPr>
      <w:r w:rsidRPr="005E0344">
        <w:rPr>
          <w:color w:val="000000" w:themeColor="text2"/>
        </w:rPr>
        <w:separator/>
      </w:r>
    </w:p>
    <w:p w14:paraId="73874E3B" w14:textId="77777777" w:rsidR="00B17BEB" w:rsidRDefault="00B17BEB"/>
  </w:footnote>
  <w:footnote w:type="continuationSeparator" w:id="0">
    <w:p w14:paraId="7944153E" w14:textId="77777777" w:rsidR="00B17BEB" w:rsidRPr="005E0344" w:rsidRDefault="00B17BEB" w:rsidP="0090581D">
      <w:pPr>
        <w:spacing w:after="120"/>
        <w:rPr>
          <w:color w:val="000000" w:themeColor="text2"/>
        </w:rPr>
      </w:pPr>
      <w:r w:rsidRPr="005E0344">
        <w:rPr>
          <w:color w:val="000000" w:themeColor="text2"/>
        </w:rPr>
        <w:continuationSeparator/>
      </w:r>
    </w:p>
    <w:p w14:paraId="43EFD3AD" w14:textId="77777777" w:rsidR="00B17BEB" w:rsidRDefault="00B17BEB"/>
    <w:p w14:paraId="629859E7" w14:textId="77777777" w:rsidR="00B17BEB" w:rsidRDefault="00B17BEB"/>
  </w:footnote>
  <w:footnote w:type="continuationNotice" w:id="1">
    <w:p w14:paraId="563068ED" w14:textId="77777777" w:rsidR="00B17BEB" w:rsidRDefault="00B17BEB">
      <w:pPr>
        <w:spacing w:after="0"/>
      </w:pPr>
    </w:p>
    <w:p w14:paraId="1A362A83" w14:textId="77777777" w:rsidR="00B17BEB" w:rsidRDefault="00B17BEB"/>
    <w:p w14:paraId="2B0991F9" w14:textId="77777777" w:rsidR="00B17BEB" w:rsidRDefault="00B17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619A903" w:rsidR="00177666" w:rsidRPr="00046936" w:rsidRDefault="00B17BEB"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C1C1E">
          <w:rPr>
            <w:sz w:val="20"/>
            <w:szCs w:val="24"/>
          </w:rPr>
          <w:t>Civil engineering (Annex 3) – Ground engineering, geotechnics and underground structures</w:t>
        </w:r>
      </w:sdtContent>
    </w:sdt>
    <w:r w:rsidR="004E3932" w:rsidRPr="00046936">
      <w:rPr>
        <w:sz w:val="20"/>
        <w:szCs w:val="24"/>
      </w:rPr>
      <w:t xml:space="preserve"> | Issue</w:t>
    </w:r>
    <w:r w:rsidR="00EB71BE">
      <w:rPr>
        <w:sz w:val="20"/>
        <w:szCs w:val="24"/>
      </w:rPr>
      <w:t>:</w:t>
    </w:r>
    <w:r w:rsidR="004E3932" w:rsidRPr="00046936">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568F">
          <w:rPr>
            <w:sz w:val="20"/>
            <w:szCs w:val="24"/>
          </w:rPr>
          <w:t>2</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69BA932E" w:rsidR="000B2BCD" w:rsidRPr="00046936" w:rsidRDefault="00B17BEB"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CC1C1E">
          <w:rPr>
            <w:sz w:val="20"/>
            <w:szCs w:val="24"/>
          </w:rPr>
          <w:t>Civil engineering (Annex 3) – Ground engineering, geotechnics and underground structures</w:t>
        </w:r>
      </w:sdtContent>
    </w:sdt>
    <w:r w:rsidR="000B2BCD" w:rsidRPr="00046936">
      <w:rPr>
        <w:sz w:val="20"/>
        <w:szCs w:val="24"/>
      </w:rPr>
      <w:t xml:space="preserve"> | Issue No.: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568F">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 w15:restartNumberingAfterBreak="0">
    <w:nsid w:val="10F94E96"/>
    <w:multiLevelType w:val="hybridMultilevel"/>
    <w:tmpl w:val="3A7279A2"/>
    <w:lvl w:ilvl="0" w:tplc="C9EE477E">
      <w:start w:val="1"/>
      <w:numFmt w:val="decimal"/>
      <w:lvlText w:val="%1."/>
      <w:lvlJc w:val="left"/>
      <w:pPr>
        <w:ind w:left="720" w:hanging="360"/>
      </w:pPr>
    </w:lvl>
    <w:lvl w:ilvl="1" w:tplc="37620F8A">
      <w:start w:val="1"/>
      <w:numFmt w:val="decimal"/>
      <w:lvlText w:val="%2."/>
      <w:lvlJc w:val="left"/>
      <w:pPr>
        <w:ind w:left="720" w:hanging="360"/>
      </w:pPr>
    </w:lvl>
    <w:lvl w:ilvl="2" w:tplc="718A2556">
      <w:start w:val="1"/>
      <w:numFmt w:val="decimal"/>
      <w:lvlText w:val="%3."/>
      <w:lvlJc w:val="left"/>
      <w:pPr>
        <w:ind w:left="720" w:hanging="360"/>
      </w:pPr>
    </w:lvl>
    <w:lvl w:ilvl="3" w:tplc="BB66E8A0">
      <w:start w:val="1"/>
      <w:numFmt w:val="decimal"/>
      <w:lvlText w:val="%4."/>
      <w:lvlJc w:val="left"/>
      <w:pPr>
        <w:ind w:left="720" w:hanging="360"/>
      </w:pPr>
    </w:lvl>
    <w:lvl w:ilvl="4" w:tplc="FB440600">
      <w:start w:val="1"/>
      <w:numFmt w:val="decimal"/>
      <w:lvlText w:val="%5."/>
      <w:lvlJc w:val="left"/>
      <w:pPr>
        <w:ind w:left="720" w:hanging="360"/>
      </w:pPr>
    </w:lvl>
    <w:lvl w:ilvl="5" w:tplc="6B667F28">
      <w:start w:val="1"/>
      <w:numFmt w:val="decimal"/>
      <w:lvlText w:val="%6."/>
      <w:lvlJc w:val="left"/>
      <w:pPr>
        <w:ind w:left="720" w:hanging="360"/>
      </w:pPr>
    </w:lvl>
    <w:lvl w:ilvl="6" w:tplc="BAA84188">
      <w:start w:val="1"/>
      <w:numFmt w:val="decimal"/>
      <w:lvlText w:val="%7."/>
      <w:lvlJc w:val="left"/>
      <w:pPr>
        <w:ind w:left="720" w:hanging="360"/>
      </w:pPr>
    </w:lvl>
    <w:lvl w:ilvl="7" w:tplc="703C1E48">
      <w:start w:val="1"/>
      <w:numFmt w:val="decimal"/>
      <w:lvlText w:val="%8."/>
      <w:lvlJc w:val="left"/>
      <w:pPr>
        <w:ind w:left="720" w:hanging="360"/>
      </w:pPr>
    </w:lvl>
    <w:lvl w:ilvl="8" w:tplc="1B365AC0">
      <w:start w:val="1"/>
      <w:numFmt w:val="decimal"/>
      <w:lvlText w:val="%9."/>
      <w:lvlJc w:val="left"/>
      <w:pPr>
        <w:ind w:left="720" w:hanging="360"/>
      </w:pPr>
    </w:lvl>
  </w:abstractNum>
  <w:abstractNum w:abstractNumId="2" w15:restartNumberingAfterBreak="0">
    <w:nsid w:val="111D41EE"/>
    <w:multiLevelType w:val="multilevel"/>
    <w:tmpl w:val="F0385428"/>
    <w:lvl w:ilvl="0">
      <w:start w:val="1"/>
      <w:numFmt w:val="bullet"/>
      <w:lvlText w:val=""/>
      <w:lvlJc w:val="left"/>
      <w:pPr>
        <w:tabs>
          <w:tab w:val="num" w:pos="-30960"/>
        </w:tabs>
        <w:ind w:left="1440" w:hanging="720"/>
      </w:pPr>
      <w:rPr>
        <w:rFonts w:ascii="Wingdings" w:hAnsi="Wingdings" w:hint="default"/>
        <w:b w:val="0"/>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0960"/>
        </w:tabs>
        <w:ind w:left="1440" w:hanging="720"/>
      </w:pPr>
      <w:rPr>
        <w:rFonts w:hint="default"/>
        <w:sz w:val="22"/>
      </w:rPr>
    </w:lvl>
    <w:lvl w:ilvl="2">
      <w:start w:val="1"/>
      <w:numFmt w:val="decimal"/>
      <w:lvlText w:val="%1.%2.%3"/>
      <w:lvlJc w:val="left"/>
      <w:pPr>
        <w:tabs>
          <w:tab w:val="num" w:pos="-30960"/>
        </w:tabs>
        <w:ind w:left="1440" w:hanging="720"/>
      </w:pPr>
      <w:rPr>
        <w:rFonts w:hint="default"/>
        <w:sz w:val="22"/>
      </w:rPr>
    </w:lvl>
    <w:lvl w:ilvl="3">
      <w:start w:val="1"/>
      <w:numFmt w:val="decimal"/>
      <w:lvlText w:val="%1.%2.%3.%4"/>
      <w:lvlJc w:val="left"/>
      <w:pPr>
        <w:tabs>
          <w:tab w:val="num" w:pos="-30960"/>
        </w:tabs>
        <w:ind w:left="1440" w:hanging="720"/>
      </w:pPr>
      <w:rPr>
        <w:rFonts w:hint="default"/>
        <w:sz w:val="22"/>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4" w15:restartNumberingAfterBreak="0">
    <w:nsid w:val="17304E12"/>
    <w:multiLevelType w:val="multilevel"/>
    <w:tmpl w:val="A7CAA430"/>
    <w:lvl w:ilvl="0">
      <w:start w:val="1"/>
      <w:numFmt w:val="decimal"/>
      <w:pStyle w:val="TSNumberedParagraph1"/>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BEB3722"/>
    <w:multiLevelType w:val="hybridMultilevel"/>
    <w:tmpl w:val="9D3449D4"/>
    <w:lvl w:ilvl="0" w:tplc="DA0ECC82">
      <w:start w:val="1"/>
      <w:numFmt w:val="decimal"/>
      <w:lvlText w:val="%1."/>
      <w:lvlJc w:val="left"/>
      <w:pPr>
        <w:ind w:left="720" w:hanging="360"/>
      </w:pPr>
    </w:lvl>
    <w:lvl w:ilvl="1" w:tplc="379A9D64">
      <w:start w:val="1"/>
      <w:numFmt w:val="decimal"/>
      <w:lvlText w:val="%2."/>
      <w:lvlJc w:val="left"/>
      <w:pPr>
        <w:ind w:left="720" w:hanging="360"/>
      </w:pPr>
    </w:lvl>
    <w:lvl w:ilvl="2" w:tplc="6E264102">
      <w:start w:val="1"/>
      <w:numFmt w:val="decimal"/>
      <w:lvlText w:val="%3."/>
      <w:lvlJc w:val="left"/>
      <w:pPr>
        <w:ind w:left="720" w:hanging="360"/>
      </w:pPr>
    </w:lvl>
    <w:lvl w:ilvl="3" w:tplc="5734FB3A">
      <w:start w:val="1"/>
      <w:numFmt w:val="decimal"/>
      <w:lvlText w:val="%4."/>
      <w:lvlJc w:val="left"/>
      <w:pPr>
        <w:ind w:left="720" w:hanging="360"/>
      </w:pPr>
    </w:lvl>
    <w:lvl w:ilvl="4" w:tplc="A54AA844">
      <w:start w:val="1"/>
      <w:numFmt w:val="decimal"/>
      <w:lvlText w:val="%5."/>
      <w:lvlJc w:val="left"/>
      <w:pPr>
        <w:ind w:left="720" w:hanging="360"/>
      </w:pPr>
    </w:lvl>
    <w:lvl w:ilvl="5" w:tplc="A594C35C">
      <w:start w:val="1"/>
      <w:numFmt w:val="decimal"/>
      <w:lvlText w:val="%6."/>
      <w:lvlJc w:val="left"/>
      <w:pPr>
        <w:ind w:left="720" w:hanging="360"/>
      </w:pPr>
    </w:lvl>
    <w:lvl w:ilvl="6" w:tplc="3A2E6F7E">
      <w:start w:val="1"/>
      <w:numFmt w:val="decimal"/>
      <w:lvlText w:val="%7."/>
      <w:lvlJc w:val="left"/>
      <w:pPr>
        <w:ind w:left="720" w:hanging="360"/>
      </w:pPr>
    </w:lvl>
    <w:lvl w:ilvl="7" w:tplc="C6484948">
      <w:start w:val="1"/>
      <w:numFmt w:val="decimal"/>
      <w:lvlText w:val="%8."/>
      <w:lvlJc w:val="left"/>
      <w:pPr>
        <w:ind w:left="720" w:hanging="360"/>
      </w:pPr>
    </w:lvl>
    <w:lvl w:ilvl="8" w:tplc="D56C1222">
      <w:start w:val="1"/>
      <w:numFmt w:val="decimal"/>
      <w:lvlText w:val="%9."/>
      <w:lvlJc w:val="left"/>
      <w:pPr>
        <w:ind w:left="720" w:hanging="360"/>
      </w:pPr>
    </w:lvl>
  </w:abstractNum>
  <w:abstractNum w:abstractNumId="6" w15:restartNumberingAfterBreak="0">
    <w:nsid w:val="1E665529"/>
    <w:multiLevelType w:val="hybridMultilevel"/>
    <w:tmpl w:val="8270964E"/>
    <w:lvl w:ilvl="0" w:tplc="B7BC2648">
      <w:start w:val="1"/>
      <w:numFmt w:val="decimal"/>
      <w:lvlText w:val="%1."/>
      <w:lvlJc w:val="left"/>
      <w:pPr>
        <w:ind w:left="1020" w:hanging="360"/>
      </w:pPr>
    </w:lvl>
    <w:lvl w:ilvl="1" w:tplc="142AE096">
      <w:start w:val="1"/>
      <w:numFmt w:val="decimal"/>
      <w:lvlText w:val="%2."/>
      <w:lvlJc w:val="left"/>
      <w:pPr>
        <w:ind w:left="1020" w:hanging="360"/>
      </w:pPr>
    </w:lvl>
    <w:lvl w:ilvl="2" w:tplc="60B43CE8">
      <w:start w:val="1"/>
      <w:numFmt w:val="decimal"/>
      <w:lvlText w:val="%3."/>
      <w:lvlJc w:val="left"/>
      <w:pPr>
        <w:ind w:left="1020" w:hanging="360"/>
      </w:pPr>
    </w:lvl>
    <w:lvl w:ilvl="3" w:tplc="252A2D6C">
      <w:start w:val="1"/>
      <w:numFmt w:val="decimal"/>
      <w:lvlText w:val="%4."/>
      <w:lvlJc w:val="left"/>
      <w:pPr>
        <w:ind w:left="1020" w:hanging="360"/>
      </w:pPr>
    </w:lvl>
    <w:lvl w:ilvl="4" w:tplc="EEF835A4">
      <w:start w:val="1"/>
      <w:numFmt w:val="decimal"/>
      <w:lvlText w:val="%5."/>
      <w:lvlJc w:val="left"/>
      <w:pPr>
        <w:ind w:left="1020" w:hanging="360"/>
      </w:pPr>
    </w:lvl>
    <w:lvl w:ilvl="5" w:tplc="58ECA814">
      <w:start w:val="1"/>
      <w:numFmt w:val="decimal"/>
      <w:lvlText w:val="%6."/>
      <w:lvlJc w:val="left"/>
      <w:pPr>
        <w:ind w:left="1020" w:hanging="360"/>
      </w:pPr>
    </w:lvl>
    <w:lvl w:ilvl="6" w:tplc="BABEAFEC">
      <w:start w:val="1"/>
      <w:numFmt w:val="decimal"/>
      <w:lvlText w:val="%7."/>
      <w:lvlJc w:val="left"/>
      <w:pPr>
        <w:ind w:left="1020" w:hanging="360"/>
      </w:pPr>
    </w:lvl>
    <w:lvl w:ilvl="7" w:tplc="A164E276">
      <w:start w:val="1"/>
      <w:numFmt w:val="decimal"/>
      <w:lvlText w:val="%8."/>
      <w:lvlJc w:val="left"/>
      <w:pPr>
        <w:ind w:left="1020" w:hanging="360"/>
      </w:pPr>
    </w:lvl>
    <w:lvl w:ilvl="8" w:tplc="873C8964">
      <w:start w:val="1"/>
      <w:numFmt w:val="decimal"/>
      <w:lvlText w:val="%9."/>
      <w:lvlJc w:val="left"/>
      <w:pPr>
        <w:ind w:left="1020" w:hanging="360"/>
      </w:pPr>
    </w:lvl>
  </w:abstractNum>
  <w:abstractNum w:abstractNumId="7" w15:restartNumberingAfterBreak="0">
    <w:nsid w:val="22E72B91"/>
    <w:multiLevelType w:val="hybridMultilevel"/>
    <w:tmpl w:val="4918B33C"/>
    <w:lvl w:ilvl="0" w:tplc="A1105ACC">
      <w:start w:val="1"/>
      <w:numFmt w:val="decimal"/>
      <w:lvlText w:val="%1."/>
      <w:lvlJc w:val="left"/>
      <w:pPr>
        <w:ind w:left="720" w:hanging="360"/>
      </w:pPr>
    </w:lvl>
    <w:lvl w:ilvl="1" w:tplc="A3A212E4">
      <w:start w:val="1"/>
      <w:numFmt w:val="decimal"/>
      <w:lvlText w:val="%2."/>
      <w:lvlJc w:val="left"/>
      <w:pPr>
        <w:ind w:left="720" w:hanging="360"/>
      </w:pPr>
    </w:lvl>
    <w:lvl w:ilvl="2" w:tplc="FE1AD57E">
      <w:start w:val="1"/>
      <w:numFmt w:val="decimal"/>
      <w:lvlText w:val="%3."/>
      <w:lvlJc w:val="left"/>
      <w:pPr>
        <w:ind w:left="720" w:hanging="360"/>
      </w:pPr>
    </w:lvl>
    <w:lvl w:ilvl="3" w:tplc="D2048B8E">
      <w:start w:val="1"/>
      <w:numFmt w:val="decimal"/>
      <w:lvlText w:val="%4."/>
      <w:lvlJc w:val="left"/>
      <w:pPr>
        <w:ind w:left="720" w:hanging="360"/>
      </w:pPr>
    </w:lvl>
    <w:lvl w:ilvl="4" w:tplc="44F0FF1E">
      <w:start w:val="1"/>
      <w:numFmt w:val="decimal"/>
      <w:lvlText w:val="%5."/>
      <w:lvlJc w:val="left"/>
      <w:pPr>
        <w:ind w:left="720" w:hanging="360"/>
      </w:pPr>
    </w:lvl>
    <w:lvl w:ilvl="5" w:tplc="B3101CD4">
      <w:start w:val="1"/>
      <w:numFmt w:val="decimal"/>
      <w:lvlText w:val="%6."/>
      <w:lvlJc w:val="left"/>
      <w:pPr>
        <w:ind w:left="720" w:hanging="360"/>
      </w:pPr>
    </w:lvl>
    <w:lvl w:ilvl="6" w:tplc="5A7487B2">
      <w:start w:val="1"/>
      <w:numFmt w:val="decimal"/>
      <w:lvlText w:val="%7."/>
      <w:lvlJc w:val="left"/>
      <w:pPr>
        <w:ind w:left="720" w:hanging="360"/>
      </w:pPr>
    </w:lvl>
    <w:lvl w:ilvl="7" w:tplc="2E3888BC">
      <w:start w:val="1"/>
      <w:numFmt w:val="decimal"/>
      <w:lvlText w:val="%8."/>
      <w:lvlJc w:val="left"/>
      <w:pPr>
        <w:ind w:left="720" w:hanging="360"/>
      </w:pPr>
    </w:lvl>
    <w:lvl w:ilvl="8" w:tplc="04B863A8">
      <w:start w:val="1"/>
      <w:numFmt w:val="decimal"/>
      <w:lvlText w:val="%9."/>
      <w:lvlJc w:val="left"/>
      <w:pPr>
        <w:ind w:left="720" w:hanging="360"/>
      </w:pPr>
    </w:lvl>
  </w:abstractNum>
  <w:abstractNum w:abstractNumId="8" w15:restartNumberingAfterBreak="0">
    <w:nsid w:val="24C317C5"/>
    <w:multiLevelType w:val="hybridMultilevel"/>
    <w:tmpl w:val="49C81238"/>
    <w:lvl w:ilvl="0" w:tplc="3758A848">
      <w:start w:val="1"/>
      <w:numFmt w:val="decimal"/>
      <w:lvlText w:val="%1."/>
      <w:lvlJc w:val="left"/>
      <w:pPr>
        <w:ind w:left="720" w:hanging="360"/>
      </w:pPr>
    </w:lvl>
    <w:lvl w:ilvl="1" w:tplc="64904B9A">
      <w:start w:val="1"/>
      <w:numFmt w:val="decimal"/>
      <w:lvlText w:val="%2."/>
      <w:lvlJc w:val="left"/>
      <w:pPr>
        <w:ind w:left="720" w:hanging="360"/>
      </w:pPr>
    </w:lvl>
    <w:lvl w:ilvl="2" w:tplc="DC66F79A">
      <w:start w:val="1"/>
      <w:numFmt w:val="decimal"/>
      <w:lvlText w:val="%3."/>
      <w:lvlJc w:val="left"/>
      <w:pPr>
        <w:ind w:left="720" w:hanging="360"/>
      </w:pPr>
    </w:lvl>
    <w:lvl w:ilvl="3" w:tplc="86423A48">
      <w:start w:val="1"/>
      <w:numFmt w:val="decimal"/>
      <w:lvlText w:val="%4."/>
      <w:lvlJc w:val="left"/>
      <w:pPr>
        <w:ind w:left="720" w:hanging="360"/>
      </w:pPr>
    </w:lvl>
    <w:lvl w:ilvl="4" w:tplc="29DAEB4E">
      <w:start w:val="1"/>
      <w:numFmt w:val="decimal"/>
      <w:lvlText w:val="%5."/>
      <w:lvlJc w:val="left"/>
      <w:pPr>
        <w:ind w:left="720" w:hanging="360"/>
      </w:pPr>
    </w:lvl>
    <w:lvl w:ilvl="5" w:tplc="D7265316">
      <w:start w:val="1"/>
      <w:numFmt w:val="decimal"/>
      <w:lvlText w:val="%6."/>
      <w:lvlJc w:val="left"/>
      <w:pPr>
        <w:ind w:left="720" w:hanging="360"/>
      </w:pPr>
    </w:lvl>
    <w:lvl w:ilvl="6" w:tplc="DA9C1DE0">
      <w:start w:val="1"/>
      <w:numFmt w:val="decimal"/>
      <w:lvlText w:val="%7."/>
      <w:lvlJc w:val="left"/>
      <w:pPr>
        <w:ind w:left="720" w:hanging="360"/>
      </w:pPr>
    </w:lvl>
    <w:lvl w:ilvl="7" w:tplc="6A90B6A0">
      <w:start w:val="1"/>
      <w:numFmt w:val="decimal"/>
      <w:lvlText w:val="%8."/>
      <w:lvlJc w:val="left"/>
      <w:pPr>
        <w:ind w:left="720" w:hanging="360"/>
      </w:pPr>
    </w:lvl>
    <w:lvl w:ilvl="8" w:tplc="CAE65E70">
      <w:start w:val="1"/>
      <w:numFmt w:val="decimal"/>
      <w:lvlText w:val="%9."/>
      <w:lvlJc w:val="left"/>
      <w:pPr>
        <w:ind w:left="720" w:hanging="360"/>
      </w:pPr>
    </w:lvl>
  </w:abstractNum>
  <w:abstractNum w:abstractNumId="9" w15:restartNumberingAfterBreak="0">
    <w:nsid w:val="29BD6178"/>
    <w:multiLevelType w:val="hybridMultilevel"/>
    <w:tmpl w:val="04DA8AD2"/>
    <w:lvl w:ilvl="0" w:tplc="44864828">
      <w:start w:val="1"/>
      <w:numFmt w:val="decimal"/>
      <w:lvlText w:val="%1."/>
      <w:lvlJc w:val="left"/>
      <w:pPr>
        <w:ind w:left="720" w:hanging="360"/>
      </w:pPr>
    </w:lvl>
    <w:lvl w:ilvl="1" w:tplc="83806084">
      <w:start w:val="1"/>
      <w:numFmt w:val="decimal"/>
      <w:lvlText w:val="%2."/>
      <w:lvlJc w:val="left"/>
      <w:pPr>
        <w:ind w:left="720" w:hanging="360"/>
      </w:pPr>
    </w:lvl>
    <w:lvl w:ilvl="2" w:tplc="18D28B8C">
      <w:start w:val="1"/>
      <w:numFmt w:val="decimal"/>
      <w:lvlText w:val="%3."/>
      <w:lvlJc w:val="left"/>
      <w:pPr>
        <w:ind w:left="720" w:hanging="360"/>
      </w:pPr>
    </w:lvl>
    <w:lvl w:ilvl="3" w:tplc="F06A91CE">
      <w:start w:val="1"/>
      <w:numFmt w:val="decimal"/>
      <w:lvlText w:val="%4."/>
      <w:lvlJc w:val="left"/>
      <w:pPr>
        <w:ind w:left="720" w:hanging="360"/>
      </w:pPr>
    </w:lvl>
    <w:lvl w:ilvl="4" w:tplc="2234A592">
      <w:start w:val="1"/>
      <w:numFmt w:val="decimal"/>
      <w:lvlText w:val="%5."/>
      <w:lvlJc w:val="left"/>
      <w:pPr>
        <w:ind w:left="720" w:hanging="360"/>
      </w:pPr>
    </w:lvl>
    <w:lvl w:ilvl="5" w:tplc="3F703972">
      <w:start w:val="1"/>
      <w:numFmt w:val="decimal"/>
      <w:lvlText w:val="%6."/>
      <w:lvlJc w:val="left"/>
      <w:pPr>
        <w:ind w:left="720" w:hanging="360"/>
      </w:pPr>
    </w:lvl>
    <w:lvl w:ilvl="6" w:tplc="173CA6A0">
      <w:start w:val="1"/>
      <w:numFmt w:val="decimal"/>
      <w:lvlText w:val="%7."/>
      <w:lvlJc w:val="left"/>
      <w:pPr>
        <w:ind w:left="720" w:hanging="360"/>
      </w:pPr>
    </w:lvl>
    <w:lvl w:ilvl="7" w:tplc="C2188B0C">
      <w:start w:val="1"/>
      <w:numFmt w:val="decimal"/>
      <w:lvlText w:val="%8."/>
      <w:lvlJc w:val="left"/>
      <w:pPr>
        <w:ind w:left="720" w:hanging="360"/>
      </w:pPr>
    </w:lvl>
    <w:lvl w:ilvl="8" w:tplc="D9CE6F48">
      <w:start w:val="1"/>
      <w:numFmt w:val="decimal"/>
      <w:lvlText w:val="%9."/>
      <w:lvlJc w:val="left"/>
      <w:pPr>
        <w:ind w:left="720" w:hanging="360"/>
      </w:pPr>
    </w:lvl>
  </w:abstractNum>
  <w:abstractNum w:abstractNumId="10" w15:restartNumberingAfterBreak="0">
    <w:nsid w:val="316D5040"/>
    <w:multiLevelType w:val="hybridMultilevel"/>
    <w:tmpl w:val="DC7059D0"/>
    <w:lvl w:ilvl="0" w:tplc="D36C86D4">
      <w:start w:val="1"/>
      <w:numFmt w:val="decimal"/>
      <w:lvlText w:val="%1."/>
      <w:lvlJc w:val="left"/>
      <w:pPr>
        <w:ind w:left="1020" w:hanging="360"/>
      </w:pPr>
    </w:lvl>
    <w:lvl w:ilvl="1" w:tplc="E03CFCCA">
      <w:start w:val="1"/>
      <w:numFmt w:val="decimal"/>
      <w:lvlText w:val="%2."/>
      <w:lvlJc w:val="left"/>
      <w:pPr>
        <w:ind w:left="1020" w:hanging="360"/>
      </w:pPr>
    </w:lvl>
    <w:lvl w:ilvl="2" w:tplc="6F881F0A">
      <w:start w:val="1"/>
      <w:numFmt w:val="decimal"/>
      <w:lvlText w:val="%3."/>
      <w:lvlJc w:val="left"/>
      <w:pPr>
        <w:ind w:left="1020" w:hanging="360"/>
      </w:pPr>
    </w:lvl>
    <w:lvl w:ilvl="3" w:tplc="0262DD52">
      <w:start w:val="1"/>
      <w:numFmt w:val="decimal"/>
      <w:lvlText w:val="%4."/>
      <w:lvlJc w:val="left"/>
      <w:pPr>
        <w:ind w:left="1020" w:hanging="360"/>
      </w:pPr>
    </w:lvl>
    <w:lvl w:ilvl="4" w:tplc="28989B2C">
      <w:start w:val="1"/>
      <w:numFmt w:val="decimal"/>
      <w:lvlText w:val="%5."/>
      <w:lvlJc w:val="left"/>
      <w:pPr>
        <w:ind w:left="1020" w:hanging="360"/>
      </w:pPr>
    </w:lvl>
    <w:lvl w:ilvl="5" w:tplc="715EC16C">
      <w:start w:val="1"/>
      <w:numFmt w:val="decimal"/>
      <w:lvlText w:val="%6."/>
      <w:lvlJc w:val="left"/>
      <w:pPr>
        <w:ind w:left="1020" w:hanging="360"/>
      </w:pPr>
    </w:lvl>
    <w:lvl w:ilvl="6" w:tplc="D7404AA0">
      <w:start w:val="1"/>
      <w:numFmt w:val="decimal"/>
      <w:lvlText w:val="%7."/>
      <w:lvlJc w:val="left"/>
      <w:pPr>
        <w:ind w:left="1020" w:hanging="360"/>
      </w:pPr>
    </w:lvl>
    <w:lvl w:ilvl="7" w:tplc="6D0E36CE">
      <w:start w:val="1"/>
      <w:numFmt w:val="decimal"/>
      <w:lvlText w:val="%8."/>
      <w:lvlJc w:val="left"/>
      <w:pPr>
        <w:ind w:left="1020" w:hanging="360"/>
      </w:pPr>
    </w:lvl>
    <w:lvl w:ilvl="8" w:tplc="E68AEFBE">
      <w:start w:val="1"/>
      <w:numFmt w:val="decimal"/>
      <w:lvlText w:val="%9."/>
      <w:lvlJc w:val="left"/>
      <w:pPr>
        <w:ind w:left="1020" w:hanging="360"/>
      </w:pPr>
    </w:lvl>
  </w:abstractNum>
  <w:abstractNum w:abstractNumId="11"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6D64D2"/>
    <w:multiLevelType w:val="hybridMultilevel"/>
    <w:tmpl w:val="11D8E5E8"/>
    <w:lvl w:ilvl="0" w:tplc="8E3E52D2">
      <w:start w:val="1"/>
      <w:numFmt w:val="decimal"/>
      <w:lvlText w:val="%1."/>
      <w:lvlJc w:val="left"/>
      <w:pPr>
        <w:ind w:left="720" w:hanging="360"/>
      </w:pPr>
    </w:lvl>
    <w:lvl w:ilvl="1" w:tplc="CFCEAFB0">
      <w:start w:val="1"/>
      <w:numFmt w:val="decimal"/>
      <w:lvlText w:val="%2."/>
      <w:lvlJc w:val="left"/>
      <w:pPr>
        <w:ind w:left="720" w:hanging="360"/>
      </w:pPr>
    </w:lvl>
    <w:lvl w:ilvl="2" w:tplc="8856F482">
      <w:start w:val="1"/>
      <w:numFmt w:val="decimal"/>
      <w:lvlText w:val="%3."/>
      <w:lvlJc w:val="left"/>
      <w:pPr>
        <w:ind w:left="720" w:hanging="360"/>
      </w:pPr>
    </w:lvl>
    <w:lvl w:ilvl="3" w:tplc="B1DCF864">
      <w:start w:val="1"/>
      <w:numFmt w:val="decimal"/>
      <w:lvlText w:val="%4."/>
      <w:lvlJc w:val="left"/>
      <w:pPr>
        <w:ind w:left="720" w:hanging="360"/>
      </w:pPr>
    </w:lvl>
    <w:lvl w:ilvl="4" w:tplc="CF1E3AF0">
      <w:start w:val="1"/>
      <w:numFmt w:val="decimal"/>
      <w:lvlText w:val="%5."/>
      <w:lvlJc w:val="left"/>
      <w:pPr>
        <w:ind w:left="720" w:hanging="360"/>
      </w:pPr>
    </w:lvl>
    <w:lvl w:ilvl="5" w:tplc="6AE2B9F0">
      <w:start w:val="1"/>
      <w:numFmt w:val="decimal"/>
      <w:lvlText w:val="%6."/>
      <w:lvlJc w:val="left"/>
      <w:pPr>
        <w:ind w:left="720" w:hanging="360"/>
      </w:pPr>
    </w:lvl>
    <w:lvl w:ilvl="6" w:tplc="CC28B2BA">
      <w:start w:val="1"/>
      <w:numFmt w:val="decimal"/>
      <w:lvlText w:val="%7."/>
      <w:lvlJc w:val="left"/>
      <w:pPr>
        <w:ind w:left="720" w:hanging="360"/>
      </w:pPr>
    </w:lvl>
    <w:lvl w:ilvl="7" w:tplc="FE78CC4E">
      <w:start w:val="1"/>
      <w:numFmt w:val="decimal"/>
      <w:lvlText w:val="%8."/>
      <w:lvlJc w:val="left"/>
      <w:pPr>
        <w:ind w:left="720" w:hanging="360"/>
      </w:pPr>
    </w:lvl>
    <w:lvl w:ilvl="8" w:tplc="64F223C6">
      <w:start w:val="1"/>
      <w:numFmt w:val="decimal"/>
      <w:lvlText w:val="%9."/>
      <w:lvlJc w:val="left"/>
      <w:pPr>
        <w:ind w:left="720" w:hanging="360"/>
      </w:pPr>
    </w:lvl>
  </w:abstractNum>
  <w:abstractNum w:abstractNumId="13" w15:restartNumberingAfterBreak="0">
    <w:nsid w:val="3B3C29D0"/>
    <w:multiLevelType w:val="hybridMultilevel"/>
    <w:tmpl w:val="9342E942"/>
    <w:lvl w:ilvl="0" w:tplc="2FF2A420">
      <w:start w:val="1"/>
      <w:numFmt w:val="decimal"/>
      <w:lvlText w:val="%1."/>
      <w:lvlJc w:val="left"/>
      <w:pPr>
        <w:ind w:left="1020" w:hanging="360"/>
      </w:pPr>
    </w:lvl>
    <w:lvl w:ilvl="1" w:tplc="ED18404C">
      <w:start w:val="1"/>
      <w:numFmt w:val="decimal"/>
      <w:lvlText w:val="%2."/>
      <w:lvlJc w:val="left"/>
      <w:pPr>
        <w:ind w:left="1020" w:hanging="360"/>
      </w:pPr>
    </w:lvl>
    <w:lvl w:ilvl="2" w:tplc="FB9AFBBE">
      <w:start w:val="1"/>
      <w:numFmt w:val="decimal"/>
      <w:lvlText w:val="%3."/>
      <w:lvlJc w:val="left"/>
      <w:pPr>
        <w:ind w:left="1020" w:hanging="360"/>
      </w:pPr>
    </w:lvl>
    <w:lvl w:ilvl="3" w:tplc="556C768E">
      <w:start w:val="1"/>
      <w:numFmt w:val="decimal"/>
      <w:lvlText w:val="%4."/>
      <w:lvlJc w:val="left"/>
      <w:pPr>
        <w:ind w:left="1020" w:hanging="360"/>
      </w:pPr>
    </w:lvl>
    <w:lvl w:ilvl="4" w:tplc="882C9770">
      <w:start w:val="1"/>
      <w:numFmt w:val="decimal"/>
      <w:lvlText w:val="%5."/>
      <w:lvlJc w:val="left"/>
      <w:pPr>
        <w:ind w:left="1020" w:hanging="360"/>
      </w:pPr>
    </w:lvl>
    <w:lvl w:ilvl="5" w:tplc="11D472E0">
      <w:start w:val="1"/>
      <w:numFmt w:val="decimal"/>
      <w:lvlText w:val="%6."/>
      <w:lvlJc w:val="left"/>
      <w:pPr>
        <w:ind w:left="1020" w:hanging="360"/>
      </w:pPr>
    </w:lvl>
    <w:lvl w:ilvl="6" w:tplc="90BAD2AC">
      <w:start w:val="1"/>
      <w:numFmt w:val="decimal"/>
      <w:lvlText w:val="%7."/>
      <w:lvlJc w:val="left"/>
      <w:pPr>
        <w:ind w:left="1020" w:hanging="360"/>
      </w:pPr>
    </w:lvl>
    <w:lvl w:ilvl="7" w:tplc="B5E45D2E">
      <w:start w:val="1"/>
      <w:numFmt w:val="decimal"/>
      <w:lvlText w:val="%8."/>
      <w:lvlJc w:val="left"/>
      <w:pPr>
        <w:ind w:left="1020" w:hanging="360"/>
      </w:pPr>
    </w:lvl>
    <w:lvl w:ilvl="8" w:tplc="027A5CD4">
      <w:start w:val="1"/>
      <w:numFmt w:val="decimal"/>
      <w:lvlText w:val="%9."/>
      <w:lvlJc w:val="left"/>
      <w:pPr>
        <w:ind w:left="1020" w:hanging="360"/>
      </w:pPr>
    </w:lvl>
  </w:abstractNum>
  <w:abstractNum w:abstractNumId="14" w15:restartNumberingAfterBreak="0">
    <w:nsid w:val="3F124B76"/>
    <w:multiLevelType w:val="hybridMultilevel"/>
    <w:tmpl w:val="4ECC60EE"/>
    <w:lvl w:ilvl="0" w:tplc="EA6827C2">
      <w:start w:val="1"/>
      <w:numFmt w:val="decimal"/>
      <w:lvlText w:val="%1."/>
      <w:lvlJc w:val="left"/>
      <w:pPr>
        <w:ind w:left="1020" w:hanging="360"/>
      </w:pPr>
    </w:lvl>
    <w:lvl w:ilvl="1" w:tplc="89728534">
      <w:start w:val="1"/>
      <w:numFmt w:val="decimal"/>
      <w:lvlText w:val="%2."/>
      <w:lvlJc w:val="left"/>
      <w:pPr>
        <w:ind w:left="1020" w:hanging="360"/>
      </w:pPr>
    </w:lvl>
    <w:lvl w:ilvl="2" w:tplc="85EC4CAC">
      <w:start w:val="1"/>
      <w:numFmt w:val="decimal"/>
      <w:lvlText w:val="%3."/>
      <w:lvlJc w:val="left"/>
      <w:pPr>
        <w:ind w:left="1020" w:hanging="360"/>
      </w:pPr>
    </w:lvl>
    <w:lvl w:ilvl="3" w:tplc="EBE68BFE">
      <w:start w:val="1"/>
      <w:numFmt w:val="decimal"/>
      <w:lvlText w:val="%4."/>
      <w:lvlJc w:val="left"/>
      <w:pPr>
        <w:ind w:left="1020" w:hanging="360"/>
      </w:pPr>
    </w:lvl>
    <w:lvl w:ilvl="4" w:tplc="10E220EE">
      <w:start w:val="1"/>
      <w:numFmt w:val="decimal"/>
      <w:lvlText w:val="%5."/>
      <w:lvlJc w:val="left"/>
      <w:pPr>
        <w:ind w:left="1020" w:hanging="360"/>
      </w:pPr>
    </w:lvl>
    <w:lvl w:ilvl="5" w:tplc="A712F074">
      <w:start w:val="1"/>
      <w:numFmt w:val="decimal"/>
      <w:lvlText w:val="%6."/>
      <w:lvlJc w:val="left"/>
      <w:pPr>
        <w:ind w:left="1020" w:hanging="360"/>
      </w:pPr>
    </w:lvl>
    <w:lvl w:ilvl="6" w:tplc="55B45BC4">
      <w:start w:val="1"/>
      <w:numFmt w:val="decimal"/>
      <w:lvlText w:val="%7."/>
      <w:lvlJc w:val="left"/>
      <w:pPr>
        <w:ind w:left="1020" w:hanging="360"/>
      </w:pPr>
    </w:lvl>
    <w:lvl w:ilvl="7" w:tplc="E368A11E">
      <w:start w:val="1"/>
      <w:numFmt w:val="decimal"/>
      <w:lvlText w:val="%8."/>
      <w:lvlJc w:val="left"/>
      <w:pPr>
        <w:ind w:left="1020" w:hanging="360"/>
      </w:pPr>
    </w:lvl>
    <w:lvl w:ilvl="8" w:tplc="922E843E">
      <w:start w:val="1"/>
      <w:numFmt w:val="decimal"/>
      <w:lvlText w:val="%9."/>
      <w:lvlJc w:val="left"/>
      <w:pPr>
        <w:ind w:left="1020" w:hanging="360"/>
      </w:pPr>
    </w:lvl>
  </w:abstractNum>
  <w:abstractNum w:abstractNumId="15" w15:restartNumberingAfterBreak="0">
    <w:nsid w:val="52957587"/>
    <w:multiLevelType w:val="multilevel"/>
    <w:tmpl w:val="7CECCD1C"/>
    <w:lvl w:ilvl="0">
      <w:start w:val="1"/>
      <w:numFmt w:val="decimal"/>
      <w:pStyle w:val="Heading1"/>
      <w:lvlText w:val="%1."/>
      <w:lvlJc w:val="left"/>
      <w:pPr>
        <w:ind w:left="1070" w:hanging="360"/>
      </w:pPr>
    </w:lvl>
    <w:lvl w:ilvl="1">
      <w:start w:val="1"/>
      <w:numFmt w:val="decimal"/>
      <w:pStyle w:val="Heading2"/>
      <w:lvlText w:val="%1.%2."/>
      <w:lvlJc w:val="left"/>
      <w:pPr>
        <w:ind w:left="1502" w:hanging="432"/>
      </w:pPr>
    </w:lvl>
    <w:lvl w:ilvl="2">
      <w:start w:val="1"/>
      <w:numFmt w:val="decimal"/>
      <w:pStyle w:val="Heading3"/>
      <w:lvlText w:val="%1.%2.%3."/>
      <w:lvlJc w:val="left"/>
      <w:pPr>
        <w:ind w:left="1934" w:hanging="504"/>
      </w:pPr>
    </w:lvl>
    <w:lvl w:ilvl="3">
      <w:start w:val="1"/>
      <w:numFmt w:val="decimal"/>
      <w:pStyle w:val="Heading4"/>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6" w15:restartNumberingAfterBreak="0">
    <w:nsid w:val="5F8C491E"/>
    <w:multiLevelType w:val="hybridMultilevel"/>
    <w:tmpl w:val="9D32F73A"/>
    <w:lvl w:ilvl="0" w:tplc="317AA02E">
      <w:start w:val="1"/>
      <w:numFmt w:val="decimal"/>
      <w:lvlText w:val="%1."/>
      <w:lvlJc w:val="left"/>
      <w:pPr>
        <w:ind w:left="1020" w:hanging="360"/>
      </w:pPr>
    </w:lvl>
    <w:lvl w:ilvl="1" w:tplc="76369B36">
      <w:start w:val="1"/>
      <w:numFmt w:val="decimal"/>
      <w:lvlText w:val="%2."/>
      <w:lvlJc w:val="left"/>
      <w:pPr>
        <w:ind w:left="1020" w:hanging="360"/>
      </w:pPr>
    </w:lvl>
    <w:lvl w:ilvl="2" w:tplc="0ED2F3B6">
      <w:start w:val="1"/>
      <w:numFmt w:val="decimal"/>
      <w:lvlText w:val="%3."/>
      <w:lvlJc w:val="left"/>
      <w:pPr>
        <w:ind w:left="1020" w:hanging="360"/>
      </w:pPr>
    </w:lvl>
    <w:lvl w:ilvl="3" w:tplc="2402E9D2">
      <w:start w:val="1"/>
      <w:numFmt w:val="decimal"/>
      <w:lvlText w:val="%4."/>
      <w:lvlJc w:val="left"/>
      <w:pPr>
        <w:ind w:left="1020" w:hanging="360"/>
      </w:pPr>
    </w:lvl>
    <w:lvl w:ilvl="4" w:tplc="A14A1F4E">
      <w:start w:val="1"/>
      <w:numFmt w:val="decimal"/>
      <w:lvlText w:val="%5."/>
      <w:lvlJc w:val="left"/>
      <w:pPr>
        <w:ind w:left="1020" w:hanging="360"/>
      </w:pPr>
    </w:lvl>
    <w:lvl w:ilvl="5" w:tplc="6FFE0724">
      <w:start w:val="1"/>
      <w:numFmt w:val="decimal"/>
      <w:lvlText w:val="%6."/>
      <w:lvlJc w:val="left"/>
      <w:pPr>
        <w:ind w:left="1020" w:hanging="360"/>
      </w:pPr>
    </w:lvl>
    <w:lvl w:ilvl="6" w:tplc="3D926E5A">
      <w:start w:val="1"/>
      <w:numFmt w:val="decimal"/>
      <w:lvlText w:val="%7."/>
      <w:lvlJc w:val="left"/>
      <w:pPr>
        <w:ind w:left="1020" w:hanging="360"/>
      </w:pPr>
    </w:lvl>
    <w:lvl w:ilvl="7" w:tplc="0DEEC5B4">
      <w:start w:val="1"/>
      <w:numFmt w:val="decimal"/>
      <w:lvlText w:val="%8."/>
      <w:lvlJc w:val="left"/>
      <w:pPr>
        <w:ind w:left="1020" w:hanging="360"/>
      </w:pPr>
    </w:lvl>
    <w:lvl w:ilvl="8" w:tplc="45A08D82">
      <w:start w:val="1"/>
      <w:numFmt w:val="decimal"/>
      <w:lvlText w:val="%9."/>
      <w:lvlJc w:val="left"/>
      <w:pPr>
        <w:ind w:left="1020" w:hanging="360"/>
      </w:pPr>
    </w:lvl>
  </w:abstractNum>
  <w:abstractNum w:abstractNumId="17" w15:restartNumberingAfterBreak="0">
    <w:nsid w:val="68A00946"/>
    <w:multiLevelType w:val="hybridMultilevel"/>
    <w:tmpl w:val="D64A69E0"/>
    <w:lvl w:ilvl="0" w:tplc="1854A62E">
      <w:start w:val="1"/>
      <w:numFmt w:val="decimal"/>
      <w:lvlText w:val="%1."/>
      <w:lvlJc w:val="left"/>
      <w:pPr>
        <w:ind w:left="1020" w:hanging="360"/>
      </w:pPr>
    </w:lvl>
    <w:lvl w:ilvl="1" w:tplc="BCE430EC">
      <w:start w:val="1"/>
      <w:numFmt w:val="decimal"/>
      <w:lvlText w:val="%2."/>
      <w:lvlJc w:val="left"/>
      <w:pPr>
        <w:ind w:left="1020" w:hanging="360"/>
      </w:pPr>
    </w:lvl>
    <w:lvl w:ilvl="2" w:tplc="28D02086">
      <w:start w:val="1"/>
      <w:numFmt w:val="decimal"/>
      <w:lvlText w:val="%3."/>
      <w:lvlJc w:val="left"/>
      <w:pPr>
        <w:ind w:left="1020" w:hanging="360"/>
      </w:pPr>
    </w:lvl>
    <w:lvl w:ilvl="3" w:tplc="36F47E74">
      <w:start w:val="1"/>
      <w:numFmt w:val="decimal"/>
      <w:lvlText w:val="%4."/>
      <w:lvlJc w:val="left"/>
      <w:pPr>
        <w:ind w:left="1020" w:hanging="360"/>
      </w:pPr>
    </w:lvl>
    <w:lvl w:ilvl="4" w:tplc="B118985C">
      <w:start w:val="1"/>
      <w:numFmt w:val="decimal"/>
      <w:lvlText w:val="%5."/>
      <w:lvlJc w:val="left"/>
      <w:pPr>
        <w:ind w:left="1020" w:hanging="360"/>
      </w:pPr>
    </w:lvl>
    <w:lvl w:ilvl="5" w:tplc="7B1A0DC6">
      <w:start w:val="1"/>
      <w:numFmt w:val="decimal"/>
      <w:lvlText w:val="%6."/>
      <w:lvlJc w:val="left"/>
      <w:pPr>
        <w:ind w:left="1020" w:hanging="360"/>
      </w:pPr>
    </w:lvl>
    <w:lvl w:ilvl="6" w:tplc="AD845446">
      <w:start w:val="1"/>
      <w:numFmt w:val="decimal"/>
      <w:lvlText w:val="%7."/>
      <w:lvlJc w:val="left"/>
      <w:pPr>
        <w:ind w:left="1020" w:hanging="360"/>
      </w:pPr>
    </w:lvl>
    <w:lvl w:ilvl="7" w:tplc="780CFCEC">
      <w:start w:val="1"/>
      <w:numFmt w:val="decimal"/>
      <w:lvlText w:val="%8."/>
      <w:lvlJc w:val="left"/>
      <w:pPr>
        <w:ind w:left="1020" w:hanging="360"/>
      </w:pPr>
    </w:lvl>
    <w:lvl w:ilvl="8" w:tplc="9CC49E02">
      <w:start w:val="1"/>
      <w:numFmt w:val="decimal"/>
      <w:lvlText w:val="%9."/>
      <w:lvlJc w:val="left"/>
      <w:pPr>
        <w:ind w:left="1020" w:hanging="360"/>
      </w:pPr>
    </w:lvl>
  </w:abstractNum>
  <w:abstractNum w:abstractNumId="18" w15:restartNumberingAfterBreak="0">
    <w:nsid w:val="6A2F4ADD"/>
    <w:multiLevelType w:val="hybridMultilevel"/>
    <w:tmpl w:val="71C4EF90"/>
    <w:lvl w:ilvl="0" w:tplc="EF982846">
      <w:start w:val="1"/>
      <w:numFmt w:val="decimal"/>
      <w:lvlText w:val="%1."/>
      <w:lvlJc w:val="left"/>
      <w:pPr>
        <w:ind w:left="1020" w:hanging="360"/>
      </w:pPr>
    </w:lvl>
    <w:lvl w:ilvl="1" w:tplc="4FD4CCE4">
      <w:start w:val="1"/>
      <w:numFmt w:val="decimal"/>
      <w:lvlText w:val="%2."/>
      <w:lvlJc w:val="left"/>
      <w:pPr>
        <w:ind w:left="1020" w:hanging="360"/>
      </w:pPr>
    </w:lvl>
    <w:lvl w:ilvl="2" w:tplc="05D88908">
      <w:start w:val="1"/>
      <w:numFmt w:val="decimal"/>
      <w:lvlText w:val="%3."/>
      <w:lvlJc w:val="left"/>
      <w:pPr>
        <w:ind w:left="1020" w:hanging="360"/>
      </w:pPr>
    </w:lvl>
    <w:lvl w:ilvl="3" w:tplc="A0DCA348">
      <w:start w:val="1"/>
      <w:numFmt w:val="decimal"/>
      <w:lvlText w:val="%4."/>
      <w:lvlJc w:val="left"/>
      <w:pPr>
        <w:ind w:left="1020" w:hanging="360"/>
      </w:pPr>
    </w:lvl>
    <w:lvl w:ilvl="4" w:tplc="A4C6CB5C">
      <w:start w:val="1"/>
      <w:numFmt w:val="decimal"/>
      <w:lvlText w:val="%5."/>
      <w:lvlJc w:val="left"/>
      <w:pPr>
        <w:ind w:left="1020" w:hanging="360"/>
      </w:pPr>
    </w:lvl>
    <w:lvl w:ilvl="5" w:tplc="104CB2C6">
      <w:start w:val="1"/>
      <w:numFmt w:val="decimal"/>
      <w:lvlText w:val="%6."/>
      <w:lvlJc w:val="left"/>
      <w:pPr>
        <w:ind w:left="1020" w:hanging="360"/>
      </w:pPr>
    </w:lvl>
    <w:lvl w:ilvl="6" w:tplc="E08280E4">
      <w:start w:val="1"/>
      <w:numFmt w:val="decimal"/>
      <w:lvlText w:val="%7."/>
      <w:lvlJc w:val="left"/>
      <w:pPr>
        <w:ind w:left="1020" w:hanging="360"/>
      </w:pPr>
    </w:lvl>
    <w:lvl w:ilvl="7" w:tplc="1D98D5BE">
      <w:start w:val="1"/>
      <w:numFmt w:val="decimal"/>
      <w:lvlText w:val="%8."/>
      <w:lvlJc w:val="left"/>
      <w:pPr>
        <w:ind w:left="1020" w:hanging="360"/>
      </w:pPr>
    </w:lvl>
    <w:lvl w:ilvl="8" w:tplc="5ABC41BE">
      <w:start w:val="1"/>
      <w:numFmt w:val="decimal"/>
      <w:lvlText w:val="%9."/>
      <w:lvlJc w:val="left"/>
      <w:pPr>
        <w:ind w:left="1020" w:hanging="360"/>
      </w:pPr>
    </w:lvl>
  </w:abstractNum>
  <w:abstractNum w:abstractNumId="19"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47535"/>
    <w:multiLevelType w:val="multilevel"/>
    <w:tmpl w:val="601C9E5A"/>
    <w:lvl w:ilvl="0">
      <w:start w:val="1"/>
      <w:numFmt w:val="decimal"/>
      <w:pStyle w:val="F9-Paragraph"/>
      <w:lvlText w:val="%1."/>
      <w:lvlJc w:val="left"/>
      <w:pPr>
        <w:ind w:left="5606" w:hanging="360"/>
      </w:pPr>
      <w:rPr>
        <w:rFonts w:asciiTheme="minorHAnsi" w:hAnsiTheme="minorHAnsi" w:cstheme="minorHAnsi"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871310"/>
    <w:multiLevelType w:val="hybridMultilevel"/>
    <w:tmpl w:val="1442673E"/>
    <w:lvl w:ilvl="0" w:tplc="367A662E">
      <w:start w:val="1"/>
      <w:numFmt w:val="decimal"/>
      <w:lvlText w:val="%1."/>
      <w:lvlJc w:val="left"/>
      <w:pPr>
        <w:ind w:left="1020" w:hanging="360"/>
      </w:pPr>
    </w:lvl>
    <w:lvl w:ilvl="1" w:tplc="711CD45E">
      <w:start w:val="1"/>
      <w:numFmt w:val="decimal"/>
      <w:lvlText w:val="%2."/>
      <w:lvlJc w:val="left"/>
      <w:pPr>
        <w:ind w:left="1020" w:hanging="360"/>
      </w:pPr>
    </w:lvl>
    <w:lvl w:ilvl="2" w:tplc="CBFC100E">
      <w:start w:val="1"/>
      <w:numFmt w:val="decimal"/>
      <w:lvlText w:val="%3."/>
      <w:lvlJc w:val="left"/>
      <w:pPr>
        <w:ind w:left="1020" w:hanging="360"/>
      </w:pPr>
    </w:lvl>
    <w:lvl w:ilvl="3" w:tplc="4BE4F036">
      <w:start w:val="1"/>
      <w:numFmt w:val="decimal"/>
      <w:lvlText w:val="%4."/>
      <w:lvlJc w:val="left"/>
      <w:pPr>
        <w:ind w:left="1020" w:hanging="360"/>
      </w:pPr>
    </w:lvl>
    <w:lvl w:ilvl="4" w:tplc="FD30A082">
      <w:start w:val="1"/>
      <w:numFmt w:val="decimal"/>
      <w:lvlText w:val="%5."/>
      <w:lvlJc w:val="left"/>
      <w:pPr>
        <w:ind w:left="1020" w:hanging="360"/>
      </w:pPr>
    </w:lvl>
    <w:lvl w:ilvl="5" w:tplc="2F46E9F2">
      <w:start w:val="1"/>
      <w:numFmt w:val="decimal"/>
      <w:lvlText w:val="%6."/>
      <w:lvlJc w:val="left"/>
      <w:pPr>
        <w:ind w:left="1020" w:hanging="360"/>
      </w:pPr>
    </w:lvl>
    <w:lvl w:ilvl="6" w:tplc="8FF8C70A">
      <w:start w:val="1"/>
      <w:numFmt w:val="decimal"/>
      <w:lvlText w:val="%7."/>
      <w:lvlJc w:val="left"/>
      <w:pPr>
        <w:ind w:left="1020" w:hanging="360"/>
      </w:pPr>
    </w:lvl>
    <w:lvl w:ilvl="7" w:tplc="52946494">
      <w:start w:val="1"/>
      <w:numFmt w:val="decimal"/>
      <w:lvlText w:val="%8."/>
      <w:lvlJc w:val="left"/>
      <w:pPr>
        <w:ind w:left="1020" w:hanging="360"/>
      </w:pPr>
    </w:lvl>
    <w:lvl w:ilvl="8" w:tplc="DCB23956">
      <w:start w:val="1"/>
      <w:numFmt w:val="decimal"/>
      <w:lvlText w:val="%9."/>
      <w:lvlJc w:val="left"/>
      <w:pPr>
        <w:ind w:left="1020" w:hanging="360"/>
      </w:pPr>
    </w:lvl>
  </w:abstractNum>
  <w:abstractNum w:abstractNumId="22" w15:restartNumberingAfterBreak="0">
    <w:nsid w:val="7D863EDD"/>
    <w:multiLevelType w:val="multilevel"/>
    <w:tmpl w:val="6BF0313E"/>
    <w:lvl w:ilvl="0">
      <w:start w:val="1"/>
      <w:numFmt w:val="decimal"/>
      <w:lvlText w:val="%1."/>
      <w:lvlJc w:val="left"/>
      <w:pPr>
        <w:ind w:left="360" w:hanging="360"/>
      </w:pPr>
    </w:lvl>
    <w:lvl w:ilvl="1">
      <w:start w:val="1"/>
      <w:numFmt w:val="decimal"/>
      <w:pStyle w:val="NumberedParagraph"/>
      <w:lvlText w:val="%1.%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4"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num w:numId="1" w16cid:durableId="783227120">
    <w:abstractNumId w:val="19"/>
  </w:num>
  <w:num w:numId="2" w16cid:durableId="399718409">
    <w:abstractNumId w:val="20"/>
  </w:num>
  <w:num w:numId="3" w16cid:durableId="999388671">
    <w:abstractNumId w:val="15"/>
  </w:num>
  <w:num w:numId="4" w16cid:durableId="2096631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636562">
    <w:abstractNumId w:val="23"/>
  </w:num>
  <w:num w:numId="6" w16cid:durableId="391512796">
    <w:abstractNumId w:val="0"/>
  </w:num>
  <w:num w:numId="7" w16cid:durableId="606546315">
    <w:abstractNumId w:val="22"/>
  </w:num>
  <w:num w:numId="8" w16cid:durableId="2045716887">
    <w:abstractNumId w:val="4"/>
  </w:num>
  <w:num w:numId="9" w16cid:durableId="2001732613">
    <w:abstractNumId w:val="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7974077">
    <w:abstractNumId w:val="11"/>
  </w:num>
  <w:num w:numId="11" w16cid:durableId="1756512451">
    <w:abstractNumId w:val="24"/>
  </w:num>
  <w:num w:numId="12" w16cid:durableId="762804844">
    <w:abstractNumId w:val="2"/>
  </w:num>
  <w:num w:numId="13" w16cid:durableId="99959299">
    <w:abstractNumId w:val="20"/>
  </w:num>
  <w:num w:numId="14" w16cid:durableId="1031030105">
    <w:abstractNumId w:val="20"/>
  </w:num>
  <w:num w:numId="15" w16cid:durableId="664170239">
    <w:abstractNumId w:val="20"/>
  </w:num>
  <w:num w:numId="16" w16cid:durableId="1303462437">
    <w:abstractNumId w:val="20"/>
  </w:num>
  <w:num w:numId="17" w16cid:durableId="1138108581">
    <w:abstractNumId w:val="20"/>
  </w:num>
  <w:num w:numId="18" w16cid:durableId="2130926816">
    <w:abstractNumId w:val="20"/>
  </w:num>
  <w:num w:numId="19" w16cid:durableId="1328896976">
    <w:abstractNumId w:val="19"/>
  </w:num>
  <w:num w:numId="20" w16cid:durableId="1039670507">
    <w:abstractNumId w:val="19"/>
  </w:num>
  <w:num w:numId="21" w16cid:durableId="1330211629">
    <w:abstractNumId w:val="19"/>
  </w:num>
  <w:num w:numId="22" w16cid:durableId="1304507822">
    <w:abstractNumId w:val="19"/>
  </w:num>
  <w:num w:numId="23" w16cid:durableId="1611012058">
    <w:abstractNumId w:val="19"/>
  </w:num>
  <w:num w:numId="24" w16cid:durableId="1321151036">
    <w:abstractNumId w:val="19"/>
  </w:num>
  <w:num w:numId="25" w16cid:durableId="316886571">
    <w:abstractNumId w:val="19"/>
  </w:num>
  <w:num w:numId="26" w16cid:durableId="1053625863">
    <w:abstractNumId w:val="20"/>
  </w:num>
  <w:num w:numId="27" w16cid:durableId="2095273345">
    <w:abstractNumId w:val="19"/>
  </w:num>
  <w:num w:numId="28" w16cid:durableId="1749305536">
    <w:abstractNumId w:val="20"/>
  </w:num>
  <w:num w:numId="29" w16cid:durableId="1890875764">
    <w:abstractNumId w:val="21"/>
  </w:num>
  <w:num w:numId="30" w16cid:durableId="516819684">
    <w:abstractNumId w:val="16"/>
  </w:num>
  <w:num w:numId="31" w16cid:durableId="1114208695">
    <w:abstractNumId w:val="13"/>
  </w:num>
  <w:num w:numId="32" w16cid:durableId="211894209">
    <w:abstractNumId w:val="5"/>
  </w:num>
  <w:num w:numId="33" w16cid:durableId="2115009475">
    <w:abstractNumId w:val="10"/>
  </w:num>
  <w:num w:numId="34" w16cid:durableId="1970699819">
    <w:abstractNumId w:val="1"/>
  </w:num>
  <w:num w:numId="35" w16cid:durableId="1016881531">
    <w:abstractNumId w:val="18"/>
  </w:num>
  <w:num w:numId="36" w16cid:durableId="1278633928">
    <w:abstractNumId w:val="7"/>
  </w:num>
  <w:num w:numId="37" w16cid:durableId="1613904989">
    <w:abstractNumId w:val="14"/>
  </w:num>
  <w:num w:numId="38" w16cid:durableId="731654836">
    <w:abstractNumId w:val="8"/>
  </w:num>
  <w:num w:numId="39" w16cid:durableId="697901022">
    <w:abstractNumId w:val="17"/>
  </w:num>
  <w:num w:numId="40" w16cid:durableId="1057558622">
    <w:abstractNumId w:val="9"/>
  </w:num>
  <w:num w:numId="41" w16cid:durableId="492530905">
    <w:abstractNumId w:val="6"/>
  </w:num>
  <w:num w:numId="42" w16cid:durableId="1514567007">
    <w:abstractNumId w:val="12"/>
  </w:num>
  <w:num w:numId="43" w16cid:durableId="142175553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D2"/>
    <w:rsid w:val="00000D2E"/>
    <w:rsid w:val="00002104"/>
    <w:rsid w:val="00002701"/>
    <w:rsid w:val="00002E2C"/>
    <w:rsid w:val="00002F03"/>
    <w:rsid w:val="00002FD3"/>
    <w:rsid w:val="000032C9"/>
    <w:rsid w:val="00004C16"/>
    <w:rsid w:val="0000635A"/>
    <w:rsid w:val="00006DAF"/>
    <w:rsid w:val="00007362"/>
    <w:rsid w:val="000074E3"/>
    <w:rsid w:val="00007A7B"/>
    <w:rsid w:val="00007B7C"/>
    <w:rsid w:val="00007D18"/>
    <w:rsid w:val="00007D20"/>
    <w:rsid w:val="00011177"/>
    <w:rsid w:val="00011BFD"/>
    <w:rsid w:val="00012BC6"/>
    <w:rsid w:val="00012DDA"/>
    <w:rsid w:val="00014814"/>
    <w:rsid w:val="00014925"/>
    <w:rsid w:val="00014C36"/>
    <w:rsid w:val="00017EA2"/>
    <w:rsid w:val="00020552"/>
    <w:rsid w:val="000217B1"/>
    <w:rsid w:val="00021832"/>
    <w:rsid w:val="00021957"/>
    <w:rsid w:val="00021DCA"/>
    <w:rsid w:val="00022774"/>
    <w:rsid w:val="000229EA"/>
    <w:rsid w:val="00022D9C"/>
    <w:rsid w:val="00023CE4"/>
    <w:rsid w:val="00023CE8"/>
    <w:rsid w:val="00023F45"/>
    <w:rsid w:val="00024475"/>
    <w:rsid w:val="00024522"/>
    <w:rsid w:val="00024B2E"/>
    <w:rsid w:val="00025A79"/>
    <w:rsid w:val="00027DCA"/>
    <w:rsid w:val="00027F4F"/>
    <w:rsid w:val="00030430"/>
    <w:rsid w:val="0003078E"/>
    <w:rsid w:val="000310E4"/>
    <w:rsid w:val="00031B89"/>
    <w:rsid w:val="00034478"/>
    <w:rsid w:val="0003693D"/>
    <w:rsid w:val="00037CE5"/>
    <w:rsid w:val="00037EE2"/>
    <w:rsid w:val="00037F4C"/>
    <w:rsid w:val="000401C6"/>
    <w:rsid w:val="00041961"/>
    <w:rsid w:val="00043B55"/>
    <w:rsid w:val="000440CD"/>
    <w:rsid w:val="0004440F"/>
    <w:rsid w:val="000447AC"/>
    <w:rsid w:val="00046218"/>
    <w:rsid w:val="00046936"/>
    <w:rsid w:val="00047146"/>
    <w:rsid w:val="00047292"/>
    <w:rsid w:val="0004792F"/>
    <w:rsid w:val="00047BF4"/>
    <w:rsid w:val="00050591"/>
    <w:rsid w:val="00050970"/>
    <w:rsid w:val="00050F78"/>
    <w:rsid w:val="000517A3"/>
    <w:rsid w:val="000519BB"/>
    <w:rsid w:val="000529A3"/>
    <w:rsid w:val="00052C80"/>
    <w:rsid w:val="00052C8A"/>
    <w:rsid w:val="000548C8"/>
    <w:rsid w:val="00054AC5"/>
    <w:rsid w:val="000552F2"/>
    <w:rsid w:val="00055898"/>
    <w:rsid w:val="000562E6"/>
    <w:rsid w:val="0005659D"/>
    <w:rsid w:val="000568B8"/>
    <w:rsid w:val="000569F9"/>
    <w:rsid w:val="00057039"/>
    <w:rsid w:val="00057EFC"/>
    <w:rsid w:val="00061A14"/>
    <w:rsid w:val="00062B12"/>
    <w:rsid w:val="0006392B"/>
    <w:rsid w:val="0006417A"/>
    <w:rsid w:val="000644D7"/>
    <w:rsid w:val="00064956"/>
    <w:rsid w:val="00064E86"/>
    <w:rsid w:val="00064EBA"/>
    <w:rsid w:val="00064EFA"/>
    <w:rsid w:val="000658FC"/>
    <w:rsid w:val="0006614A"/>
    <w:rsid w:val="00066703"/>
    <w:rsid w:val="000677A1"/>
    <w:rsid w:val="00067CC3"/>
    <w:rsid w:val="000702EB"/>
    <w:rsid w:val="000714D8"/>
    <w:rsid w:val="000722C7"/>
    <w:rsid w:val="0007257E"/>
    <w:rsid w:val="00072D66"/>
    <w:rsid w:val="000732B5"/>
    <w:rsid w:val="0007440C"/>
    <w:rsid w:val="00074D02"/>
    <w:rsid w:val="00074E2D"/>
    <w:rsid w:val="000750E0"/>
    <w:rsid w:val="00075605"/>
    <w:rsid w:val="00075C66"/>
    <w:rsid w:val="0007603A"/>
    <w:rsid w:val="0007605A"/>
    <w:rsid w:val="000760AD"/>
    <w:rsid w:val="000779CE"/>
    <w:rsid w:val="000808A5"/>
    <w:rsid w:val="00081114"/>
    <w:rsid w:val="000821B7"/>
    <w:rsid w:val="00082879"/>
    <w:rsid w:val="00082EE7"/>
    <w:rsid w:val="00083BB0"/>
    <w:rsid w:val="000847C2"/>
    <w:rsid w:val="00084B00"/>
    <w:rsid w:val="00084D1E"/>
    <w:rsid w:val="0008542F"/>
    <w:rsid w:val="00086045"/>
    <w:rsid w:val="00086223"/>
    <w:rsid w:val="0008673F"/>
    <w:rsid w:val="00087FD3"/>
    <w:rsid w:val="00090B54"/>
    <w:rsid w:val="00090C1B"/>
    <w:rsid w:val="000913B1"/>
    <w:rsid w:val="00091B99"/>
    <w:rsid w:val="00091EEA"/>
    <w:rsid w:val="00091FE6"/>
    <w:rsid w:val="000928F1"/>
    <w:rsid w:val="00092E50"/>
    <w:rsid w:val="00093094"/>
    <w:rsid w:val="00093AFE"/>
    <w:rsid w:val="00094045"/>
    <w:rsid w:val="000940A2"/>
    <w:rsid w:val="000950B3"/>
    <w:rsid w:val="0009519C"/>
    <w:rsid w:val="00095703"/>
    <w:rsid w:val="000963C7"/>
    <w:rsid w:val="000A00B6"/>
    <w:rsid w:val="000A0171"/>
    <w:rsid w:val="000A0283"/>
    <w:rsid w:val="000A0339"/>
    <w:rsid w:val="000A03B3"/>
    <w:rsid w:val="000A03B6"/>
    <w:rsid w:val="000A0B75"/>
    <w:rsid w:val="000A13CF"/>
    <w:rsid w:val="000A170B"/>
    <w:rsid w:val="000A1AAF"/>
    <w:rsid w:val="000A23FB"/>
    <w:rsid w:val="000A2650"/>
    <w:rsid w:val="000A27B9"/>
    <w:rsid w:val="000A2AFC"/>
    <w:rsid w:val="000A2B4E"/>
    <w:rsid w:val="000A3290"/>
    <w:rsid w:val="000A3317"/>
    <w:rsid w:val="000A33F2"/>
    <w:rsid w:val="000A3731"/>
    <w:rsid w:val="000A3CFA"/>
    <w:rsid w:val="000A51C3"/>
    <w:rsid w:val="000A634C"/>
    <w:rsid w:val="000A65FB"/>
    <w:rsid w:val="000A6713"/>
    <w:rsid w:val="000A6F64"/>
    <w:rsid w:val="000A75BC"/>
    <w:rsid w:val="000B107E"/>
    <w:rsid w:val="000B27D0"/>
    <w:rsid w:val="000B2BCD"/>
    <w:rsid w:val="000B3A98"/>
    <w:rsid w:val="000B40A7"/>
    <w:rsid w:val="000B4939"/>
    <w:rsid w:val="000B5459"/>
    <w:rsid w:val="000B555E"/>
    <w:rsid w:val="000B5E33"/>
    <w:rsid w:val="000B5FB3"/>
    <w:rsid w:val="000B60B3"/>
    <w:rsid w:val="000B6C5E"/>
    <w:rsid w:val="000B7E36"/>
    <w:rsid w:val="000C04A0"/>
    <w:rsid w:val="000C080D"/>
    <w:rsid w:val="000C0F20"/>
    <w:rsid w:val="000C23E6"/>
    <w:rsid w:val="000C263E"/>
    <w:rsid w:val="000C2DDC"/>
    <w:rsid w:val="000C3792"/>
    <w:rsid w:val="000C425F"/>
    <w:rsid w:val="000C4B4C"/>
    <w:rsid w:val="000C4E1A"/>
    <w:rsid w:val="000C5081"/>
    <w:rsid w:val="000C575C"/>
    <w:rsid w:val="000C5EAB"/>
    <w:rsid w:val="000C5FEC"/>
    <w:rsid w:val="000C7366"/>
    <w:rsid w:val="000C7CCE"/>
    <w:rsid w:val="000C7FC8"/>
    <w:rsid w:val="000D0240"/>
    <w:rsid w:val="000D0DC6"/>
    <w:rsid w:val="000D106F"/>
    <w:rsid w:val="000D10C6"/>
    <w:rsid w:val="000D158F"/>
    <w:rsid w:val="000D18B5"/>
    <w:rsid w:val="000D1AA5"/>
    <w:rsid w:val="000D1F96"/>
    <w:rsid w:val="000D22A7"/>
    <w:rsid w:val="000D254D"/>
    <w:rsid w:val="000D2FD4"/>
    <w:rsid w:val="000D4772"/>
    <w:rsid w:val="000D49F1"/>
    <w:rsid w:val="000D589D"/>
    <w:rsid w:val="000D6BB3"/>
    <w:rsid w:val="000D7AA7"/>
    <w:rsid w:val="000D7D87"/>
    <w:rsid w:val="000E0015"/>
    <w:rsid w:val="000E0920"/>
    <w:rsid w:val="000E0ED3"/>
    <w:rsid w:val="000E2664"/>
    <w:rsid w:val="000E4837"/>
    <w:rsid w:val="000E51B2"/>
    <w:rsid w:val="000E6B7B"/>
    <w:rsid w:val="000E7072"/>
    <w:rsid w:val="000E733A"/>
    <w:rsid w:val="000E7B10"/>
    <w:rsid w:val="000E7DDA"/>
    <w:rsid w:val="000F03DF"/>
    <w:rsid w:val="000F0796"/>
    <w:rsid w:val="000F1A01"/>
    <w:rsid w:val="000F1B7B"/>
    <w:rsid w:val="000F2B72"/>
    <w:rsid w:val="000F2ED4"/>
    <w:rsid w:val="000F31A4"/>
    <w:rsid w:val="000F3932"/>
    <w:rsid w:val="000F3AF9"/>
    <w:rsid w:val="000F49C1"/>
    <w:rsid w:val="000F55D3"/>
    <w:rsid w:val="000F6AC9"/>
    <w:rsid w:val="000F6B44"/>
    <w:rsid w:val="00100BB2"/>
    <w:rsid w:val="00101403"/>
    <w:rsid w:val="00101EDC"/>
    <w:rsid w:val="00102664"/>
    <w:rsid w:val="001028E8"/>
    <w:rsid w:val="00102C09"/>
    <w:rsid w:val="00102C1F"/>
    <w:rsid w:val="00103399"/>
    <w:rsid w:val="00104929"/>
    <w:rsid w:val="00104E47"/>
    <w:rsid w:val="00104F8B"/>
    <w:rsid w:val="00105972"/>
    <w:rsid w:val="001065E4"/>
    <w:rsid w:val="00106F37"/>
    <w:rsid w:val="00107028"/>
    <w:rsid w:val="00111157"/>
    <w:rsid w:val="00111EF2"/>
    <w:rsid w:val="00113A57"/>
    <w:rsid w:val="001140D2"/>
    <w:rsid w:val="00114FE1"/>
    <w:rsid w:val="00115064"/>
    <w:rsid w:val="00116107"/>
    <w:rsid w:val="0011692B"/>
    <w:rsid w:val="00116A8C"/>
    <w:rsid w:val="00116E5C"/>
    <w:rsid w:val="00116F50"/>
    <w:rsid w:val="00122524"/>
    <w:rsid w:val="00122FCC"/>
    <w:rsid w:val="00123187"/>
    <w:rsid w:val="00124963"/>
    <w:rsid w:val="00124F5C"/>
    <w:rsid w:val="00125585"/>
    <w:rsid w:val="001258D6"/>
    <w:rsid w:val="00126752"/>
    <w:rsid w:val="001268A0"/>
    <w:rsid w:val="00126939"/>
    <w:rsid w:val="00126DB0"/>
    <w:rsid w:val="001277DC"/>
    <w:rsid w:val="001304AC"/>
    <w:rsid w:val="00130B30"/>
    <w:rsid w:val="00131DC0"/>
    <w:rsid w:val="00131E06"/>
    <w:rsid w:val="00131F59"/>
    <w:rsid w:val="001321E2"/>
    <w:rsid w:val="00132888"/>
    <w:rsid w:val="0013353C"/>
    <w:rsid w:val="00133663"/>
    <w:rsid w:val="00135012"/>
    <w:rsid w:val="00135B7F"/>
    <w:rsid w:val="00135C73"/>
    <w:rsid w:val="00135DC0"/>
    <w:rsid w:val="00136064"/>
    <w:rsid w:val="001363E0"/>
    <w:rsid w:val="00136854"/>
    <w:rsid w:val="001373D2"/>
    <w:rsid w:val="001404E7"/>
    <w:rsid w:val="00140906"/>
    <w:rsid w:val="00140E1C"/>
    <w:rsid w:val="00142857"/>
    <w:rsid w:val="0014297A"/>
    <w:rsid w:val="00142C76"/>
    <w:rsid w:val="00142F3E"/>
    <w:rsid w:val="00143540"/>
    <w:rsid w:val="001447A1"/>
    <w:rsid w:val="001447A9"/>
    <w:rsid w:val="001449A1"/>
    <w:rsid w:val="00144C0D"/>
    <w:rsid w:val="001450D4"/>
    <w:rsid w:val="001450E2"/>
    <w:rsid w:val="001451B9"/>
    <w:rsid w:val="001459E0"/>
    <w:rsid w:val="00145E50"/>
    <w:rsid w:val="00146B1E"/>
    <w:rsid w:val="00147241"/>
    <w:rsid w:val="00147829"/>
    <w:rsid w:val="00147AE4"/>
    <w:rsid w:val="00147F3F"/>
    <w:rsid w:val="0015262F"/>
    <w:rsid w:val="0015301E"/>
    <w:rsid w:val="00153288"/>
    <w:rsid w:val="001533F3"/>
    <w:rsid w:val="0015407B"/>
    <w:rsid w:val="00154731"/>
    <w:rsid w:val="00154752"/>
    <w:rsid w:val="001571E5"/>
    <w:rsid w:val="00157C9C"/>
    <w:rsid w:val="00160949"/>
    <w:rsid w:val="00161192"/>
    <w:rsid w:val="00161939"/>
    <w:rsid w:val="0016373C"/>
    <w:rsid w:val="00164389"/>
    <w:rsid w:val="0016476B"/>
    <w:rsid w:val="001649F6"/>
    <w:rsid w:val="00164A7F"/>
    <w:rsid w:val="00165BEA"/>
    <w:rsid w:val="00166C05"/>
    <w:rsid w:val="00166D8D"/>
    <w:rsid w:val="0017017B"/>
    <w:rsid w:val="001701FF"/>
    <w:rsid w:val="00170B83"/>
    <w:rsid w:val="00170E05"/>
    <w:rsid w:val="001730CB"/>
    <w:rsid w:val="00173419"/>
    <w:rsid w:val="00173BDE"/>
    <w:rsid w:val="00173BDF"/>
    <w:rsid w:val="00173C28"/>
    <w:rsid w:val="001740F3"/>
    <w:rsid w:val="001747AF"/>
    <w:rsid w:val="0017579D"/>
    <w:rsid w:val="00175BDA"/>
    <w:rsid w:val="0017635B"/>
    <w:rsid w:val="001763BC"/>
    <w:rsid w:val="001769EB"/>
    <w:rsid w:val="001772CA"/>
    <w:rsid w:val="001774E5"/>
    <w:rsid w:val="00177632"/>
    <w:rsid w:val="00177666"/>
    <w:rsid w:val="00177FCC"/>
    <w:rsid w:val="0018196B"/>
    <w:rsid w:val="00181D48"/>
    <w:rsid w:val="00182338"/>
    <w:rsid w:val="0018285B"/>
    <w:rsid w:val="00182D9E"/>
    <w:rsid w:val="00183A23"/>
    <w:rsid w:val="00183E41"/>
    <w:rsid w:val="00184877"/>
    <w:rsid w:val="001849CA"/>
    <w:rsid w:val="00184C88"/>
    <w:rsid w:val="00184E35"/>
    <w:rsid w:val="00185410"/>
    <w:rsid w:val="001863B3"/>
    <w:rsid w:val="0018671E"/>
    <w:rsid w:val="00186BDC"/>
    <w:rsid w:val="00186E40"/>
    <w:rsid w:val="00187B6F"/>
    <w:rsid w:val="001908F7"/>
    <w:rsid w:val="00190B44"/>
    <w:rsid w:val="00191F08"/>
    <w:rsid w:val="0019222F"/>
    <w:rsid w:val="00192352"/>
    <w:rsid w:val="00192CD4"/>
    <w:rsid w:val="001930F4"/>
    <w:rsid w:val="0019411B"/>
    <w:rsid w:val="00194C83"/>
    <w:rsid w:val="0019605F"/>
    <w:rsid w:val="00196A44"/>
    <w:rsid w:val="001A0905"/>
    <w:rsid w:val="001A0A82"/>
    <w:rsid w:val="001A0EE1"/>
    <w:rsid w:val="001A1277"/>
    <w:rsid w:val="001A149F"/>
    <w:rsid w:val="001A1F85"/>
    <w:rsid w:val="001A2506"/>
    <w:rsid w:val="001A3C5B"/>
    <w:rsid w:val="001A3D7F"/>
    <w:rsid w:val="001A499A"/>
    <w:rsid w:val="001A599F"/>
    <w:rsid w:val="001A5D1B"/>
    <w:rsid w:val="001A67F7"/>
    <w:rsid w:val="001A6B20"/>
    <w:rsid w:val="001A71F1"/>
    <w:rsid w:val="001B0305"/>
    <w:rsid w:val="001B03F0"/>
    <w:rsid w:val="001B08C3"/>
    <w:rsid w:val="001B152A"/>
    <w:rsid w:val="001B1928"/>
    <w:rsid w:val="001B1F0D"/>
    <w:rsid w:val="001B46AA"/>
    <w:rsid w:val="001B557A"/>
    <w:rsid w:val="001B5DAC"/>
    <w:rsid w:val="001B6067"/>
    <w:rsid w:val="001B655C"/>
    <w:rsid w:val="001B666A"/>
    <w:rsid w:val="001B6CC8"/>
    <w:rsid w:val="001B6FDD"/>
    <w:rsid w:val="001B7075"/>
    <w:rsid w:val="001B776B"/>
    <w:rsid w:val="001B77C4"/>
    <w:rsid w:val="001B7913"/>
    <w:rsid w:val="001B7B6C"/>
    <w:rsid w:val="001C0BBA"/>
    <w:rsid w:val="001C0DFF"/>
    <w:rsid w:val="001C1A4A"/>
    <w:rsid w:val="001C1BBD"/>
    <w:rsid w:val="001C23DF"/>
    <w:rsid w:val="001C25E9"/>
    <w:rsid w:val="001C261C"/>
    <w:rsid w:val="001C2DF0"/>
    <w:rsid w:val="001C32CB"/>
    <w:rsid w:val="001C3F88"/>
    <w:rsid w:val="001C4BB5"/>
    <w:rsid w:val="001C4D63"/>
    <w:rsid w:val="001C50AD"/>
    <w:rsid w:val="001C57D0"/>
    <w:rsid w:val="001C65FB"/>
    <w:rsid w:val="001C6B76"/>
    <w:rsid w:val="001C6F36"/>
    <w:rsid w:val="001C7A5A"/>
    <w:rsid w:val="001C7F97"/>
    <w:rsid w:val="001D0DE0"/>
    <w:rsid w:val="001D0F2D"/>
    <w:rsid w:val="001D132D"/>
    <w:rsid w:val="001D2028"/>
    <w:rsid w:val="001D2656"/>
    <w:rsid w:val="001D39B5"/>
    <w:rsid w:val="001D3AE1"/>
    <w:rsid w:val="001D3DBA"/>
    <w:rsid w:val="001D4B5D"/>
    <w:rsid w:val="001D4C28"/>
    <w:rsid w:val="001D5AFF"/>
    <w:rsid w:val="001D6432"/>
    <w:rsid w:val="001D66AC"/>
    <w:rsid w:val="001D6953"/>
    <w:rsid w:val="001D6C26"/>
    <w:rsid w:val="001D7023"/>
    <w:rsid w:val="001D71F3"/>
    <w:rsid w:val="001D74B4"/>
    <w:rsid w:val="001D7A33"/>
    <w:rsid w:val="001D7DB4"/>
    <w:rsid w:val="001E0267"/>
    <w:rsid w:val="001E03E1"/>
    <w:rsid w:val="001E0B86"/>
    <w:rsid w:val="001E1C4C"/>
    <w:rsid w:val="001E2D5F"/>
    <w:rsid w:val="001E354F"/>
    <w:rsid w:val="001E3B75"/>
    <w:rsid w:val="001E4D8C"/>
    <w:rsid w:val="001E5495"/>
    <w:rsid w:val="001E5B8B"/>
    <w:rsid w:val="001E6518"/>
    <w:rsid w:val="001E6D23"/>
    <w:rsid w:val="001E7332"/>
    <w:rsid w:val="001E7644"/>
    <w:rsid w:val="001E7943"/>
    <w:rsid w:val="001E7985"/>
    <w:rsid w:val="001F059F"/>
    <w:rsid w:val="001F0C64"/>
    <w:rsid w:val="001F16EC"/>
    <w:rsid w:val="001F26A4"/>
    <w:rsid w:val="001F305C"/>
    <w:rsid w:val="001F3380"/>
    <w:rsid w:val="001F51FB"/>
    <w:rsid w:val="001F54A7"/>
    <w:rsid w:val="001F62C8"/>
    <w:rsid w:val="001F64BB"/>
    <w:rsid w:val="001F6622"/>
    <w:rsid w:val="001F677A"/>
    <w:rsid w:val="001F68D0"/>
    <w:rsid w:val="001F6973"/>
    <w:rsid w:val="001F7462"/>
    <w:rsid w:val="00200044"/>
    <w:rsid w:val="00200695"/>
    <w:rsid w:val="002006C0"/>
    <w:rsid w:val="00200811"/>
    <w:rsid w:val="00200CA1"/>
    <w:rsid w:val="002033DE"/>
    <w:rsid w:val="0020356B"/>
    <w:rsid w:val="00203A37"/>
    <w:rsid w:val="00205287"/>
    <w:rsid w:val="00205A6C"/>
    <w:rsid w:val="00205A9E"/>
    <w:rsid w:val="00205F19"/>
    <w:rsid w:val="00207DD4"/>
    <w:rsid w:val="002103EF"/>
    <w:rsid w:val="0021156A"/>
    <w:rsid w:val="00211632"/>
    <w:rsid w:val="00211DA3"/>
    <w:rsid w:val="0021272E"/>
    <w:rsid w:val="00212A01"/>
    <w:rsid w:val="0021338D"/>
    <w:rsid w:val="002137F4"/>
    <w:rsid w:val="0021468F"/>
    <w:rsid w:val="00214780"/>
    <w:rsid w:val="00214D43"/>
    <w:rsid w:val="00215A23"/>
    <w:rsid w:val="00216128"/>
    <w:rsid w:val="00216164"/>
    <w:rsid w:val="00216533"/>
    <w:rsid w:val="00217D17"/>
    <w:rsid w:val="002211DC"/>
    <w:rsid w:val="00221B78"/>
    <w:rsid w:val="00221ED0"/>
    <w:rsid w:val="002230D9"/>
    <w:rsid w:val="00223437"/>
    <w:rsid w:val="002238B4"/>
    <w:rsid w:val="00224481"/>
    <w:rsid w:val="0022453D"/>
    <w:rsid w:val="00224BA8"/>
    <w:rsid w:val="0022595E"/>
    <w:rsid w:val="00225A11"/>
    <w:rsid w:val="00225E8A"/>
    <w:rsid w:val="002274DF"/>
    <w:rsid w:val="002311CD"/>
    <w:rsid w:val="002319AB"/>
    <w:rsid w:val="002319AC"/>
    <w:rsid w:val="00232073"/>
    <w:rsid w:val="0023262D"/>
    <w:rsid w:val="0023268D"/>
    <w:rsid w:val="00232A94"/>
    <w:rsid w:val="00232BDB"/>
    <w:rsid w:val="00233522"/>
    <w:rsid w:val="00233870"/>
    <w:rsid w:val="00233C9B"/>
    <w:rsid w:val="00234342"/>
    <w:rsid w:val="002345A3"/>
    <w:rsid w:val="00235103"/>
    <w:rsid w:val="00236D05"/>
    <w:rsid w:val="002372FA"/>
    <w:rsid w:val="00237F68"/>
    <w:rsid w:val="0024040D"/>
    <w:rsid w:val="002413CE"/>
    <w:rsid w:val="00241CA6"/>
    <w:rsid w:val="00242172"/>
    <w:rsid w:val="002432A9"/>
    <w:rsid w:val="00244268"/>
    <w:rsid w:val="002445C0"/>
    <w:rsid w:val="002446B7"/>
    <w:rsid w:val="002453A8"/>
    <w:rsid w:val="00245814"/>
    <w:rsid w:val="00245A0D"/>
    <w:rsid w:val="002460BB"/>
    <w:rsid w:val="0024673B"/>
    <w:rsid w:val="00247077"/>
    <w:rsid w:val="0024708C"/>
    <w:rsid w:val="0024726B"/>
    <w:rsid w:val="00247CA6"/>
    <w:rsid w:val="00247E28"/>
    <w:rsid w:val="00250354"/>
    <w:rsid w:val="00250727"/>
    <w:rsid w:val="00250EB7"/>
    <w:rsid w:val="00251816"/>
    <w:rsid w:val="002521D2"/>
    <w:rsid w:val="00253D51"/>
    <w:rsid w:val="00255C95"/>
    <w:rsid w:val="00255FA3"/>
    <w:rsid w:val="00256410"/>
    <w:rsid w:val="00256CEB"/>
    <w:rsid w:val="00257288"/>
    <w:rsid w:val="0025729B"/>
    <w:rsid w:val="00257DD9"/>
    <w:rsid w:val="002602C5"/>
    <w:rsid w:val="00261FB6"/>
    <w:rsid w:val="0026250A"/>
    <w:rsid w:val="002626E5"/>
    <w:rsid w:val="002629F8"/>
    <w:rsid w:val="00263396"/>
    <w:rsid w:val="00264443"/>
    <w:rsid w:val="002659FA"/>
    <w:rsid w:val="00265AEF"/>
    <w:rsid w:val="002661C6"/>
    <w:rsid w:val="0026695A"/>
    <w:rsid w:val="00267815"/>
    <w:rsid w:val="00267CB8"/>
    <w:rsid w:val="0027024D"/>
    <w:rsid w:val="00270381"/>
    <w:rsid w:val="0027148F"/>
    <w:rsid w:val="002715A2"/>
    <w:rsid w:val="0027213C"/>
    <w:rsid w:val="0027254E"/>
    <w:rsid w:val="00272E38"/>
    <w:rsid w:val="00273262"/>
    <w:rsid w:val="00274923"/>
    <w:rsid w:val="002749DC"/>
    <w:rsid w:val="00274F69"/>
    <w:rsid w:val="00275439"/>
    <w:rsid w:val="0027570C"/>
    <w:rsid w:val="00275B6D"/>
    <w:rsid w:val="00275F4B"/>
    <w:rsid w:val="002769F6"/>
    <w:rsid w:val="00276B13"/>
    <w:rsid w:val="0027765D"/>
    <w:rsid w:val="002779D7"/>
    <w:rsid w:val="0028018C"/>
    <w:rsid w:val="00280364"/>
    <w:rsid w:val="00280C73"/>
    <w:rsid w:val="00280DDF"/>
    <w:rsid w:val="002811AD"/>
    <w:rsid w:val="00281D97"/>
    <w:rsid w:val="00281F68"/>
    <w:rsid w:val="002831F2"/>
    <w:rsid w:val="00283FEB"/>
    <w:rsid w:val="00284B7B"/>
    <w:rsid w:val="00285CF8"/>
    <w:rsid w:val="00286101"/>
    <w:rsid w:val="00287B2E"/>
    <w:rsid w:val="00290E61"/>
    <w:rsid w:val="002917FF"/>
    <w:rsid w:val="00291E98"/>
    <w:rsid w:val="00292014"/>
    <w:rsid w:val="00292353"/>
    <w:rsid w:val="002928A5"/>
    <w:rsid w:val="00292ADF"/>
    <w:rsid w:val="00292E7E"/>
    <w:rsid w:val="002935D8"/>
    <w:rsid w:val="002935E7"/>
    <w:rsid w:val="002941A9"/>
    <w:rsid w:val="00294282"/>
    <w:rsid w:val="002956F5"/>
    <w:rsid w:val="00297239"/>
    <w:rsid w:val="00297333"/>
    <w:rsid w:val="002975D0"/>
    <w:rsid w:val="0029769C"/>
    <w:rsid w:val="00297855"/>
    <w:rsid w:val="00297F1D"/>
    <w:rsid w:val="002A0DEC"/>
    <w:rsid w:val="002A17E8"/>
    <w:rsid w:val="002A1DDC"/>
    <w:rsid w:val="002A1E13"/>
    <w:rsid w:val="002A2A07"/>
    <w:rsid w:val="002A4056"/>
    <w:rsid w:val="002A4132"/>
    <w:rsid w:val="002A486B"/>
    <w:rsid w:val="002A5039"/>
    <w:rsid w:val="002A58EE"/>
    <w:rsid w:val="002A5B00"/>
    <w:rsid w:val="002A5C30"/>
    <w:rsid w:val="002A6335"/>
    <w:rsid w:val="002A6890"/>
    <w:rsid w:val="002A6B2D"/>
    <w:rsid w:val="002A78C4"/>
    <w:rsid w:val="002A79E8"/>
    <w:rsid w:val="002B1555"/>
    <w:rsid w:val="002B190C"/>
    <w:rsid w:val="002B1C53"/>
    <w:rsid w:val="002B22A2"/>
    <w:rsid w:val="002B2380"/>
    <w:rsid w:val="002B273B"/>
    <w:rsid w:val="002B2751"/>
    <w:rsid w:val="002B2A1A"/>
    <w:rsid w:val="002B31E7"/>
    <w:rsid w:val="002B376C"/>
    <w:rsid w:val="002B3CD6"/>
    <w:rsid w:val="002B610F"/>
    <w:rsid w:val="002B623E"/>
    <w:rsid w:val="002B779E"/>
    <w:rsid w:val="002B7ACF"/>
    <w:rsid w:val="002B7C01"/>
    <w:rsid w:val="002C0B6D"/>
    <w:rsid w:val="002C11D7"/>
    <w:rsid w:val="002C16A7"/>
    <w:rsid w:val="002C1EC3"/>
    <w:rsid w:val="002C2076"/>
    <w:rsid w:val="002C2B1D"/>
    <w:rsid w:val="002C335C"/>
    <w:rsid w:val="002C35F8"/>
    <w:rsid w:val="002C3CCC"/>
    <w:rsid w:val="002C611F"/>
    <w:rsid w:val="002C6173"/>
    <w:rsid w:val="002C67E0"/>
    <w:rsid w:val="002C7286"/>
    <w:rsid w:val="002D133D"/>
    <w:rsid w:val="002D2C37"/>
    <w:rsid w:val="002D3930"/>
    <w:rsid w:val="002D4460"/>
    <w:rsid w:val="002D5820"/>
    <w:rsid w:val="002D6018"/>
    <w:rsid w:val="002D62D6"/>
    <w:rsid w:val="002D6562"/>
    <w:rsid w:val="002D65A2"/>
    <w:rsid w:val="002D7961"/>
    <w:rsid w:val="002E0BE4"/>
    <w:rsid w:val="002E0DDA"/>
    <w:rsid w:val="002E1EB3"/>
    <w:rsid w:val="002E3B58"/>
    <w:rsid w:val="002E3D90"/>
    <w:rsid w:val="002E3E8A"/>
    <w:rsid w:val="002E479B"/>
    <w:rsid w:val="002E55DA"/>
    <w:rsid w:val="002E6A6A"/>
    <w:rsid w:val="002E7E91"/>
    <w:rsid w:val="002F01C1"/>
    <w:rsid w:val="002F0D07"/>
    <w:rsid w:val="002F100F"/>
    <w:rsid w:val="002F12C9"/>
    <w:rsid w:val="002F1A7F"/>
    <w:rsid w:val="002F2BF6"/>
    <w:rsid w:val="002F3049"/>
    <w:rsid w:val="002F3397"/>
    <w:rsid w:val="002F3864"/>
    <w:rsid w:val="002F3A98"/>
    <w:rsid w:val="002F3C93"/>
    <w:rsid w:val="002F4124"/>
    <w:rsid w:val="002F45BF"/>
    <w:rsid w:val="002F46F4"/>
    <w:rsid w:val="002F60C6"/>
    <w:rsid w:val="002F6441"/>
    <w:rsid w:val="002F7EDF"/>
    <w:rsid w:val="003002E4"/>
    <w:rsid w:val="00300617"/>
    <w:rsid w:val="00300C82"/>
    <w:rsid w:val="00300CF0"/>
    <w:rsid w:val="00300DE0"/>
    <w:rsid w:val="00301B0F"/>
    <w:rsid w:val="0030380D"/>
    <w:rsid w:val="00303C72"/>
    <w:rsid w:val="003040C8"/>
    <w:rsid w:val="00304C98"/>
    <w:rsid w:val="00304E78"/>
    <w:rsid w:val="00305514"/>
    <w:rsid w:val="00305530"/>
    <w:rsid w:val="0030642F"/>
    <w:rsid w:val="003066EE"/>
    <w:rsid w:val="003074FF"/>
    <w:rsid w:val="0030754D"/>
    <w:rsid w:val="00310932"/>
    <w:rsid w:val="00312411"/>
    <w:rsid w:val="00312476"/>
    <w:rsid w:val="00312E6D"/>
    <w:rsid w:val="003135E9"/>
    <w:rsid w:val="003147CB"/>
    <w:rsid w:val="003161F3"/>
    <w:rsid w:val="003162E4"/>
    <w:rsid w:val="00317171"/>
    <w:rsid w:val="00317417"/>
    <w:rsid w:val="00317DE8"/>
    <w:rsid w:val="003208E8"/>
    <w:rsid w:val="00320AA8"/>
    <w:rsid w:val="00320C2C"/>
    <w:rsid w:val="003221A7"/>
    <w:rsid w:val="003223E7"/>
    <w:rsid w:val="003239EE"/>
    <w:rsid w:val="00323E71"/>
    <w:rsid w:val="0032508D"/>
    <w:rsid w:val="00326986"/>
    <w:rsid w:val="00327959"/>
    <w:rsid w:val="00327EF2"/>
    <w:rsid w:val="00330A19"/>
    <w:rsid w:val="00331554"/>
    <w:rsid w:val="00331A30"/>
    <w:rsid w:val="00331E2B"/>
    <w:rsid w:val="003327D7"/>
    <w:rsid w:val="003342A3"/>
    <w:rsid w:val="00334356"/>
    <w:rsid w:val="0033585B"/>
    <w:rsid w:val="00336460"/>
    <w:rsid w:val="00336C02"/>
    <w:rsid w:val="00337CD8"/>
    <w:rsid w:val="00337DD8"/>
    <w:rsid w:val="003407EE"/>
    <w:rsid w:val="00341297"/>
    <w:rsid w:val="00341C70"/>
    <w:rsid w:val="00341F9E"/>
    <w:rsid w:val="003422C8"/>
    <w:rsid w:val="00342FB8"/>
    <w:rsid w:val="00343475"/>
    <w:rsid w:val="00344169"/>
    <w:rsid w:val="00344DD9"/>
    <w:rsid w:val="00345F67"/>
    <w:rsid w:val="003463C9"/>
    <w:rsid w:val="0034678F"/>
    <w:rsid w:val="00346949"/>
    <w:rsid w:val="00346BC2"/>
    <w:rsid w:val="00346C8E"/>
    <w:rsid w:val="00347784"/>
    <w:rsid w:val="003478D5"/>
    <w:rsid w:val="00347BE2"/>
    <w:rsid w:val="00347CA8"/>
    <w:rsid w:val="003506B4"/>
    <w:rsid w:val="00350E01"/>
    <w:rsid w:val="003510D2"/>
    <w:rsid w:val="00352EAE"/>
    <w:rsid w:val="00352EBC"/>
    <w:rsid w:val="00353B48"/>
    <w:rsid w:val="003560B7"/>
    <w:rsid w:val="0035647D"/>
    <w:rsid w:val="00357127"/>
    <w:rsid w:val="00357454"/>
    <w:rsid w:val="00357A80"/>
    <w:rsid w:val="00361198"/>
    <w:rsid w:val="0036133C"/>
    <w:rsid w:val="00361912"/>
    <w:rsid w:val="00362580"/>
    <w:rsid w:val="003626EF"/>
    <w:rsid w:val="003637B6"/>
    <w:rsid w:val="00364C0F"/>
    <w:rsid w:val="00364C82"/>
    <w:rsid w:val="003654D4"/>
    <w:rsid w:val="00365945"/>
    <w:rsid w:val="00367B88"/>
    <w:rsid w:val="00367BD5"/>
    <w:rsid w:val="00367EEC"/>
    <w:rsid w:val="00370675"/>
    <w:rsid w:val="00370DC5"/>
    <w:rsid w:val="0037176F"/>
    <w:rsid w:val="0037264A"/>
    <w:rsid w:val="00372D46"/>
    <w:rsid w:val="00372F2B"/>
    <w:rsid w:val="00373ABD"/>
    <w:rsid w:val="00373D49"/>
    <w:rsid w:val="00374531"/>
    <w:rsid w:val="00374885"/>
    <w:rsid w:val="00374920"/>
    <w:rsid w:val="00376C61"/>
    <w:rsid w:val="00377B6E"/>
    <w:rsid w:val="0038020B"/>
    <w:rsid w:val="00380E98"/>
    <w:rsid w:val="00381605"/>
    <w:rsid w:val="00381DBE"/>
    <w:rsid w:val="00381E08"/>
    <w:rsid w:val="003827A1"/>
    <w:rsid w:val="00382DE2"/>
    <w:rsid w:val="00383D01"/>
    <w:rsid w:val="003852C8"/>
    <w:rsid w:val="003855EF"/>
    <w:rsid w:val="00385C1D"/>
    <w:rsid w:val="00386E23"/>
    <w:rsid w:val="0038761F"/>
    <w:rsid w:val="00387C03"/>
    <w:rsid w:val="00387F44"/>
    <w:rsid w:val="00390327"/>
    <w:rsid w:val="00390743"/>
    <w:rsid w:val="00391085"/>
    <w:rsid w:val="0039162D"/>
    <w:rsid w:val="003928AB"/>
    <w:rsid w:val="00393817"/>
    <w:rsid w:val="00393B78"/>
    <w:rsid w:val="00393C3F"/>
    <w:rsid w:val="00393C78"/>
    <w:rsid w:val="00393CFC"/>
    <w:rsid w:val="003947B8"/>
    <w:rsid w:val="00395801"/>
    <w:rsid w:val="00395D92"/>
    <w:rsid w:val="00396CE4"/>
    <w:rsid w:val="003970B0"/>
    <w:rsid w:val="00397E63"/>
    <w:rsid w:val="003A01E9"/>
    <w:rsid w:val="003A0B08"/>
    <w:rsid w:val="003A0ECC"/>
    <w:rsid w:val="003A23B3"/>
    <w:rsid w:val="003A290D"/>
    <w:rsid w:val="003A3215"/>
    <w:rsid w:val="003A37E5"/>
    <w:rsid w:val="003A390A"/>
    <w:rsid w:val="003A3F13"/>
    <w:rsid w:val="003A4795"/>
    <w:rsid w:val="003A4A1F"/>
    <w:rsid w:val="003A6451"/>
    <w:rsid w:val="003A66D9"/>
    <w:rsid w:val="003A6751"/>
    <w:rsid w:val="003A6BBE"/>
    <w:rsid w:val="003A786D"/>
    <w:rsid w:val="003A7D24"/>
    <w:rsid w:val="003B098E"/>
    <w:rsid w:val="003B0B51"/>
    <w:rsid w:val="003B0DD1"/>
    <w:rsid w:val="003B0F93"/>
    <w:rsid w:val="003B10B6"/>
    <w:rsid w:val="003B3479"/>
    <w:rsid w:val="003B3C72"/>
    <w:rsid w:val="003B3DC2"/>
    <w:rsid w:val="003B4858"/>
    <w:rsid w:val="003B5AA4"/>
    <w:rsid w:val="003B5CDD"/>
    <w:rsid w:val="003B606C"/>
    <w:rsid w:val="003B6B23"/>
    <w:rsid w:val="003B6D29"/>
    <w:rsid w:val="003B6F38"/>
    <w:rsid w:val="003B7E58"/>
    <w:rsid w:val="003B7F2F"/>
    <w:rsid w:val="003C004F"/>
    <w:rsid w:val="003C019B"/>
    <w:rsid w:val="003C0306"/>
    <w:rsid w:val="003C0DD8"/>
    <w:rsid w:val="003C114C"/>
    <w:rsid w:val="003C18C4"/>
    <w:rsid w:val="003C32A8"/>
    <w:rsid w:val="003C33C2"/>
    <w:rsid w:val="003C4579"/>
    <w:rsid w:val="003C465D"/>
    <w:rsid w:val="003C4C2F"/>
    <w:rsid w:val="003C4FE4"/>
    <w:rsid w:val="003C571C"/>
    <w:rsid w:val="003C573B"/>
    <w:rsid w:val="003C6323"/>
    <w:rsid w:val="003C6615"/>
    <w:rsid w:val="003C7CB1"/>
    <w:rsid w:val="003D0E43"/>
    <w:rsid w:val="003D151B"/>
    <w:rsid w:val="003D1579"/>
    <w:rsid w:val="003D1D29"/>
    <w:rsid w:val="003D33F2"/>
    <w:rsid w:val="003D48CC"/>
    <w:rsid w:val="003D495D"/>
    <w:rsid w:val="003D788C"/>
    <w:rsid w:val="003D7C80"/>
    <w:rsid w:val="003E0431"/>
    <w:rsid w:val="003E098E"/>
    <w:rsid w:val="003E1D55"/>
    <w:rsid w:val="003E24F8"/>
    <w:rsid w:val="003E2892"/>
    <w:rsid w:val="003E2E36"/>
    <w:rsid w:val="003E2F1A"/>
    <w:rsid w:val="003E2FAE"/>
    <w:rsid w:val="003E5CB2"/>
    <w:rsid w:val="003E5F0A"/>
    <w:rsid w:val="003E6CE5"/>
    <w:rsid w:val="003E740D"/>
    <w:rsid w:val="003E7E98"/>
    <w:rsid w:val="003E7EEE"/>
    <w:rsid w:val="003F06B2"/>
    <w:rsid w:val="003F06E9"/>
    <w:rsid w:val="003F0824"/>
    <w:rsid w:val="003F118B"/>
    <w:rsid w:val="003F2F30"/>
    <w:rsid w:val="003F31DE"/>
    <w:rsid w:val="003F31E3"/>
    <w:rsid w:val="003F494D"/>
    <w:rsid w:val="003F4B21"/>
    <w:rsid w:val="003F5C95"/>
    <w:rsid w:val="003F5F4E"/>
    <w:rsid w:val="003F6C4E"/>
    <w:rsid w:val="004007CF"/>
    <w:rsid w:val="00400F0B"/>
    <w:rsid w:val="004011AE"/>
    <w:rsid w:val="00401277"/>
    <w:rsid w:val="00401596"/>
    <w:rsid w:val="00402273"/>
    <w:rsid w:val="00402CD7"/>
    <w:rsid w:val="004047D6"/>
    <w:rsid w:val="00404B0C"/>
    <w:rsid w:val="00404BA3"/>
    <w:rsid w:val="00404F60"/>
    <w:rsid w:val="0040548E"/>
    <w:rsid w:val="004058BA"/>
    <w:rsid w:val="00405BD1"/>
    <w:rsid w:val="00405C54"/>
    <w:rsid w:val="00405E9C"/>
    <w:rsid w:val="00407737"/>
    <w:rsid w:val="00407B60"/>
    <w:rsid w:val="00407CF7"/>
    <w:rsid w:val="00407F6B"/>
    <w:rsid w:val="0041073F"/>
    <w:rsid w:val="00410A44"/>
    <w:rsid w:val="004120A7"/>
    <w:rsid w:val="00413B21"/>
    <w:rsid w:val="00413D4E"/>
    <w:rsid w:val="0041492D"/>
    <w:rsid w:val="00414AE5"/>
    <w:rsid w:val="00414C92"/>
    <w:rsid w:val="00415B6C"/>
    <w:rsid w:val="00415B9D"/>
    <w:rsid w:val="00415ED6"/>
    <w:rsid w:val="004174C8"/>
    <w:rsid w:val="00417CAF"/>
    <w:rsid w:val="00420377"/>
    <w:rsid w:val="00420A11"/>
    <w:rsid w:val="00420BC9"/>
    <w:rsid w:val="00420CF6"/>
    <w:rsid w:val="004214AE"/>
    <w:rsid w:val="00421F71"/>
    <w:rsid w:val="00422265"/>
    <w:rsid w:val="004227A6"/>
    <w:rsid w:val="00422838"/>
    <w:rsid w:val="00422B6B"/>
    <w:rsid w:val="0042407C"/>
    <w:rsid w:val="00424578"/>
    <w:rsid w:val="0042540D"/>
    <w:rsid w:val="004254A0"/>
    <w:rsid w:val="00425AE6"/>
    <w:rsid w:val="0042657E"/>
    <w:rsid w:val="00426DD5"/>
    <w:rsid w:val="004271E8"/>
    <w:rsid w:val="0043026F"/>
    <w:rsid w:val="00430856"/>
    <w:rsid w:val="0043098E"/>
    <w:rsid w:val="00431134"/>
    <w:rsid w:val="00431424"/>
    <w:rsid w:val="004322FE"/>
    <w:rsid w:val="0043264E"/>
    <w:rsid w:val="00434244"/>
    <w:rsid w:val="004346C8"/>
    <w:rsid w:val="00434B12"/>
    <w:rsid w:val="00434F29"/>
    <w:rsid w:val="00435218"/>
    <w:rsid w:val="00435562"/>
    <w:rsid w:val="0043659D"/>
    <w:rsid w:val="00436D1A"/>
    <w:rsid w:val="00436FE0"/>
    <w:rsid w:val="00437219"/>
    <w:rsid w:val="00437292"/>
    <w:rsid w:val="004373A7"/>
    <w:rsid w:val="00437D94"/>
    <w:rsid w:val="00437E21"/>
    <w:rsid w:val="00440302"/>
    <w:rsid w:val="0044030C"/>
    <w:rsid w:val="00441367"/>
    <w:rsid w:val="0044166F"/>
    <w:rsid w:val="00441A68"/>
    <w:rsid w:val="00441D6F"/>
    <w:rsid w:val="00441FEE"/>
    <w:rsid w:val="00444095"/>
    <w:rsid w:val="0044450A"/>
    <w:rsid w:val="00445113"/>
    <w:rsid w:val="004451CD"/>
    <w:rsid w:val="004464DF"/>
    <w:rsid w:val="00447EEC"/>
    <w:rsid w:val="00450938"/>
    <w:rsid w:val="00450CE1"/>
    <w:rsid w:val="00452153"/>
    <w:rsid w:val="00452896"/>
    <w:rsid w:val="00453171"/>
    <w:rsid w:val="0045454F"/>
    <w:rsid w:val="004557C7"/>
    <w:rsid w:val="00455C05"/>
    <w:rsid w:val="00457ACD"/>
    <w:rsid w:val="00460454"/>
    <w:rsid w:val="004606E9"/>
    <w:rsid w:val="004609CA"/>
    <w:rsid w:val="00460FB4"/>
    <w:rsid w:val="00461B03"/>
    <w:rsid w:val="00462123"/>
    <w:rsid w:val="0046319C"/>
    <w:rsid w:val="004635EA"/>
    <w:rsid w:val="004638C7"/>
    <w:rsid w:val="00463AFF"/>
    <w:rsid w:val="0046480B"/>
    <w:rsid w:val="004648A4"/>
    <w:rsid w:val="00465BE0"/>
    <w:rsid w:val="00466484"/>
    <w:rsid w:val="00466E62"/>
    <w:rsid w:val="004671A0"/>
    <w:rsid w:val="00471380"/>
    <w:rsid w:val="004713B9"/>
    <w:rsid w:val="00471774"/>
    <w:rsid w:val="0047342E"/>
    <w:rsid w:val="00474382"/>
    <w:rsid w:val="00474899"/>
    <w:rsid w:val="00474B02"/>
    <w:rsid w:val="00475694"/>
    <w:rsid w:val="00475F3B"/>
    <w:rsid w:val="00476800"/>
    <w:rsid w:val="00477A69"/>
    <w:rsid w:val="00477B89"/>
    <w:rsid w:val="00477E55"/>
    <w:rsid w:val="004801F8"/>
    <w:rsid w:val="004802EB"/>
    <w:rsid w:val="004820D8"/>
    <w:rsid w:val="0048221F"/>
    <w:rsid w:val="00483815"/>
    <w:rsid w:val="004842EC"/>
    <w:rsid w:val="004856EC"/>
    <w:rsid w:val="00486F0E"/>
    <w:rsid w:val="00487784"/>
    <w:rsid w:val="00487C1E"/>
    <w:rsid w:val="00487D46"/>
    <w:rsid w:val="00491005"/>
    <w:rsid w:val="00492491"/>
    <w:rsid w:val="004940F8"/>
    <w:rsid w:val="004948D2"/>
    <w:rsid w:val="00494991"/>
    <w:rsid w:val="00494F0D"/>
    <w:rsid w:val="00496BFD"/>
    <w:rsid w:val="00496EDA"/>
    <w:rsid w:val="004970D6"/>
    <w:rsid w:val="004972B6"/>
    <w:rsid w:val="00497519"/>
    <w:rsid w:val="0049758C"/>
    <w:rsid w:val="00497811"/>
    <w:rsid w:val="0049791B"/>
    <w:rsid w:val="004A0563"/>
    <w:rsid w:val="004A06FB"/>
    <w:rsid w:val="004A0779"/>
    <w:rsid w:val="004A0DBA"/>
    <w:rsid w:val="004A23CE"/>
    <w:rsid w:val="004A308A"/>
    <w:rsid w:val="004A3DF2"/>
    <w:rsid w:val="004A4BAC"/>
    <w:rsid w:val="004A55CC"/>
    <w:rsid w:val="004A59BA"/>
    <w:rsid w:val="004A5DBE"/>
    <w:rsid w:val="004A63D1"/>
    <w:rsid w:val="004A67C4"/>
    <w:rsid w:val="004A7A44"/>
    <w:rsid w:val="004B0777"/>
    <w:rsid w:val="004B10FB"/>
    <w:rsid w:val="004B1136"/>
    <w:rsid w:val="004B1321"/>
    <w:rsid w:val="004B15AC"/>
    <w:rsid w:val="004B2936"/>
    <w:rsid w:val="004B3435"/>
    <w:rsid w:val="004B3539"/>
    <w:rsid w:val="004B3572"/>
    <w:rsid w:val="004B6061"/>
    <w:rsid w:val="004B60BC"/>
    <w:rsid w:val="004B6A47"/>
    <w:rsid w:val="004B7582"/>
    <w:rsid w:val="004B7AB4"/>
    <w:rsid w:val="004B7BD1"/>
    <w:rsid w:val="004B7CAB"/>
    <w:rsid w:val="004C1816"/>
    <w:rsid w:val="004C189F"/>
    <w:rsid w:val="004C3010"/>
    <w:rsid w:val="004C31EA"/>
    <w:rsid w:val="004C361D"/>
    <w:rsid w:val="004C3A95"/>
    <w:rsid w:val="004C3CE8"/>
    <w:rsid w:val="004C3D4C"/>
    <w:rsid w:val="004C3FAF"/>
    <w:rsid w:val="004C457B"/>
    <w:rsid w:val="004C4891"/>
    <w:rsid w:val="004C615E"/>
    <w:rsid w:val="004C65C6"/>
    <w:rsid w:val="004C6F55"/>
    <w:rsid w:val="004C7299"/>
    <w:rsid w:val="004C7E92"/>
    <w:rsid w:val="004C7EE1"/>
    <w:rsid w:val="004D13FD"/>
    <w:rsid w:val="004D1442"/>
    <w:rsid w:val="004D2404"/>
    <w:rsid w:val="004D290A"/>
    <w:rsid w:val="004D2C89"/>
    <w:rsid w:val="004D3295"/>
    <w:rsid w:val="004D340E"/>
    <w:rsid w:val="004D448E"/>
    <w:rsid w:val="004D5773"/>
    <w:rsid w:val="004D594A"/>
    <w:rsid w:val="004D6215"/>
    <w:rsid w:val="004D76D4"/>
    <w:rsid w:val="004E014A"/>
    <w:rsid w:val="004E04FE"/>
    <w:rsid w:val="004E06E0"/>
    <w:rsid w:val="004E1754"/>
    <w:rsid w:val="004E181B"/>
    <w:rsid w:val="004E221B"/>
    <w:rsid w:val="004E2AFC"/>
    <w:rsid w:val="004E2F16"/>
    <w:rsid w:val="004E33C1"/>
    <w:rsid w:val="004E3932"/>
    <w:rsid w:val="004E4DE1"/>
    <w:rsid w:val="004E5704"/>
    <w:rsid w:val="004E66C8"/>
    <w:rsid w:val="004E6C5B"/>
    <w:rsid w:val="004E6F8C"/>
    <w:rsid w:val="004E6FC2"/>
    <w:rsid w:val="004F0D95"/>
    <w:rsid w:val="004F1A33"/>
    <w:rsid w:val="004F1B74"/>
    <w:rsid w:val="004F1E79"/>
    <w:rsid w:val="004F22A0"/>
    <w:rsid w:val="004F495E"/>
    <w:rsid w:val="004F4A19"/>
    <w:rsid w:val="004F4A6E"/>
    <w:rsid w:val="004F53D7"/>
    <w:rsid w:val="004F568F"/>
    <w:rsid w:val="004F5F33"/>
    <w:rsid w:val="004F5FCE"/>
    <w:rsid w:val="004F66EA"/>
    <w:rsid w:val="0050103A"/>
    <w:rsid w:val="00501BE9"/>
    <w:rsid w:val="005020FB"/>
    <w:rsid w:val="00502264"/>
    <w:rsid w:val="00502E24"/>
    <w:rsid w:val="00503ADB"/>
    <w:rsid w:val="00503E56"/>
    <w:rsid w:val="005040CB"/>
    <w:rsid w:val="00504CBF"/>
    <w:rsid w:val="00504CDA"/>
    <w:rsid w:val="00504F82"/>
    <w:rsid w:val="005050E2"/>
    <w:rsid w:val="005057CB"/>
    <w:rsid w:val="0050599C"/>
    <w:rsid w:val="00506200"/>
    <w:rsid w:val="00506817"/>
    <w:rsid w:val="005105D9"/>
    <w:rsid w:val="00510A58"/>
    <w:rsid w:val="00510A86"/>
    <w:rsid w:val="00511224"/>
    <w:rsid w:val="00511B0F"/>
    <w:rsid w:val="0051261D"/>
    <w:rsid w:val="0051287A"/>
    <w:rsid w:val="00514066"/>
    <w:rsid w:val="0051410B"/>
    <w:rsid w:val="00514DE7"/>
    <w:rsid w:val="005154F6"/>
    <w:rsid w:val="00516E29"/>
    <w:rsid w:val="0052095A"/>
    <w:rsid w:val="00522CB2"/>
    <w:rsid w:val="00522F9E"/>
    <w:rsid w:val="00523499"/>
    <w:rsid w:val="00523B26"/>
    <w:rsid w:val="00524D72"/>
    <w:rsid w:val="005264E8"/>
    <w:rsid w:val="00526CD8"/>
    <w:rsid w:val="00527061"/>
    <w:rsid w:val="0053060A"/>
    <w:rsid w:val="0053116B"/>
    <w:rsid w:val="00531445"/>
    <w:rsid w:val="00531C70"/>
    <w:rsid w:val="00532279"/>
    <w:rsid w:val="005323E3"/>
    <w:rsid w:val="00533225"/>
    <w:rsid w:val="00533302"/>
    <w:rsid w:val="00533F10"/>
    <w:rsid w:val="00536721"/>
    <w:rsid w:val="00537DFE"/>
    <w:rsid w:val="00537FE1"/>
    <w:rsid w:val="00540BF3"/>
    <w:rsid w:val="00540EAE"/>
    <w:rsid w:val="005414AC"/>
    <w:rsid w:val="00541F7A"/>
    <w:rsid w:val="0054432C"/>
    <w:rsid w:val="00544C34"/>
    <w:rsid w:val="00545E37"/>
    <w:rsid w:val="005504C2"/>
    <w:rsid w:val="005508CE"/>
    <w:rsid w:val="0055117A"/>
    <w:rsid w:val="0055125E"/>
    <w:rsid w:val="00551532"/>
    <w:rsid w:val="005515B2"/>
    <w:rsid w:val="00552D98"/>
    <w:rsid w:val="0055388E"/>
    <w:rsid w:val="00555448"/>
    <w:rsid w:val="00556DD7"/>
    <w:rsid w:val="00557562"/>
    <w:rsid w:val="00557845"/>
    <w:rsid w:val="00561F34"/>
    <w:rsid w:val="00562643"/>
    <w:rsid w:val="00562D1E"/>
    <w:rsid w:val="00562DB7"/>
    <w:rsid w:val="0056496D"/>
    <w:rsid w:val="00564C5F"/>
    <w:rsid w:val="00566697"/>
    <w:rsid w:val="005702FE"/>
    <w:rsid w:val="00571576"/>
    <w:rsid w:val="0057299F"/>
    <w:rsid w:val="00573453"/>
    <w:rsid w:val="00573E30"/>
    <w:rsid w:val="00574FC0"/>
    <w:rsid w:val="0057519D"/>
    <w:rsid w:val="005754AE"/>
    <w:rsid w:val="005763D7"/>
    <w:rsid w:val="0057682D"/>
    <w:rsid w:val="00576E03"/>
    <w:rsid w:val="005771FA"/>
    <w:rsid w:val="0057754F"/>
    <w:rsid w:val="00577C30"/>
    <w:rsid w:val="00577FB5"/>
    <w:rsid w:val="00581231"/>
    <w:rsid w:val="00581629"/>
    <w:rsid w:val="00583902"/>
    <w:rsid w:val="00583951"/>
    <w:rsid w:val="00584121"/>
    <w:rsid w:val="00584704"/>
    <w:rsid w:val="00584A91"/>
    <w:rsid w:val="00584BEF"/>
    <w:rsid w:val="00584E5C"/>
    <w:rsid w:val="005852D1"/>
    <w:rsid w:val="00587348"/>
    <w:rsid w:val="00587A22"/>
    <w:rsid w:val="00587B49"/>
    <w:rsid w:val="00587C84"/>
    <w:rsid w:val="00587C91"/>
    <w:rsid w:val="00587E35"/>
    <w:rsid w:val="005908DD"/>
    <w:rsid w:val="00590AC6"/>
    <w:rsid w:val="00590DCC"/>
    <w:rsid w:val="00590F33"/>
    <w:rsid w:val="00591D77"/>
    <w:rsid w:val="00591E04"/>
    <w:rsid w:val="0059299D"/>
    <w:rsid w:val="005940FE"/>
    <w:rsid w:val="005949F9"/>
    <w:rsid w:val="0059517A"/>
    <w:rsid w:val="0059585D"/>
    <w:rsid w:val="00595A30"/>
    <w:rsid w:val="00595C8C"/>
    <w:rsid w:val="00596902"/>
    <w:rsid w:val="00597747"/>
    <w:rsid w:val="00597811"/>
    <w:rsid w:val="005A054B"/>
    <w:rsid w:val="005A05FA"/>
    <w:rsid w:val="005A0642"/>
    <w:rsid w:val="005A0CDA"/>
    <w:rsid w:val="005A1920"/>
    <w:rsid w:val="005A212E"/>
    <w:rsid w:val="005A4CDD"/>
    <w:rsid w:val="005A6C9B"/>
    <w:rsid w:val="005B06B7"/>
    <w:rsid w:val="005B1010"/>
    <w:rsid w:val="005B1183"/>
    <w:rsid w:val="005B20B5"/>
    <w:rsid w:val="005B302F"/>
    <w:rsid w:val="005B33A5"/>
    <w:rsid w:val="005B3551"/>
    <w:rsid w:val="005B37E4"/>
    <w:rsid w:val="005B3853"/>
    <w:rsid w:val="005B4219"/>
    <w:rsid w:val="005B4F60"/>
    <w:rsid w:val="005B52FE"/>
    <w:rsid w:val="005B57E4"/>
    <w:rsid w:val="005B5ABD"/>
    <w:rsid w:val="005B5CBB"/>
    <w:rsid w:val="005B5DD1"/>
    <w:rsid w:val="005B5E75"/>
    <w:rsid w:val="005B5EED"/>
    <w:rsid w:val="005B6D66"/>
    <w:rsid w:val="005B7798"/>
    <w:rsid w:val="005B7D60"/>
    <w:rsid w:val="005B7FC8"/>
    <w:rsid w:val="005C08AE"/>
    <w:rsid w:val="005C0A72"/>
    <w:rsid w:val="005C1390"/>
    <w:rsid w:val="005C140A"/>
    <w:rsid w:val="005C2011"/>
    <w:rsid w:val="005C2527"/>
    <w:rsid w:val="005C2B42"/>
    <w:rsid w:val="005C30C4"/>
    <w:rsid w:val="005C3122"/>
    <w:rsid w:val="005C34BE"/>
    <w:rsid w:val="005C4AC6"/>
    <w:rsid w:val="005C51F3"/>
    <w:rsid w:val="005C569A"/>
    <w:rsid w:val="005C6763"/>
    <w:rsid w:val="005C7284"/>
    <w:rsid w:val="005C7580"/>
    <w:rsid w:val="005C7A8C"/>
    <w:rsid w:val="005D1B31"/>
    <w:rsid w:val="005D3164"/>
    <w:rsid w:val="005D350F"/>
    <w:rsid w:val="005D49B0"/>
    <w:rsid w:val="005D4FB8"/>
    <w:rsid w:val="005D65ED"/>
    <w:rsid w:val="005D787E"/>
    <w:rsid w:val="005D7ECE"/>
    <w:rsid w:val="005E0344"/>
    <w:rsid w:val="005E17B4"/>
    <w:rsid w:val="005E211F"/>
    <w:rsid w:val="005E26A5"/>
    <w:rsid w:val="005E2A17"/>
    <w:rsid w:val="005E3470"/>
    <w:rsid w:val="005E440B"/>
    <w:rsid w:val="005E4A0A"/>
    <w:rsid w:val="005E58F0"/>
    <w:rsid w:val="005E601B"/>
    <w:rsid w:val="005E64E8"/>
    <w:rsid w:val="005E6C44"/>
    <w:rsid w:val="005E71ED"/>
    <w:rsid w:val="005E73F2"/>
    <w:rsid w:val="005E74C9"/>
    <w:rsid w:val="005E7A77"/>
    <w:rsid w:val="005E7EF9"/>
    <w:rsid w:val="005E7FBC"/>
    <w:rsid w:val="005F0891"/>
    <w:rsid w:val="005F0BBA"/>
    <w:rsid w:val="005F10DC"/>
    <w:rsid w:val="005F2A15"/>
    <w:rsid w:val="005F2C85"/>
    <w:rsid w:val="005F3245"/>
    <w:rsid w:val="005F39DC"/>
    <w:rsid w:val="005F5D08"/>
    <w:rsid w:val="005F6961"/>
    <w:rsid w:val="006009D9"/>
    <w:rsid w:val="00603679"/>
    <w:rsid w:val="006036E6"/>
    <w:rsid w:val="00604786"/>
    <w:rsid w:val="006048BF"/>
    <w:rsid w:val="00605ADB"/>
    <w:rsid w:val="00605E2D"/>
    <w:rsid w:val="00606301"/>
    <w:rsid w:val="00606CD9"/>
    <w:rsid w:val="00606DEF"/>
    <w:rsid w:val="00606E20"/>
    <w:rsid w:val="00606F3C"/>
    <w:rsid w:val="00607221"/>
    <w:rsid w:val="0060746C"/>
    <w:rsid w:val="0060748D"/>
    <w:rsid w:val="00607C9E"/>
    <w:rsid w:val="00611C9F"/>
    <w:rsid w:val="006129E3"/>
    <w:rsid w:val="00612A4C"/>
    <w:rsid w:val="00613480"/>
    <w:rsid w:val="00614D08"/>
    <w:rsid w:val="0061558D"/>
    <w:rsid w:val="006157A7"/>
    <w:rsid w:val="00615E06"/>
    <w:rsid w:val="00616771"/>
    <w:rsid w:val="006168B1"/>
    <w:rsid w:val="00617084"/>
    <w:rsid w:val="00617337"/>
    <w:rsid w:val="006174D6"/>
    <w:rsid w:val="00620670"/>
    <w:rsid w:val="00621BBE"/>
    <w:rsid w:val="00621BF6"/>
    <w:rsid w:val="00621E3A"/>
    <w:rsid w:val="006222C1"/>
    <w:rsid w:val="00622EED"/>
    <w:rsid w:val="0062320D"/>
    <w:rsid w:val="006235C5"/>
    <w:rsid w:val="00623879"/>
    <w:rsid w:val="00624063"/>
    <w:rsid w:val="006240E5"/>
    <w:rsid w:val="006241E7"/>
    <w:rsid w:val="00624B18"/>
    <w:rsid w:val="00624C44"/>
    <w:rsid w:val="00624C50"/>
    <w:rsid w:val="006251D5"/>
    <w:rsid w:val="00626CAA"/>
    <w:rsid w:val="00627555"/>
    <w:rsid w:val="00627809"/>
    <w:rsid w:val="00627B76"/>
    <w:rsid w:val="00630371"/>
    <w:rsid w:val="006316C4"/>
    <w:rsid w:val="00631AAB"/>
    <w:rsid w:val="00631FAD"/>
    <w:rsid w:val="006322A0"/>
    <w:rsid w:val="00633827"/>
    <w:rsid w:val="0063393D"/>
    <w:rsid w:val="00634292"/>
    <w:rsid w:val="006342B0"/>
    <w:rsid w:val="00634DC8"/>
    <w:rsid w:val="00634DFF"/>
    <w:rsid w:val="00635002"/>
    <w:rsid w:val="00635AFC"/>
    <w:rsid w:val="00635D09"/>
    <w:rsid w:val="006361FD"/>
    <w:rsid w:val="00636505"/>
    <w:rsid w:val="00636CF0"/>
    <w:rsid w:val="00636D6A"/>
    <w:rsid w:val="00637B24"/>
    <w:rsid w:val="00640B08"/>
    <w:rsid w:val="006411B5"/>
    <w:rsid w:val="0064226F"/>
    <w:rsid w:val="00642612"/>
    <w:rsid w:val="0064270B"/>
    <w:rsid w:val="00643292"/>
    <w:rsid w:val="00643528"/>
    <w:rsid w:val="00643E94"/>
    <w:rsid w:val="00644FD7"/>
    <w:rsid w:val="006464F9"/>
    <w:rsid w:val="006465EC"/>
    <w:rsid w:val="00647073"/>
    <w:rsid w:val="006471B5"/>
    <w:rsid w:val="0064745E"/>
    <w:rsid w:val="006474AE"/>
    <w:rsid w:val="00650502"/>
    <w:rsid w:val="00650861"/>
    <w:rsid w:val="00650FD1"/>
    <w:rsid w:val="00651963"/>
    <w:rsid w:val="006521B6"/>
    <w:rsid w:val="00653298"/>
    <w:rsid w:val="00653F3E"/>
    <w:rsid w:val="00653FE3"/>
    <w:rsid w:val="006545DE"/>
    <w:rsid w:val="0065561B"/>
    <w:rsid w:val="0065607C"/>
    <w:rsid w:val="00656856"/>
    <w:rsid w:val="00657A08"/>
    <w:rsid w:val="00657E95"/>
    <w:rsid w:val="006602BE"/>
    <w:rsid w:val="00660BEB"/>
    <w:rsid w:val="00660C2B"/>
    <w:rsid w:val="00660F88"/>
    <w:rsid w:val="00661C06"/>
    <w:rsid w:val="00662534"/>
    <w:rsid w:val="00663A7C"/>
    <w:rsid w:val="00663D2A"/>
    <w:rsid w:val="0066404C"/>
    <w:rsid w:val="00664155"/>
    <w:rsid w:val="00664757"/>
    <w:rsid w:val="00666672"/>
    <w:rsid w:val="006669D7"/>
    <w:rsid w:val="00667DDA"/>
    <w:rsid w:val="00667DF2"/>
    <w:rsid w:val="00667FE5"/>
    <w:rsid w:val="00670644"/>
    <w:rsid w:val="00670A11"/>
    <w:rsid w:val="00670BC1"/>
    <w:rsid w:val="00670DF1"/>
    <w:rsid w:val="00671205"/>
    <w:rsid w:val="00671345"/>
    <w:rsid w:val="00671E64"/>
    <w:rsid w:val="00671EB4"/>
    <w:rsid w:val="00672A9B"/>
    <w:rsid w:val="006731CB"/>
    <w:rsid w:val="00673211"/>
    <w:rsid w:val="00673F6F"/>
    <w:rsid w:val="00674646"/>
    <w:rsid w:val="006748DA"/>
    <w:rsid w:val="00675884"/>
    <w:rsid w:val="0067628A"/>
    <w:rsid w:val="006779DA"/>
    <w:rsid w:val="00677F22"/>
    <w:rsid w:val="00680213"/>
    <w:rsid w:val="00680537"/>
    <w:rsid w:val="006806A6"/>
    <w:rsid w:val="0068090E"/>
    <w:rsid w:val="00680AFF"/>
    <w:rsid w:val="006818F9"/>
    <w:rsid w:val="006820DB"/>
    <w:rsid w:val="006825D9"/>
    <w:rsid w:val="0068299E"/>
    <w:rsid w:val="00682E7C"/>
    <w:rsid w:val="00683126"/>
    <w:rsid w:val="00683203"/>
    <w:rsid w:val="00683698"/>
    <w:rsid w:val="00683736"/>
    <w:rsid w:val="00685955"/>
    <w:rsid w:val="00685B0B"/>
    <w:rsid w:val="0068657D"/>
    <w:rsid w:val="00686AC8"/>
    <w:rsid w:val="00687A4E"/>
    <w:rsid w:val="00687F94"/>
    <w:rsid w:val="0069026D"/>
    <w:rsid w:val="006919EA"/>
    <w:rsid w:val="00691C62"/>
    <w:rsid w:val="00693593"/>
    <w:rsid w:val="0069389B"/>
    <w:rsid w:val="00694277"/>
    <w:rsid w:val="00694BF9"/>
    <w:rsid w:val="00695E8A"/>
    <w:rsid w:val="006966CA"/>
    <w:rsid w:val="00696D09"/>
    <w:rsid w:val="00696EDA"/>
    <w:rsid w:val="00696EDE"/>
    <w:rsid w:val="00696EE0"/>
    <w:rsid w:val="0069702C"/>
    <w:rsid w:val="00697980"/>
    <w:rsid w:val="006A0932"/>
    <w:rsid w:val="006A0F00"/>
    <w:rsid w:val="006A13A7"/>
    <w:rsid w:val="006A1921"/>
    <w:rsid w:val="006A19EF"/>
    <w:rsid w:val="006A1D4E"/>
    <w:rsid w:val="006A29C1"/>
    <w:rsid w:val="006A43D5"/>
    <w:rsid w:val="006A48C0"/>
    <w:rsid w:val="006A4D3A"/>
    <w:rsid w:val="006A525B"/>
    <w:rsid w:val="006A5B2A"/>
    <w:rsid w:val="006A61D0"/>
    <w:rsid w:val="006A68F4"/>
    <w:rsid w:val="006A6930"/>
    <w:rsid w:val="006A7160"/>
    <w:rsid w:val="006B1342"/>
    <w:rsid w:val="006B1794"/>
    <w:rsid w:val="006B19EE"/>
    <w:rsid w:val="006B2284"/>
    <w:rsid w:val="006B3444"/>
    <w:rsid w:val="006B45A1"/>
    <w:rsid w:val="006B5201"/>
    <w:rsid w:val="006B5A2E"/>
    <w:rsid w:val="006B5B01"/>
    <w:rsid w:val="006B5BFE"/>
    <w:rsid w:val="006B5DCE"/>
    <w:rsid w:val="006B5E7A"/>
    <w:rsid w:val="006B6327"/>
    <w:rsid w:val="006B6FFD"/>
    <w:rsid w:val="006B78B2"/>
    <w:rsid w:val="006C0211"/>
    <w:rsid w:val="006C045F"/>
    <w:rsid w:val="006C0E0E"/>
    <w:rsid w:val="006C113A"/>
    <w:rsid w:val="006C1F6A"/>
    <w:rsid w:val="006C3878"/>
    <w:rsid w:val="006C3893"/>
    <w:rsid w:val="006C4196"/>
    <w:rsid w:val="006C4A57"/>
    <w:rsid w:val="006C510C"/>
    <w:rsid w:val="006C52AE"/>
    <w:rsid w:val="006C5589"/>
    <w:rsid w:val="006C5C05"/>
    <w:rsid w:val="006C63B0"/>
    <w:rsid w:val="006C6AB5"/>
    <w:rsid w:val="006C6DCB"/>
    <w:rsid w:val="006C72EE"/>
    <w:rsid w:val="006C76A2"/>
    <w:rsid w:val="006C792E"/>
    <w:rsid w:val="006C7AE5"/>
    <w:rsid w:val="006C7FDB"/>
    <w:rsid w:val="006D0A35"/>
    <w:rsid w:val="006D116C"/>
    <w:rsid w:val="006D1A98"/>
    <w:rsid w:val="006D1F47"/>
    <w:rsid w:val="006D2C75"/>
    <w:rsid w:val="006D39D4"/>
    <w:rsid w:val="006D3A1E"/>
    <w:rsid w:val="006D3F7B"/>
    <w:rsid w:val="006D4238"/>
    <w:rsid w:val="006D42FC"/>
    <w:rsid w:val="006D5A3A"/>
    <w:rsid w:val="006D5CBF"/>
    <w:rsid w:val="006D6209"/>
    <w:rsid w:val="006D6EF9"/>
    <w:rsid w:val="006D7575"/>
    <w:rsid w:val="006D7D99"/>
    <w:rsid w:val="006E0702"/>
    <w:rsid w:val="006E200C"/>
    <w:rsid w:val="006E22C1"/>
    <w:rsid w:val="006E23AD"/>
    <w:rsid w:val="006E2793"/>
    <w:rsid w:val="006E2DA5"/>
    <w:rsid w:val="006E40CD"/>
    <w:rsid w:val="006E4214"/>
    <w:rsid w:val="006E5B7C"/>
    <w:rsid w:val="006E65A6"/>
    <w:rsid w:val="006E6C26"/>
    <w:rsid w:val="006E77F3"/>
    <w:rsid w:val="006E7C42"/>
    <w:rsid w:val="006F03CF"/>
    <w:rsid w:val="006F14C0"/>
    <w:rsid w:val="006F168A"/>
    <w:rsid w:val="006F3B8C"/>
    <w:rsid w:val="006F452D"/>
    <w:rsid w:val="006F469B"/>
    <w:rsid w:val="006F5076"/>
    <w:rsid w:val="006F52CA"/>
    <w:rsid w:val="006F6009"/>
    <w:rsid w:val="006F736C"/>
    <w:rsid w:val="006F7D65"/>
    <w:rsid w:val="007009B3"/>
    <w:rsid w:val="00701069"/>
    <w:rsid w:val="00701245"/>
    <w:rsid w:val="007012C9"/>
    <w:rsid w:val="0070166F"/>
    <w:rsid w:val="00701884"/>
    <w:rsid w:val="0070321D"/>
    <w:rsid w:val="00705E65"/>
    <w:rsid w:val="007068BA"/>
    <w:rsid w:val="00706F43"/>
    <w:rsid w:val="00706F51"/>
    <w:rsid w:val="0070712E"/>
    <w:rsid w:val="007078EC"/>
    <w:rsid w:val="0071002D"/>
    <w:rsid w:val="007103AD"/>
    <w:rsid w:val="007107C7"/>
    <w:rsid w:val="0071102E"/>
    <w:rsid w:val="00712172"/>
    <w:rsid w:val="00712B5E"/>
    <w:rsid w:val="00713824"/>
    <w:rsid w:val="007153CA"/>
    <w:rsid w:val="007154C5"/>
    <w:rsid w:val="00716AB1"/>
    <w:rsid w:val="00716C89"/>
    <w:rsid w:val="0071726A"/>
    <w:rsid w:val="00717649"/>
    <w:rsid w:val="007203C2"/>
    <w:rsid w:val="00720D56"/>
    <w:rsid w:val="00721589"/>
    <w:rsid w:val="007218B4"/>
    <w:rsid w:val="00721D63"/>
    <w:rsid w:val="00721D9B"/>
    <w:rsid w:val="00722523"/>
    <w:rsid w:val="00722663"/>
    <w:rsid w:val="00722ADA"/>
    <w:rsid w:val="00723A00"/>
    <w:rsid w:val="0072433E"/>
    <w:rsid w:val="0072437B"/>
    <w:rsid w:val="0072490B"/>
    <w:rsid w:val="00725318"/>
    <w:rsid w:val="007253C7"/>
    <w:rsid w:val="0072645F"/>
    <w:rsid w:val="00726503"/>
    <w:rsid w:val="00726DC2"/>
    <w:rsid w:val="0072752E"/>
    <w:rsid w:val="00730869"/>
    <w:rsid w:val="00730DFE"/>
    <w:rsid w:val="0073179B"/>
    <w:rsid w:val="00731C6B"/>
    <w:rsid w:val="00731CE3"/>
    <w:rsid w:val="00731EE3"/>
    <w:rsid w:val="0073202D"/>
    <w:rsid w:val="00732148"/>
    <w:rsid w:val="00732BD9"/>
    <w:rsid w:val="00732C7B"/>
    <w:rsid w:val="00732DAF"/>
    <w:rsid w:val="00732F8E"/>
    <w:rsid w:val="00733044"/>
    <w:rsid w:val="007332B5"/>
    <w:rsid w:val="00734335"/>
    <w:rsid w:val="007345F1"/>
    <w:rsid w:val="00734D2B"/>
    <w:rsid w:val="0073616F"/>
    <w:rsid w:val="007370D3"/>
    <w:rsid w:val="007371D7"/>
    <w:rsid w:val="0073733E"/>
    <w:rsid w:val="007375A7"/>
    <w:rsid w:val="00737705"/>
    <w:rsid w:val="00737D29"/>
    <w:rsid w:val="007405B2"/>
    <w:rsid w:val="007408D4"/>
    <w:rsid w:val="00741413"/>
    <w:rsid w:val="0074153C"/>
    <w:rsid w:val="007420AC"/>
    <w:rsid w:val="007420FF"/>
    <w:rsid w:val="007422C9"/>
    <w:rsid w:val="00742617"/>
    <w:rsid w:val="0074272E"/>
    <w:rsid w:val="0074274F"/>
    <w:rsid w:val="00742867"/>
    <w:rsid w:val="00742942"/>
    <w:rsid w:val="00742BD6"/>
    <w:rsid w:val="00743D93"/>
    <w:rsid w:val="007440D8"/>
    <w:rsid w:val="007447D8"/>
    <w:rsid w:val="007452F3"/>
    <w:rsid w:val="007457C0"/>
    <w:rsid w:val="00745EB8"/>
    <w:rsid w:val="0074662C"/>
    <w:rsid w:val="007477F5"/>
    <w:rsid w:val="00750ACD"/>
    <w:rsid w:val="00751E51"/>
    <w:rsid w:val="00751EC1"/>
    <w:rsid w:val="007529DE"/>
    <w:rsid w:val="007545A2"/>
    <w:rsid w:val="00754E7D"/>
    <w:rsid w:val="007556A3"/>
    <w:rsid w:val="007559B2"/>
    <w:rsid w:val="00756647"/>
    <w:rsid w:val="00756A95"/>
    <w:rsid w:val="00756ADB"/>
    <w:rsid w:val="00756B3D"/>
    <w:rsid w:val="007574A0"/>
    <w:rsid w:val="007575F7"/>
    <w:rsid w:val="007578CB"/>
    <w:rsid w:val="00760017"/>
    <w:rsid w:val="00760894"/>
    <w:rsid w:val="0076177C"/>
    <w:rsid w:val="00761DD1"/>
    <w:rsid w:val="0076253D"/>
    <w:rsid w:val="00762B7F"/>
    <w:rsid w:val="00762D55"/>
    <w:rsid w:val="007631B3"/>
    <w:rsid w:val="00763670"/>
    <w:rsid w:val="00763B4D"/>
    <w:rsid w:val="00764893"/>
    <w:rsid w:val="00765257"/>
    <w:rsid w:val="00766084"/>
    <w:rsid w:val="007661F7"/>
    <w:rsid w:val="00767E2A"/>
    <w:rsid w:val="007701F7"/>
    <w:rsid w:val="007704AB"/>
    <w:rsid w:val="00770DFE"/>
    <w:rsid w:val="007712BD"/>
    <w:rsid w:val="007714AA"/>
    <w:rsid w:val="00771FBF"/>
    <w:rsid w:val="00773164"/>
    <w:rsid w:val="00774570"/>
    <w:rsid w:val="00775F9D"/>
    <w:rsid w:val="00776CEE"/>
    <w:rsid w:val="0078026D"/>
    <w:rsid w:val="00780702"/>
    <w:rsid w:val="0078077E"/>
    <w:rsid w:val="00780861"/>
    <w:rsid w:val="00780F1C"/>
    <w:rsid w:val="007817C1"/>
    <w:rsid w:val="007817E7"/>
    <w:rsid w:val="007819B1"/>
    <w:rsid w:val="007820F2"/>
    <w:rsid w:val="00782386"/>
    <w:rsid w:val="00782C2C"/>
    <w:rsid w:val="00782EC3"/>
    <w:rsid w:val="00783395"/>
    <w:rsid w:val="00783AFA"/>
    <w:rsid w:val="00783E41"/>
    <w:rsid w:val="007849D3"/>
    <w:rsid w:val="00785427"/>
    <w:rsid w:val="00785688"/>
    <w:rsid w:val="007856F6"/>
    <w:rsid w:val="00785768"/>
    <w:rsid w:val="00785EEE"/>
    <w:rsid w:val="00786B14"/>
    <w:rsid w:val="00786D4C"/>
    <w:rsid w:val="00790540"/>
    <w:rsid w:val="00790732"/>
    <w:rsid w:val="00790FDC"/>
    <w:rsid w:val="00791C29"/>
    <w:rsid w:val="007927F1"/>
    <w:rsid w:val="00793C9E"/>
    <w:rsid w:val="007951A8"/>
    <w:rsid w:val="007952C5"/>
    <w:rsid w:val="007963DB"/>
    <w:rsid w:val="0079654D"/>
    <w:rsid w:val="0079669B"/>
    <w:rsid w:val="007968CA"/>
    <w:rsid w:val="00797917"/>
    <w:rsid w:val="00797BB2"/>
    <w:rsid w:val="007A0BD4"/>
    <w:rsid w:val="007A0E53"/>
    <w:rsid w:val="007A0FA3"/>
    <w:rsid w:val="007A1507"/>
    <w:rsid w:val="007A19A9"/>
    <w:rsid w:val="007A1B33"/>
    <w:rsid w:val="007A1E21"/>
    <w:rsid w:val="007A2172"/>
    <w:rsid w:val="007A283E"/>
    <w:rsid w:val="007A42E5"/>
    <w:rsid w:val="007A43FF"/>
    <w:rsid w:val="007A506C"/>
    <w:rsid w:val="007A5D6B"/>
    <w:rsid w:val="007A63B6"/>
    <w:rsid w:val="007A6408"/>
    <w:rsid w:val="007A71D6"/>
    <w:rsid w:val="007A7655"/>
    <w:rsid w:val="007B0F94"/>
    <w:rsid w:val="007B1C29"/>
    <w:rsid w:val="007B1E77"/>
    <w:rsid w:val="007B28FE"/>
    <w:rsid w:val="007B2C57"/>
    <w:rsid w:val="007B3250"/>
    <w:rsid w:val="007B34CD"/>
    <w:rsid w:val="007B3871"/>
    <w:rsid w:val="007B3918"/>
    <w:rsid w:val="007B52B9"/>
    <w:rsid w:val="007B569A"/>
    <w:rsid w:val="007B5AB6"/>
    <w:rsid w:val="007B6012"/>
    <w:rsid w:val="007B60CF"/>
    <w:rsid w:val="007B6927"/>
    <w:rsid w:val="007B7253"/>
    <w:rsid w:val="007C003D"/>
    <w:rsid w:val="007C09A9"/>
    <w:rsid w:val="007C0AD9"/>
    <w:rsid w:val="007C121A"/>
    <w:rsid w:val="007C1AF7"/>
    <w:rsid w:val="007C1C08"/>
    <w:rsid w:val="007C1C89"/>
    <w:rsid w:val="007C1D99"/>
    <w:rsid w:val="007C2044"/>
    <w:rsid w:val="007C282A"/>
    <w:rsid w:val="007C2DBC"/>
    <w:rsid w:val="007C2E13"/>
    <w:rsid w:val="007C3AF6"/>
    <w:rsid w:val="007C3C1D"/>
    <w:rsid w:val="007C4031"/>
    <w:rsid w:val="007C434D"/>
    <w:rsid w:val="007C55B0"/>
    <w:rsid w:val="007C5C0E"/>
    <w:rsid w:val="007C7681"/>
    <w:rsid w:val="007D055C"/>
    <w:rsid w:val="007D199A"/>
    <w:rsid w:val="007D1F6D"/>
    <w:rsid w:val="007D2EBE"/>
    <w:rsid w:val="007D4F45"/>
    <w:rsid w:val="007D5089"/>
    <w:rsid w:val="007D6010"/>
    <w:rsid w:val="007D6531"/>
    <w:rsid w:val="007D6680"/>
    <w:rsid w:val="007D66CF"/>
    <w:rsid w:val="007D676D"/>
    <w:rsid w:val="007E00FD"/>
    <w:rsid w:val="007E1A31"/>
    <w:rsid w:val="007E1C07"/>
    <w:rsid w:val="007E2757"/>
    <w:rsid w:val="007E2DDA"/>
    <w:rsid w:val="007E38E9"/>
    <w:rsid w:val="007E3A2D"/>
    <w:rsid w:val="007E42C6"/>
    <w:rsid w:val="007E59B0"/>
    <w:rsid w:val="007E59F3"/>
    <w:rsid w:val="007E5FB7"/>
    <w:rsid w:val="007E7027"/>
    <w:rsid w:val="007E7114"/>
    <w:rsid w:val="007E74D4"/>
    <w:rsid w:val="007F1590"/>
    <w:rsid w:val="007F15AD"/>
    <w:rsid w:val="007F1660"/>
    <w:rsid w:val="007F24B6"/>
    <w:rsid w:val="007F2A70"/>
    <w:rsid w:val="007F313B"/>
    <w:rsid w:val="007F32A7"/>
    <w:rsid w:val="007F3407"/>
    <w:rsid w:val="007F481B"/>
    <w:rsid w:val="007F4FFD"/>
    <w:rsid w:val="007F5433"/>
    <w:rsid w:val="007F5B0C"/>
    <w:rsid w:val="007F5EFE"/>
    <w:rsid w:val="007F6460"/>
    <w:rsid w:val="007F6760"/>
    <w:rsid w:val="007F6A6F"/>
    <w:rsid w:val="007F7B63"/>
    <w:rsid w:val="008000F6"/>
    <w:rsid w:val="00800367"/>
    <w:rsid w:val="00801521"/>
    <w:rsid w:val="0080156C"/>
    <w:rsid w:val="00802442"/>
    <w:rsid w:val="00802B5A"/>
    <w:rsid w:val="0080377A"/>
    <w:rsid w:val="00803D94"/>
    <w:rsid w:val="00803D98"/>
    <w:rsid w:val="008045D7"/>
    <w:rsid w:val="008059CF"/>
    <w:rsid w:val="008059DA"/>
    <w:rsid w:val="00806592"/>
    <w:rsid w:val="00806606"/>
    <w:rsid w:val="00806CD1"/>
    <w:rsid w:val="00806D68"/>
    <w:rsid w:val="008077D3"/>
    <w:rsid w:val="00810B08"/>
    <w:rsid w:val="00811246"/>
    <w:rsid w:val="0081165D"/>
    <w:rsid w:val="00811FB2"/>
    <w:rsid w:val="00812285"/>
    <w:rsid w:val="00813E37"/>
    <w:rsid w:val="0081460C"/>
    <w:rsid w:val="0081465D"/>
    <w:rsid w:val="008168DE"/>
    <w:rsid w:val="00816F3A"/>
    <w:rsid w:val="008214CB"/>
    <w:rsid w:val="00821992"/>
    <w:rsid w:val="00821B40"/>
    <w:rsid w:val="008229BA"/>
    <w:rsid w:val="00822B72"/>
    <w:rsid w:val="00823267"/>
    <w:rsid w:val="0082341B"/>
    <w:rsid w:val="00823428"/>
    <w:rsid w:val="00823F3D"/>
    <w:rsid w:val="008240F2"/>
    <w:rsid w:val="0082453B"/>
    <w:rsid w:val="008249B6"/>
    <w:rsid w:val="008252B4"/>
    <w:rsid w:val="008253BA"/>
    <w:rsid w:val="008259A4"/>
    <w:rsid w:val="00826831"/>
    <w:rsid w:val="00826856"/>
    <w:rsid w:val="00826ACA"/>
    <w:rsid w:val="00827853"/>
    <w:rsid w:val="008279F0"/>
    <w:rsid w:val="00830267"/>
    <w:rsid w:val="008317DC"/>
    <w:rsid w:val="00831E23"/>
    <w:rsid w:val="00833F68"/>
    <w:rsid w:val="008348B5"/>
    <w:rsid w:val="008367C9"/>
    <w:rsid w:val="00836A67"/>
    <w:rsid w:val="0083762C"/>
    <w:rsid w:val="00840FA2"/>
    <w:rsid w:val="00842CDA"/>
    <w:rsid w:val="0084348A"/>
    <w:rsid w:val="00843E5C"/>
    <w:rsid w:val="00844933"/>
    <w:rsid w:val="00844DC5"/>
    <w:rsid w:val="00845390"/>
    <w:rsid w:val="00845415"/>
    <w:rsid w:val="008458AF"/>
    <w:rsid w:val="008458E2"/>
    <w:rsid w:val="0084601B"/>
    <w:rsid w:val="00850121"/>
    <w:rsid w:val="00850289"/>
    <w:rsid w:val="00850A27"/>
    <w:rsid w:val="00850FA8"/>
    <w:rsid w:val="008518BB"/>
    <w:rsid w:val="0085203A"/>
    <w:rsid w:val="00852DC3"/>
    <w:rsid w:val="00853784"/>
    <w:rsid w:val="00855731"/>
    <w:rsid w:val="0085635C"/>
    <w:rsid w:val="008574BE"/>
    <w:rsid w:val="008606C4"/>
    <w:rsid w:val="008606F0"/>
    <w:rsid w:val="008609D2"/>
    <w:rsid w:val="008620A6"/>
    <w:rsid w:val="008620BC"/>
    <w:rsid w:val="0086250D"/>
    <w:rsid w:val="00862A92"/>
    <w:rsid w:val="00863156"/>
    <w:rsid w:val="00863383"/>
    <w:rsid w:val="008636BD"/>
    <w:rsid w:val="00863B71"/>
    <w:rsid w:val="00864B9A"/>
    <w:rsid w:val="00865489"/>
    <w:rsid w:val="0086553D"/>
    <w:rsid w:val="00865E19"/>
    <w:rsid w:val="00866004"/>
    <w:rsid w:val="00870E24"/>
    <w:rsid w:val="0087134D"/>
    <w:rsid w:val="008718AC"/>
    <w:rsid w:val="00871F71"/>
    <w:rsid w:val="00872C58"/>
    <w:rsid w:val="00872E13"/>
    <w:rsid w:val="00872EE3"/>
    <w:rsid w:val="0087437C"/>
    <w:rsid w:val="00874DD2"/>
    <w:rsid w:val="00874FEB"/>
    <w:rsid w:val="00875F01"/>
    <w:rsid w:val="00875F95"/>
    <w:rsid w:val="0087620C"/>
    <w:rsid w:val="008775A4"/>
    <w:rsid w:val="00880845"/>
    <w:rsid w:val="00880D0E"/>
    <w:rsid w:val="0088111A"/>
    <w:rsid w:val="0088113F"/>
    <w:rsid w:val="00881459"/>
    <w:rsid w:val="00881B6F"/>
    <w:rsid w:val="00882888"/>
    <w:rsid w:val="00882AA4"/>
    <w:rsid w:val="0088355C"/>
    <w:rsid w:val="00883D85"/>
    <w:rsid w:val="00883E22"/>
    <w:rsid w:val="00883EB5"/>
    <w:rsid w:val="008847E5"/>
    <w:rsid w:val="00884903"/>
    <w:rsid w:val="00884E43"/>
    <w:rsid w:val="00885828"/>
    <w:rsid w:val="00885CD6"/>
    <w:rsid w:val="0088614F"/>
    <w:rsid w:val="00887EC6"/>
    <w:rsid w:val="0089084C"/>
    <w:rsid w:val="00891034"/>
    <w:rsid w:val="00891BE4"/>
    <w:rsid w:val="00893409"/>
    <w:rsid w:val="008937C3"/>
    <w:rsid w:val="00893D9F"/>
    <w:rsid w:val="0089428E"/>
    <w:rsid w:val="008944C2"/>
    <w:rsid w:val="00894E1B"/>
    <w:rsid w:val="00895281"/>
    <w:rsid w:val="00895A37"/>
    <w:rsid w:val="00895B3C"/>
    <w:rsid w:val="00895B4F"/>
    <w:rsid w:val="0089604E"/>
    <w:rsid w:val="0089640C"/>
    <w:rsid w:val="008967CE"/>
    <w:rsid w:val="00896EB8"/>
    <w:rsid w:val="008A07E7"/>
    <w:rsid w:val="008A2379"/>
    <w:rsid w:val="008A2541"/>
    <w:rsid w:val="008A2AF9"/>
    <w:rsid w:val="008A2C7E"/>
    <w:rsid w:val="008A2F43"/>
    <w:rsid w:val="008A3163"/>
    <w:rsid w:val="008A376F"/>
    <w:rsid w:val="008A37AB"/>
    <w:rsid w:val="008A38AD"/>
    <w:rsid w:val="008A40F3"/>
    <w:rsid w:val="008A4329"/>
    <w:rsid w:val="008A4359"/>
    <w:rsid w:val="008A43E3"/>
    <w:rsid w:val="008A5702"/>
    <w:rsid w:val="008A578E"/>
    <w:rsid w:val="008A7222"/>
    <w:rsid w:val="008A7CE7"/>
    <w:rsid w:val="008B0BA6"/>
    <w:rsid w:val="008B0DB4"/>
    <w:rsid w:val="008B1519"/>
    <w:rsid w:val="008B22D4"/>
    <w:rsid w:val="008B2667"/>
    <w:rsid w:val="008B278E"/>
    <w:rsid w:val="008B2C23"/>
    <w:rsid w:val="008B3A19"/>
    <w:rsid w:val="008B3FF1"/>
    <w:rsid w:val="008B40E4"/>
    <w:rsid w:val="008B5255"/>
    <w:rsid w:val="008B613A"/>
    <w:rsid w:val="008B616C"/>
    <w:rsid w:val="008B663D"/>
    <w:rsid w:val="008B699B"/>
    <w:rsid w:val="008B69E3"/>
    <w:rsid w:val="008B7AB0"/>
    <w:rsid w:val="008B7BCC"/>
    <w:rsid w:val="008C086E"/>
    <w:rsid w:val="008C1940"/>
    <w:rsid w:val="008C259A"/>
    <w:rsid w:val="008C2990"/>
    <w:rsid w:val="008C50C3"/>
    <w:rsid w:val="008C53A1"/>
    <w:rsid w:val="008C5872"/>
    <w:rsid w:val="008C5929"/>
    <w:rsid w:val="008C5995"/>
    <w:rsid w:val="008C6773"/>
    <w:rsid w:val="008C7094"/>
    <w:rsid w:val="008C70AA"/>
    <w:rsid w:val="008C7222"/>
    <w:rsid w:val="008D04D0"/>
    <w:rsid w:val="008D227F"/>
    <w:rsid w:val="008D2B97"/>
    <w:rsid w:val="008D2DD2"/>
    <w:rsid w:val="008D3883"/>
    <w:rsid w:val="008D49A5"/>
    <w:rsid w:val="008D49E5"/>
    <w:rsid w:val="008D54BE"/>
    <w:rsid w:val="008D5D7A"/>
    <w:rsid w:val="008D67DF"/>
    <w:rsid w:val="008D6C81"/>
    <w:rsid w:val="008D6F41"/>
    <w:rsid w:val="008D7016"/>
    <w:rsid w:val="008D7AFB"/>
    <w:rsid w:val="008E1956"/>
    <w:rsid w:val="008E1BBB"/>
    <w:rsid w:val="008E281A"/>
    <w:rsid w:val="008E314C"/>
    <w:rsid w:val="008E360D"/>
    <w:rsid w:val="008E576C"/>
    <w:rsid w:val="008E6CF0"/>
    <w:rsid w:val="008F0D03"/>
    <w:rsid w:val="008F0DDB"/>
    <w:rsid w:val="008F1439"/>
    <w:rsid w:val="008F1E79"/>
    <w:rsid w:val="008F24F5"/>
    <w:rsid w:val="008F5415"/>
    <w:rsid w:val="008F552E"/>
    <w:rsid w:val="008F598C"/>
    <w:rsid w:val="008F5B38"/>
    <w:rsid w:val="008F660E"/>
    <w:rsid w:val="008F6A0D"/>
    <w:rsid w:val="008F7051"/>
    <w:rsid w:val="008F733E"/>
    <w:rsid w:val="008F75EF"/>
    <w:rsid w:val="008F7B31"/>
    <w:rsid w:val="009002C6"/>
    <w:rsid w:val="00900D9C"/>
    <w:rsid w:val="0090134C"/>
    <w:rsid w:val="00901D23"/>
    <w:rsid w:val="009026A2"/>
    <w:rsid w:val="0090315A"/>
    <w:rsid w:val="009033A9"/>
    <w:rsid w:val="00903B77"/>
    <w:rsid w:val="00904017"/>
    <w:rsid w:val="00904152"/>
    <w:rsid w:val="00904CFA"/>
    <w:rsid w:val="0090581D"/>
    <w:rsid w:val="0090672E"/>
    <w:rsid w:val="00906D5A"/>
    <w:rsid w:val="009071AE"/>
    <w:rsid w:val="00907563"/>
    <w:rsid w:val="00910F45"/>
    <w:rsid w:val="009113C8"/>
    <w:rsid w:val="00912484"/>
    <w:rsid w:val="00912EFC"/>
    <w:rsid w:val="0091439C"/>
    <w:rsid w:val="009148F1"/>
    <w:rsid w:val="0091513A"/>
    <w:rsid w:val="00915931"/>
    <w:rsid w:val="00916390"/>
    <w:rsid w:val="009163D8"/>
    <w:rsid w:val="009164BF"/>
    <w:rsid w:val="00916954"/>
    <w:rsid w:val="00916ECF"/>
    <w:rsid w:val="00920572"/>
    <w:rsid w:val="009208BA"/>
    <w:rsid w:val="00920BF2"/>
    <w:rsid w:val="009219A0"/>
    <w:rsid w:val="00922951"/>
    <w:rsid w:val="00922C6C"/>
    <w:rsid w:val="009231B1"/>
    <w:rsid w:val="00923B94"/>
    <w:rsid w:val="00924C53"/>
    <w:rsid w:val="009250B2"/>
    <w:rsid w:val="009253F4"/>
    <w:rsid w:val="009261C9"/>
    <w:rsid w:val="00926634"/>
    <w:rsid w:val="00926DE4"/>
    <w:rsid w:val="00927906"/>
    <w:rsid w:val="0092798A"/>
    <w:rsid w:val="00927D0C"/>
    <w:rsid w:val="00930000"/>
    <w:rsid w:val="009306B8"/>
    <w:rsid w:val="0093092A"/>
    <w:rsid w:val="00931287"/>
    <w:rsid w:val="00931887"/>
    <w:rsid w:val="00931DDC"/>
    <w:rsid w:val="00932290"/>
    <w:rsid w:val="009327B1"/>
    <w:rsid w:val="00932DE5"/>
    <w:rsid w:val="00933BE4"/>
    <w:rsid w:val="00933E84"/>
    <w:rsid w:val="0093400A"/>
    <w:rsid w:val="009344CA"/>
    <w:rsid w:val="009349A9"/>
    <w:rsid w:val="0093647F"/>
    <w:rsid w:val="00936527"/>
    <w:rsid w:val="0093674A"/>
    <w:rsid w:val="00936C52"/>
    <w:rsid w:val="00937389"/>
    <w:rsid w:val="009375CF"/>
    <w:rsid w:val="00937898"/>
    <w:rsid w:val="0094010A"/>
    <w:rsid w:val="00940161"/>
    <w:rsid w:val="00940365"/>
    <w:rsid w:val="00940930"/>
    <w:rsid w:val="00940B3B"/>
    <w:rsid w:val="00940E42"/>
    <w:rsid w:val="00941FDC"/>
    <w:rsid w:val="00942643"/>
    <w:rsid w:val="009433BE"/>
    <w:rsid w:val="00945907"/>
    <w:rsid w:val="00945C97"/>
    <w:rsid w:val="00947441"/>
    <w:rsid w:val="00947625"/>
    <w:rsid w:val="00947A23"/>
    <w:rsid w:val="00950779"/>
    <w:rsid w:val="00950B6D"/>
    <w:rsid w:val="00950C30"/>
    <w:rsid w:val="00951C86"/>
    <w:rsid w:val="00951D9B"/>
    <w:rsid w:val="009535DC"/>
    <w:rsid w:val="0095420E"/>
    <w:rsid w:val="0095489B"/>
    <w:rsid w:val="00954AAA"/>
    <w:rsid w:val="009554E5"/>
    <w:rsid w:val="00956D59"/>
    <w:rsid w:val="009571EB"/>
    <w:rsid w:val="00960569"/>
    <w:rsid w:val="009624E6"/>
    <w:rsid w:val="00963B00"/>
    <w:rsid w:val="00963BF7"/>
    <w:rsid w:val="00964215"/>
    <w:rsid w:val="00964383"/>
    <w:rsid w:val="00966C82"/>
    <w:rsid w:val="00966FB9"/>
    <w:rsid w:val="009671CD"/>
    <w:rsid w:val="00967530"/>
    <w:rsid w:val="009679AE"/>
    <w:rsid w:val="009704A8"/>
    <w:rsid w:val="009708B9"/>
    <w:rsid w:val="00972B41"/>
    <w:rsid w:val="00972E1C"/>
    <w:rsid w:val="0097370D"/>
    <w:rsid w:val="00974A51"/>
    <w:rsid w:val="0097502E"/>
    <w:rsid w:val="009751A9"/>
    <w:rsid w:val="009756BE"/>
    <w:rsid w:val="00975F82"/>
    <w:rsid w:val="00976443"/>
    <w:rsid w:val="00976FA9"/>
    <w:rsid w:val="009771D8"/>
    <w:rsid w:val="009772EC"/>
    <w:rsid w:val="00977663"/>
    <w:rsid w:val="00980379"/>
    <w:rsid w:val="00980488"/>
    <w:rsid w:val="009804AB"/>
    <w:rsid w:val="00980F9C"/>
    <w:rsid w:val="009815EB"/>
    <w:rsid w:val="00981677"/>
    <w:rsid w:val="0098178E"/>
    <w:rsid w:val="00981AE2"/>
    <w:rsid w:val="00982640"/>
    <w:rsid w:val="00982E6C"/>
    <w:rsid w:val="00984033"/>
    <w:rsid w:val="00984090"/>
    <w:rsid w:val="009848AB"/>
    <w:rsid w:val="009859B1"/>
    <w:rsid w:val="0098632B"/>
    <w:rsid w:val="009865B0"/>
    <w:rsid w:val="00986E70"/>
    <w:rsid w:val="00987B02"/>
    <w:rsid w:val="00990077"/>
    <w:rsid w:val="00990F0D"/>
    <w:rsid w:val="0099119A"/>
    <w:rsid w:val="00991FA8"/>
    <w:rsid w:val="00992144"/>
    <w:rsid w:val="00993785"/>
    <w:rsid w:val="009939C5"/>
    <w:rsid w:val="00994608"/>
    <w:rsid w:val="00995BBB"/>
    <w:rsid w:val="00995EF2"/>
    <w:rsid w:val="00995F04"/>
    <w:rsid w:val="00996BE5"/>
    <w:rsid w:val="00996F31"/>
    <w:rsid w:val="009973C7"/>
    <w:rsid w:val="00997BFB"/>
    <w:rsid w:val="00997E05"/>
    <w:rsid w:val="009A0D59"/>
    <w:rsid w:val="009A1663"/>
    <w:rsid w:val="009A1E7B"/>
    <w:rsid w:val="009A1F2E"/>
    <w:rsid w:val="009A275F"/>
    <w:rsid w:val="009A428B"/>
    <w:rsid w:val="009A60E5"/>
    <w:rsid w:val="009A6E71"/>
    <w:rsid w:val="009A7348"/>
    <w:rsid w:val="009A79DC"/>
    <w:rsid w:val="009A7E72"/>
    <w:rsid w:val="009B01A3"/>
    <w:rsid w:val="009B0E47"/>
    <w:rsid w:val="009B2BCF"/>
    <w:rsid w:val="009B3288"/>
    <w:rsid w:val="009B3AD0"/>
    <w:rsid w:val="009B40B9"/>
    <w:rsid w:val="009B462C"/>
    <w:rsid w:val="009B4C43"/>
    <w:rsid w:val="009B5942"/>
    <w:rsid w:val="009B5AAC"/>
    <w:rsid w:val="009B5AF0"/>
    <w:rsid w:val="009B64DF"/>
    <w:rsid w:val="009B6F09"/>
    <w:rsid w:val="009B750F"/>
    <w:rsid w:val="009B77F3"/>
    <w:rsid w:val="009C063C"/>
    <w:rsid w:val="009C15F3"/>
    <w:rsid w:val="009C1961"/>
    <w:rsid w:val="009C2825"/>
    <w:rsid w:val="009C2A11"/>
    <w:rsid w:val="009C46AE"/>
    <w:rsid w:val="009C599B"/>
    <w:rsid w:val="009C64D8"/>
    <w:rsid w:val="009C6CCF"/>
    <w:rsid w:val="009C7108"/>
    <w:rsid w:val="009C7361"/>
    <w:rsid w:val="009C7453"/>
    <w:rsid w:val="009C7A7C"/>
    <w:rsid w:val="009D024C"/>
    <w:rsid w:val="009D0871"/>
    <w:rsid w:val="009D12B2"/>
    <w:rsid w:val="009D18D8"/>
    <w:rsid w:val="009D196F"/>
    <w:rsid w:val="009D2E41"/>
    <w:rsid w:val="009D3DDA"/>
    <w:rsid w:val="009D3FBA"/>
    <w:rsid w:val="009D4404"/>
    <w:rsid w:val="009D48BA"/>
    <w:rsid w:val="009D5CD8"/>
    <w:rsid w:val="009D63CF"/>
    <w:rsid w:val="009D66EF"/>
    <w:rsid w:val="009D7688"/>
    <w:rsid w:val="009D787F"/>
    <w:rsid w:val="009E07C2"/>
    <w:rsid w:val="009E0C5A"/>
    <w:rsid w:val="009E0E52"/>
    <w:rsid w:val="009E24C9"/>
    <w:rsid w:val="009E24F5"/>
    <w:rsid w:val="009E24FD"/>
    <w:rsid w:val="009E2B1B"/>
    <w:rsid w:val="009E2B8F"/>
    <w:rsid w:val="009E3122"/>
    <w:rsid w:val="009E3A37"/>
    <w:rsid w:val="009E43D9"/>
    <w:rsid w:val="009E490F"/>
    <w:rsid w:val="009E5551"/>
    <w:rsid w:val="009E5BE8"/>
    <w:rsid w:val="009E5BE9"/>
    <w:rsid w:val="009E67AD"/>
    <w:rsid w:val="009E6951"/>
    <w:rsid w:val="009E6CB8"/>
    <w:rsid w:val="009F0389"/>
    <w:rsid w:val="009F0A1B"/>
    <w:rsid w:val="009F1B3C"/>
    <w:rsid w:val="009F33E9"/>
    <w:rsid w:val="009F3FBD"/>
    <w:rsid w:val="009F4202"/>
    <w:rsid w:val="009F4691"/>
    <w:rsid w:val="009F4E42"/>
    <w:rsid w:val="009F4EBC"/>
    <w:rsid w:val="009F563D"/>
    <w:rsid w:val="009F564B"/>
    <w:rsid w:val="009F5846"/>
    <w:rsid w:val="009F67B2"/>
    <w:rsid w:val="009F72F9"/>
    <w:rsid w:val="009F7C88"/>
    <w:rsid w:val="00A00205"/>
    <w:rsid w:val="00A0096E"/>
    <w:rsid w:val="00A00AF0"/>
    <w:rsid w:val="00A0161A"/>
    <w:rsid w:val="00A01856"/>
    <w:rsid w:val="00A023D3"/>
    <w:rsid w:val="00A02598"/>
    <w:rsid w:val="00A02E97"/>
    <w:rsid w:val="00A033C4"/>
    <w:rsid w:val="00A033D4"/>
    <w:rsid w:val="00A035A4"/>
    <w:rsid w:val="00A03945"/>
    <w:rsid w:val="00A03F65"/>
    <w:rsid w:val="00A04573"/>
    <w:rsid w:val="00A04D73"/>
    <w:rsid w:val="00A05249"/>
    <w:rsid w:val="00A0600E"/>
    <w:rsid w:val="00A0687B"/>
    <w:rsid w:val="00A07755"/>
    <w:rsid w:val="00A07CAA"/>
    <w:rsid w:val="00A1026E"/>
    <w:rsid w:val="00A10461"/>
    <w:rsid w:val="00A11925"/>
    <w:rsid w:val="00A11962"/>
    <w:rsid w:val="00A11993"/>
    <w:rsid w:val="00A11A41"/>
    <w:rsid w:val="00A11A4F"/>
    <w:rsid w:val="00A1312B"/>
    <w:rsid w:val="00A14B5A"/>
    <w:rsid w:val="00A1568A"/>
    <w:rsid w:val="00A15FFF"/>
    <w:rsid w:val="00A1700C"/>
    <w:rsid w:val="00A2050E"/>
    <w:rsid w:val="00A208AB"/>
    <w:rsid w:val="00A21042"/>
    <w:rsid w:val="00A21196"/>
    <w:rsid w:val="00A21262"/>
    <w:rsid w:val="00A218E3"/>
    <w:rsid w:val="00A219CA"/>
    <w:rsid w:val="00A2243D"/>
    <w:rsid w:val="00A228D8"/>
    <w:rsid w:val="00A22D1B"/>
    <w:rsid w:val="00A239A4"/>
    <w:rsid w:val="00A23D38"/>
    <w:rsid w:val="00A2428F"/>
    <w:rsid w:val="00A248CA"/>
    <w:rsid w:val="00A25233"/>
    <w:rsid w:val="00A2761F"/>
    <w:rsid w:val="00A27DF0"/>
    <w:rsid w:val="00A30B2D"/>
    <w:rsid w:val="00A30C61"/>
    <w:rsid w:val="00A311BE"/>
    <w:rsid w:val="00A325F3"/>
    <w:rsid w:val="00A326C5"/>
    <w:rsid w:val="00A3275F"/>
    <w:rsid w:val="00A32A46"/>
    <w:rsid w:val="00A32CF9"/>
    <w:rsid w:val="00A3331A"/>
    <w:rsid w:val="00A3371F"/>
    <w:rsid w:val="00A349B2"/>
    <w:rsid w:val="00A35080"/>
    <w:rsid w:val="00A3567F"/>
    <w:rsid w:val="00A36E81"/>
    <w:rsid w:val="00A37698"/>
    <w:rsid w:val="00A3794B"/>
    <w:rsid w:val="00A37C58"/>
    <w:rsid w:val="00A405B9"/>
    <w:rsid w:val="00A40EC9"/>
    <w:rsid w:val="00A41ED3"/>
    <w:rsid w:val="00A427E2"/>
    <w:rsid w:val="00A429DA"/>
    <w:rsid w:val="00A438ED"/>
    <w:rsid w:val="00A43B6E"/>
    <w:rsid w:val="00A43DE4"/>
    <w:rsid w:val="00A44077"/>
    <w:rsid w:val="00A453C5"/>
    <w:rsid w:val="00A4622D"/>
    <w:rsid w:val="00A4685C"/>
    <w:rsid w:val="00A46B0D"/>
    <w:rsid w:val="00A46DBD"/>
    <w:rsid w:val="00A473A6"/>
    <w:rsid w:val="00A47B85"/>
    <w:rsid w:val="00A47CF9"/>
    <w:rsid w:val="00A50128"/>
    <w:rsid w:val="00A50AC0"/>
    <w:rsid w:val="00A50B29"/>
    <w:rsid w:val="00A50C78"/>
    <w:rsid w:val="00A51FBA"/>
    <w:rsid w:val="00A522C5"/>
    <w:rsid w:val="00A522FE"/>
    <w:rsid w:val="00A528BC"/>
    <w:rsid w:val="00A52990"/>
    <w:rsid w:val="00A533C3"/>
    <w:rsid w:val="00A5345B"/>
    <w:rsid w:val="00A537FE"/>
    <w:rsid w:val="00A53943"/>
    <w:rsid w:val="00A54176"/>
    <w:rsid w:val="00A54E47"/>
    <w:rsid w:val="00A55852"/>
    <w:rsid w:val="00A56146"/>
    <w:rsid w:val="00A563B9"/>
    <w:rsid w:val="00A56560"/>
    <w:rsid w:val="00A565E4"/>
    <w:rsid w:val="00A56B2A"/>
    <w:rsid w:val="00A56C01"/>
    <w:rsid w:val="00A56E7D"/>
    <w:rsid w:val="00A6001A"/>
    <w:rsid w:val="00A602F8"/>
    <w:rsid w:val="00A60778"/>
    <w:rsid w:val="00A60A7A"/>
    <w:rsid w:val="00A6132A"/>
    <w:rsid w:val="00A62A61"/>
    <w:rsid w:val="00A630A5"/>
    <w:rsid w:val="00A632E4"/>
    <w:rsid w:val="00A64C35"/>
    <w:rsid w:val="00A64E8F"/>
    <w:rsid w:val="00A65880"/>
    <w:rsid w:val="00A66219"/>
    <w:rsid w:val="00A66331"/>
    <w:rsid w:val="00A716C8"/>
    <w:rsid w:val="00A71752"/>
    <w:rsid w:val="00A71AEC"/>
    <w:rsid w:val="00A72A8C"/>
    <w:rsid w:val="00A7307C"/>
    <w:rsid w:val="00A73F9A"/>
    <w:rsid w:val="00A74EFF"/>
    <w:rsid w:val="00A7600F"/>
    <w:rsid w:val="00A76B54"/>
    <w:rsid w:val="00A77E21"/>
    <w:rsid w:val="00A80CC1"/>
    <w:rsid w:val="00A816A4"/>
    <w:rsid w:val="00A818B8"/>
    <w:rsid w:val="00A81D82"/>
    <w:rsid w:val="00A82083"/>
    <w:rsid w:val="00A830E4"/>
    <w:rsid w:val="00A83134"/>
    <w:rsid w:val="00A83741"/>
    <w:rsid w:val="00A8376C"/>
    <w:rsid w:val="00A83A41"/>
    <w:rsid w:val="00A849AE"/>
    <w:rsid w:val="00A85A99"/>
    <w:rsid w:val="00A85B06"/>
    <w:rsid w:val="00A8606E"/>
    <w:rsid w:val="00A86B87"/>
    <w:rsid w:val="00A86C56"/>
    <w:rsid w:val="00A8724E"/>
    <w:rsid w:val="00A90D33"/>
    <w:rsid w:val="00A91A42"/>
    <w:rsid w:val="00A92036"/>
    <w:rsid w:val="00A92368"/>
    <w:rsid w:val="00A9293E"/>
    <w:rsid w:val="00A92CAF"/>
    <w:rsid w:val="00A9336A"/>
    <w:rsid w:val="00A933D2"/>
    <w:rsid w:val="00A93E33"/>
    <w:rsid w:val="00A94876"/>
    <w:rsid w:val="00A94E9F"/>
    <w:rsid w:val="00A95455"/>
    <w:rsid w:val="00A97393"/>
    <w:rsid w:val="00A9747E"/>
    <w:rsid w:val="00AA012D"/>
    <w:rsid w:val="00AA0596"/>
    <w:rsid w:val="00AA09C8"/>
    <w:rsid w:val="00AA0B41"/>
    <w:rsid w:val="00AA12E0"/>
    <w:rsid w:val="00AA2040"/>
    <w:rsid w:val="00AA2204"/>
    <w:rsid w:val="00AA42F3"/>
    <w:rsid w:val="00AA5404"/>
    <w:rsid w:val="00AA5B91"/>
    <w:rsid w:val="00AA5FBE"/>
    <w:rsid w:val="00AA6D10"/>
    <w:rsid w:val="00AA74E5"/>
    <w:rsid w:val="00AA785A"/>
    <w:rsid w:val="00AB0BCE"/>
    <w:rsid w:val="00AB12AD"/>
    <w:rsid w:val="00AB132A"/>
    <w:rsid w:val="00AB2720"/>
    <w:rsid w:val="00AB29E0"/>
    <w:rsid w:val="00AB2ED8"/>
    <w:rsid w:val="00AB3163"/>
    <w:rsid w:val="00AB4683"/>
    <w:rsid w:val="00AB4699"/>
    <w:rsid w:val="00AB4D9B"/>
    <w:rsid w:val="00AB559F"/>
    <w:rsid w:val="00AB5A35"/>
    <w:rsid w:val="00AB6728"/>
    <w:rsid w:val="00AB6970"/>
    <w:rsid w:val="00AB6C49"/>
    <w:rsid w:val="00AB773B"/>
    <w:rsid w:val="00AB7C1F"/>
    <w:rsid w:val="00AC0870"/>
    <w:rsid w:val="00AC0AFA"/>
    <w:rsid w:val="00AC0DD7"/>
    <w:rsid w:val="00AC1939"/>
    <w:rsid w:val="00AC194D"/>
    <w:rsid w:val="00AC22FF"/>
    <w:rsid w:val="00AC3E6A"/>
    <w:rsid w:val="00AC44FA"/>
    <w:rsid w:val="00AC4514"/>
    <w:rsid w:val="00AC4908"/>
    <w:rsid w:val="00AC4A7A"/>
    <w:rsid w:val="00AC4EA1"/>
    <w:rsid w:val="00AC4FAC"/>
    <w:rsid w:val="00AC5E60"/>
    <w:rsid w:val="00AC5F00"/>
    <w:rsid w:val="00AC6135"/>
    <w:rsid w:val="00AC62F4"/>
    <w:rsid w:val="00AC692E"/>
    <w:rsid w:val="00AC7404"/>
    <w:rsid w:val="00AC7803"/>
    <w:rsid w:val="00AC7C05"/>
    <w:rsid w:val="00AD06C4"/>
    <w:rsid w:val="00AD0C05"/>
    <w:rsid w:val="00AD136D"/>
    <w:rsid w:val="00AD167C"/>
    <w:rsid w:val="00AD16AD"/>
    <w:rsid w:val="00AD17C7"/>
    <w:rsid w:val="00AD1D6C"/>
    <w:rsid w:val="00AD2C0C"/>
    <w:rsid w:val="00AD2FDE"/>
    <w:rsid w:val="00AD4041"/>
    <w:rsid w:val="00AD423F"/>
    <w:rsid w:val="00AD4DD5"/>
    <w:rsid w:val="00AD6E3B"/>
    <w:rsid w:val="00AD7803"/>
    <w:rsid w:val="00AD78D7"/>
    <w:rsid w:val="00AD78FC"/>
    <w:rsid w:val="00AE035A"/>
    <w:rsid w:val="00AE076D"/>
    <w:rsid w:val="00AE16A2"/>
    <w:rsid w:val="00AE1AFF"/>
    <w:rsid w:val="00AE2194"/>
    <w:rsid w:val="00AE2640"/>
    <w:rsid w:val="00AE26C3"/>
    <w:rsid w:val="00AE299B"/>
    <w:rsid w:val="00AE302B"/>
    <w:rsid w:val="00AE35F9"/>
    <w:rsid w:val="00AE39E8"/>
    <w:rsid w:val="00AE4F54"/>
    <w:rsid w:val="00AE55BC"/>
    <w:rsid w:val="00AE75B7"/>
    <w:rsid w:val="00AE76CA"/>
    <w:rsid w:val="00AE7FE1"/>
    <w:rsid w:val="00AF0E98"/>
    <w:rsid w:val="00AF0EEB"/>
    <w:rsid w:val="00AF1243"/>
    <w:rsid w:val="00AF1648"/>
    <w:rsid w:val="00AF259D"/>
    <w:rsid w:val="00AF31F0"/>
    <w:rsid w:val="00AF3AD4"/>
    <w:rsid w:val="00AF437C"/>
    <w:rsid w:val="00AF448C"/>
    <w:rsid w:val="00AF4939"/>
    <w:rsid w:val="00AF4BE7"/>
    <w:rsid w:val="00AF5954"/>
    <w:rsid w:val="00AF5D15"/>
    <w:rsid w:val="00AF614C"/>
    <w:rsid w:val="00AF6D83"/>
    <w:rsid w:val="00AF72BF"/>
    <w:rsid w:val="00B00A13"/>
    <w:rsid w:val="00B00D22"/>
    <w:rsid w:val="00B038DA"/>
    <w:rsid w:val="00B039DB"/>
    <w:rsid w:val="00B03A19"/>
    <w:rsid w:val="00B0408F"/>
    <w:rsid w:val="00B0569D"/>
    <w:rsid w:val="00B058FD"/>
    <w:rsid w:val="00B0664D"/>
    <w:rsid w:val="00B06B71"/>
    <w:rsid w:val="00B10137"/>
    <w:rsid w:val="00B11720"/>
    <w:rsid w:val="00B11871"/>
    <w:rsid w:val="00B13020"/>
    <w:rsid w:val="00B13E69"/>
    <w:rsid w:val="00B141A2"/>
    <w:rsid w:val="00B15651"/>
    <w:rsid w:val="00B15BA8"/>
    <w:rsid w:val="00B15CCE"/>
    <w:rsid w:val="00B15D39"/>
    <w:rsid w:val="00B168B1"/>
    <w:rsid w:val="00B17BEB"/>
    <w:rsid w:val="00B20391"/>
    <w:rsid w:val="00B20774"/>
    <w:rsid w:val="00B210DC"/>
    <w:rsid w:val="00B21231"/>
    <w:rsid w:val="00B22476"/>
    <w:rsid w:val="00B22665"/>
    <w:rsid w:val="00B2334C"/>
    <w:rsid w:val="00B248D5"/>
    <w:rsid w:val="00B259DF"/>
    <w:rsid w:val="00B25A17"/>
    <w:rsid w:val="00B261CD"/>
    <w:rsid w:val="00B275E7"/>
    <w:rsid w:val="00B27AE2"/>
    <w:rsid w:val="00B30E06"/>
    <w:rsid w:val="00B312DC"/>
    <w:rsid w:val="00B3168F"/>
    <w:rsid w:val="00B31823"/>
    <w:rsid w:val="00B321CF"/>
    <w:rsid w:val="00B329A2"/>
    <w:rsid w:val="00B32B13"/>
    <w:rsid w:val="00B32C64"/>
    <w:rsid w:val="00B33E63"/>
    <w:rsid w:val="00B343E3"/>
    <w:rsid w:val="00B348AB"/>
    <w:rsid w:val="00B36106"/>
    <w:rsid w:val="00B37AA7"/>
    <w:rsid w:val="00B401C8"/>
    <w:rsid w:val="00B410F4"/>
    <w:rsid w:val="00B41371"/>
    <w:rsid w:val="00B415E6"/>
    <w:rsid w:val="00B41770"/>
    <w:rsid w:val="00B41F7A"/>
    <w:rsid w:val="00B42994"/>
    <w:rsid w:val="00B42EA1"/>
    <w:rsid w:val="00B43305"/>
    <w:rsid w:val="00B43ED2"/>
    <w:rsid w:val="00B44255"/>
    <w:rsid w:val="00B44B1F"/>
    <w:rsid w:val="00B44C98"/>
    <w:rsid w:val="00B44CF3"/>
    <w:rsid w:val="00B454D9"/>
    <w:rsid w:val="00B45A3D"/>
    <w:rsid w:val="00B45CE2"/>
    <w:rsid w:val="00B460E6"/>
    <w:rsid w:val="00B461B9"/>
    <w:rsid w:val="00B50450"/>
    <w:rsid w:val="00B506E6"/>
    <w:rsid w:val="00B5129E"/>
    <w:rsid w:val="00B5157B"/>
    <w:rsid w:val="00B518B5"/>
    <w:rsid w:val="00B52654"/>
    <w:rsid w:val="00B52954"/>
    <w:rsid w:val="00B5500E"/>
    <w:rsid w:val="00B560DC"/>
    <w:rsid w:val="00B570AE"/>
    <w:rsid w:val="00B57438"/>
    <w:rsid w:val="00B5759A"/>
    <w:rsid w:val="00B609F5"/>
    <w:rsid w:val="00B60BDF"/>
    <w:rsid w:val="00B61C73"/>
    <w:rsid w:val="00B62337"/>
    <w:rsid w:val="00B62F0D"/>
    <w:rsid w:val="00B6311A"/>
    <w:rsid w:val="00B6318D"/>
    <w:rsid w:val="00B63518"/>
    <w:rsid w:val="00B63D86"/>
    <w:rsid w:val="00B64127"/>
    <w:rsid w:val="00B64141"/>
    <w:rsid w:val="00B642CB"/>
    <w:rsid w:val="00B64E72"/>
    <w:rsid w:val="00B663E3"/>
    <w:rsid w:val="00B667F7"/>
    <w:rsid w:val="00B66F4E"/>
    <w:rsid w:val="00B707D0"/>
    <w:rsid w:val="00B72FA4"/>
    <w:rsid w:val="00B730F7"/>
    <w:rsid w:val="00B73194"/>
    <w:rsid w:val="00B75647"/>
    <w:rsid w:val="00B75AEB"/>
    <w:rsid w:val="00B76E4F"/>
    <w:rsid w:val="00B7787A"/>
    <w:rsid w:val="00B77913"/>
    <w:rsid w:val="00B80511"/>
    <w:rsid w:val="00B80547"/>
    <w:rsid w:val="00B8096D"/>
    <w:rsid w:val="00B80BCE"/>
    <w:rsid w:val="00B80DEF"/>
    <w:rsid w:val="00B812E0"/>
    <w:rsid w:val="00B818C6"/>
    <w:rsid w:val="00B82264"/>
    <w:rsid w:val="00B824FB"/>
    <w:rsid w:val="00B82646"/>
    <w:rsid w:val="00B82A00"/>
    <w:rsid w:val="00B82AE7"/>
    <w:rsid w:val="00B83067"/>
    <w:rsid w:val="00B83DE0"/>
    <w:rsid w:val="00B86358"/>
    <w:rsid w:val="00B86F04"/>
    <w:rsid w:val="00B8764A"/>
    <w:rsid w:val="00B912A1"/>
    <w:rsid w:val="00B91712"/>
    <w:rsid w:val="00B9185B"/>
    <w:rsid w:val="00B91AE6"/>
    <w:rsid w:val="00B9203E"/>
    <w:rsid w:val="00B92E1A"/>
    <w:rsid w:val="00B93B93"/>
    <w:rsid w:val="00B93ECE"/>
    <w:rsid w:val="00B94215"/>
    <w:rsid w:val="00B95A75"/>
    <w:rsid w:val="00B97359"/>
    <w:rsid w:val="00B97A8F"/>
    <w:rsid w:val="00BA023B"/>
    <w:rsid w:val="00BA0547"/>
    <w:rsid w:val="00BA0C11"/>
    <w:rsid w:val="00BA1638"/>
    <w:rsid w:val="00BA16E3"/>
    <w:rsid w:val="00BA257E"/>
    <w:rsid w:val="00BA2AB6"/>
    <w:rsid w:val="00BA3560"/>
    <w:rsid w:val="00BA4601"/>
    <w:rsid w:val="00BA4E58"/>
    <w:rsid w:val="00BA6B84"/>
    <w:rsid w:val="00BA7074"/>
    <w:rsid w:val="00BB0274"/>
    <w:rsid w:val="00BB16AF"/>
    <w:rsid w:val="00BB1AD8"/>
    <w:rsid w:val="00BB1D66"/>
    <w:rsid w:val="00BB2BAA"/>
    <w:rsid w:val="00BB3A26"/>
    <w:rsid w:val="00BB461B"/>
    <w:rsid w:val="00BB582D"/>
    <w:rsid w:val="00BB5EBA"/>
    <w:rsid w:val="00BB62DE"/>
    <w:rsid w:val="00BB6E07"/>
    <w:rsid w:val="00BB75BA"/>
    <w:rsid w:val="00BB7829"/>
    <w:rsid w:val="00BB7907"/>
    <w:rsid w:val="00BB7B6D"/>
    <w:rsid w:val="00BB7EF2"/>
    <w:rsid w:val="00BC0539"/>
    <w:rsid w:val="00BC05B8"/>
    <w:rsid w:val="00BC0CE8"/>
    <w:rsid w:val="00BC16C8"/>
    <w:rsid w:val="00BC1A02"/>
    <w:rsid w:val="00BC2495"/>
    <w:rsid w:val="00BC275F"/>
    <w:rsid w:val="00BC31BB"/>
    <w:rsid w:val="00BC373C"/>
    <w:rsid w:val="00BC3CD4"/>
    <w:rsid w:val="00BC44EB"/>
    <w:rsid w:val="00BC559C"/>
    <w:rsid w:val="00BC795E"/>
    <w:rsid w:val="00BD0766"/>
    <w:rsid w:val="00BD091A"/>
    <w:rsid w:val="00BD092B"/>
    <w:rsid w:val="00BD09AF"/>
    <w:rsid w:val="00BD0C54"/>
    <w:rsid w:val="00BD1457"/>
    <w:rsid w:val="00BD1692"/>
    <w:rsid w:val="00BD23CD"/>
    <w:rsid w:val="00BD3825"/>
    <w:rsid w:val="00BD3F0C"/>
    <w:rsid w:val="00BD4117"/>
    <w:rsid w:val="00BD4175"/>
    <w:rsid w:val="00BD50CF"/>
    <w:rsid w:val="00BD57B5"/>
    <w:rsid w:val="00BD6300"/>
    <w:rsid w:val="00BD6595"/>
    <w:rsid w:val="00BD6697"/>
    <w:rsid w:val="00BD66E6"/>
    <w:rsid w:val="00BD67FF"/>
    <w:rsid w:val="00BD6FA5"/>
    <w:rsid w:val="00BD7FDB"/>
    <w:rsid w:val="00BE0331"/>
    <w:rsid w:val="00BE24C5"/>
    <w:rsid w:val="00BE27B9"/>
    <w:rsid w:val="00BE2AD9"/>
    <w:rsid w:val="00BE2CAC"/>
    <w:rsid w:val="00BE3145"/>
    <w:rsid w:val="00BE31FB"/>
    <w:rsid w:val="00BE3E59"/>
    <w:rsid w:val="00BE433A"/>
    <w:rsid w:val="00BE45D0"/>
    <w:rsid w:val="00BE4829"/>
    <w:rsid w:val="00BE4A2F"/>
    <w:rsid w:val="00BE537B"/>
    <w:rsid w:val="00BE5F99"/>
    <w:rsid w:val="00BE694E"/>
    <w:rsid w:val="00BE6D42"/>
    <w:rsid w:val="00BE7288"/>
    <w:rsid w:val="00BE7CCC"/>
    <w:rsid w:val="00BF1202"/>
    <w:rsid w:val="00BF1C08"/>
    <w:rsid w:val="00BF2031"/>
    <w:rsid w:val="00BF27FE"/>
    <w:rsid w:val="00BF4135"/>
    <w:rsid w:val="00BF4526"/>
    <w:rsid w:val="00BF4B10"/>
    <w:rsid w:val="00BF67F7"/>
    <w:rsid w:val="00C000A5"/>
    <w:rsid w:val="00C00145"/>
    <w:rsid w:val="00C0163D"/>
    <w:rsid w:val="00C0348D"/>
    <w:rsid w:val="00C03687"/>
    <w:rsid w:val="00C043B3"/>
    <w:rsid w:val="00C04F52"/>
    <w:rsid w:val="00C061B8"/>
    <w:rsid w:val="00C062F2"/>
    <w:rsid w:val="00C0693E"/>
    <w:rsid w:val="00C06E3B"/>
    <w:rsid w:val="00C079AB"/>
    <w:rsid w:val="00C079CC"/>
    <w:rsid w:val="00C079FA"/>
    <w:rsid w:val="00C10CA8"/>
    <w:rsid w:val="00C10E61"/>
    <w:rsid w:val="00C11AB9"/>
    <w:rsid w:val="00C123C4"/>
    <w:rsid w:val="00C12656"/>
    <w:rsid w:val="00C13137"/>
    <w:rsid w:val="00C13537"/>
    <w:rsid w:val="00C13D99"/>
    <w:rsid w:val="00C14787"/>
    <w:rsid w:val="00C1491B"/>
    <w:rsid w:val="00C1596D"/>
    <w:rsid w:val="00C15A4B"/>
    <w:rsid w:val="00C15B8D"/>
    <w:rsid w:val="00C15BEA"/>
    <w:rsid w:val="00C15EEE"/>
    <w:rsid w:val="00C1644B"/>
    <w:rsid w:val="00C17010"/>
    <w:rsid w:val="00C1746D"/>
    <w:rsid w:val="00C178C8"/>
    <w:rsid w:val="00C17EB7"/>
    <w:rsid w:val="00C20562"/>
    <w:rsid w:val="00C21043"/>
    <w:rsid w:val="00C215C3"/>
    <w:rsid w:val="00C21B1F"/>
    <w:rsid w:val="00C22084"/>
    <w:rsid w:val="00C22D2E"/>
    <w:rsid w:val="00C23A96"/>
    <w:rsid w:val="00C23F7C"/>
    <w:rsid w:val="00C249C6"/>
    <w:rsid w:val="00C24AAB"/>
    <w:rsid w:val="00C25935"/>
    <w:rsid w:val="00C27DA6"/>
    <w:rsid w:val="00C3086E"/>
    <w:rsid w:val="00C312F8"/>
    <w:rsid w:val="00C31BE6"/>
    <w:rsid w:val="00C31C11"/>
    <w:rsid w:val="00C32CC1"/>
    <w:rsid w:val="00C32F90"/>
    <w:rsid w:val="00C338C2"/>
    <w:rsid w:val="00C33EE6"/>
    <w:rsid w:val="00C34F11"/>
    <w:rsid w:val="00C35D86"/>
    <w:rsid w:val="00C368EE"/>
    <w:rsid w:val="00C370C4"/>
    <w:rsid w:val="00C426EC"/>
    <w:rsid w:val="00C4274E"/>
    <w:rsid w:val="00C43957"/>
    <w:rsid w:val="00C43E1B"/>
    <w:rsid w:val="00C50213"/>
    <w:rsid w:val="00C50A64"/>
    <w:rsid w:val="00C50AD0"/>
    <w:rsid w:val="00C50C61"/>
    <w:rsid w:val="00C515BB"/>
    <w:rsid w:val="00C52CB7"/>
    <w:rsid w:val="00C53486"/>
    <w:rsid w:val="00C53595"/>
    <w:rsid w:val="00C53AF8"/>
    <w:rsid w:val="00C53B86"/>
    <w:rsid w:val="00C53DE2"/>
    <w:rsid w:val="00C53EC8"/>
    <w:rsid w:val="00C540D7"/>
    <w:rsid w:val="00C561E7"/>
    <w:rsid w:val="00C5687E"/>
    <w:rsid w:val="00C56C08"/>
    <w:rsid w:val="00C609BC"/>
    <w:rsid w:val="00C616F7"/>
    <w:rsid w:val="00C61F0C"/>
    <w:rsid w:val="00C62161"/>
    <w:rsid w:val="00C635D9"/>
    <w:rsid w:val="00C63B22"/>
    <w:rsid w:val="00C6465C"/>
    <w:rsid w:val="00C6483C"/>
    <w:rsid w:val="00C64AE9"/>
    <w:rsid w:val="00C64B25"/>
    <w:rsid w:val="00C651A4"/>
    <w:rsid w:val="00C65857"/>
    <w:rsid w:val="00C65E54"/>
    <w:rsid w:val="00C66366"/>
    <w:rsid w:val="00C706C6"/>
    <w:rsid w:val="00C70CFF"/>
    <w:rsid w:val="00C711A0"/>
    <w:rsid w:val="00C718FE"/>
    <w:rsid w:val="00C732A3"/>
    <w:rsid w:val="00C73754"/>
    <w:rsid w:val="00C73B78"/>
    <w:rsid w:val="00C740A1"/>
    <w:rsid w:val="00C74406"/>
    <w:rsid w:val="00C750D0"/>
    <w:rsid w:val="00C756D8"/>
    <w:rsid w:val="00C7740B"/>
    <w:rsid w:val="00C77625"/>
    <w:rsid w:val="00C80AD0"/>
    <w:rsid w:val="00C81862"/>
    <w:rsid w:val="00C81D4A"/>
    <w:rsid w:val="00C828EA"/>
    <w:rsid w:val="00C835BC"/>
    <w:rsid w:val="00C837FD"/>
    <w:rsid w:val="00C83A4E"/>
    <w:rsid w:val="00C83C81"/>
    <w:rsid w:val="00C83F71"/>
    <w:rsid w:val="00C84C56"/>
    <w:rsid w:val="00C854AF"/>
    <w:rsid w:val="00C855B1"/>
    <w:rsid w:val="00C85EBF"/>
    <w:rsid w:val="00C85EEA"/>
    <w:rsid w:val="00C862DA"/>
    <w:rsid w:val="00C86496"/>
    <w:rsid w:val="00C8773D"/>
    <w:rsid w:val="00C877F9"/>
    <w:rsid w:val="00C8782A"/>
    <w:rsid w:val="00C87ABB"/>
    <w:rsid w:val="00C9089D"/>
    <w:rsid w:val="00C91831"/>
    <w:rsid w:val="00C91AEB"/>
    <w:rsid w:val="00C91D14"/>
    <w:rsid w:val="00C9226E"/>
    <w:rsid w:val="00C9234B"/>
    <w:rsid w:val="00C9284C"/>
    <w:rsid w:val="00C930E6"/>
    <w:rsid w:val="00C935E3"/>
    <w:rsid w:val="00C94CE7"/>
    <w:rsid w:val="00C95392"/>
    <w:rsid w:val="00C953DF"/>
    <w:rsid w:val="00C95E2E"/>
    <w:rsid w:val="00C9657C"/>
    <w:rsid w:val="00C96B57"/>
    <w:rsid w:val="00C970AC"/>
    <w:rsid w:val="00CA08D6"/>
    <w:rsid w:val="00CA123F"/>
    <w:rsid w:val="00CA1FEC"/>
    <w:rsid w:val="00CA2905"/>
    <w:rsid w:val="00CA30AD"/>
    <w:rsid w:val="00CA36F5"/>
    <w:rsid w:val="00CA3FE4"/>
    <w:rsid w:val="00CA4138"/>
    <w:rsid w:val="00CA4AD1"/>
    <w:rsid w:val="00CA5DC2"/>
    <w:rsid w:val="00CA63D3"/>
    <w:rsid w:val="00CA6A5D"/>
    <w:rsid w:val="00CA7085"/>
    <w:rsid w:val="00CA71C8"/>
    <w:rsid w:val="00CA750D"/>
    <w:rsid w:val="00CA75F1"/>
    <w:rsid w:val="00CA77F0"/>
    <w:rsid w:val="00CA7B44"/>
    <w:rsid w:val="00CB129B"/>
    <w:rsid w:val="00CB135A"/>
    <w:rsid w:val="00CB1E52"/>
    <w:rsid w:val="00CB21F9"/>
    <w:rsid w:val="00CB2FD7"/>
    <w:rsid w:val="00CB305F"/>
    <w:rsid w:val="00CB3F74"/>
    <w:rsid w:val="00CB5E3A"/>
    <w:rsid w:val="00CB6217"/>
    <w:rsid w:val="00CB6B22"/>
    <w:rsid w:val="00CC02EC"/>
    <w:rsid w:val="00CC09F5"/>
    <w:rsid w:val="00CC1C1E"/>
    <w:rsid w:val="00CC35CE"/>
    <w:rsid w:val="00CC58D0"/>
    <w:rsid w:val="00CC777A"/>
    <w:rsid w:val="00CD09E8"/>
    <w:rsid w:val="00CD0AAC"/>
    <w:rsid w:val="00CD0D8D"/>
    <w:rsid w:val="00CD3B3C"/>
    <w:rsid w:val="00CD4084"/>
    <w:rsid w:val="00CD4222"/>
    <w:rsid w:val="00CD48E3"/>
    <w:rsid w:val="00CD5B33"/>
    <w:rsid w:val="00CD5C97"/>
    <w:rsid w:val="00CD602A"/>
    <w:rsid w:val="00CD79A2"/>
    <w:rsid w:val="00CE0017"/>
    <w:rsid w:val="00CE03B8"/>
    <w:rsid w:val="00CE0419"/>
    <w:rsid w:val="00CE0822"/>
    <w:rsid w:val="00CE0A01"/>
    <w:rsid w:val="00CE1DB2"/>
    <w:rsid w:val="00CE2396"/>
    <w:rsid w:val="00CE24E9"/>
    <w:rsid w:val="00CE2709"/>
    <w:rsid w:val="00CE2850"/>
    <w:rsid w:val="00CE2B32"/>
    <w:rsid w:val="00CE2D64"/>
    <w:rsid w:val="00CE3311"/>
    <w:rsid w:val="00CE3678"/>
    <w:rsid w:val="00CE39B4"/>
    <w:rsid w:val="00CE3AFE"/>
    <w:rsid w:val="00CE3EAD"/>
    <w:rsid w:val="00CE5472"/>
    <w:rsid w:val="00CE6198"/>
    <w:rsid w:val="00CF0028"/>
    <w:rsid w:val="00CF00BD"/>
    <w:rsid w:val="00CF0474"/>
    <w:rsid w:val="00CF082E"/>
    <w:rsid w:val="00CF0856"/>
    <w:rsid w:val="00CF0A03"/>
    <w:rsid w:val="00CF136D"/>
    <w:rsid w:val="00CF1E33"/>
    <w:rsid w:val="00CF1FD3"/>
    <w:rsid w:val="00CF2544"/>
    <w:rsid w:val="00CF2F7A"/>
    <w:rsid w:val="00CF35F9"/>
    <w:rsid w:val="00CF3631"/>
    <w:rsid w:val="00CF3C9E"/>
    <w:rsid w:val="00CF3D3E"/>
    <w:rsid w:val="00CF5CD7"/>
    <w:rsid w:val="00CF60A5"/>
    <w:rsid w:val="00CF6230"/>
    <w:rsid w:val="00CF697E"/>
    <w:rsid w:val="00CF6BF8"/>
    <w:rsid w:val="00CF7188"/>
    <w:rsid w:val="00D006BE"/>
    <w:rsid w:val="00D00F6A"/>
    <w:rsid w:val="00D015EC"/>
    <w:rsid w:val="00D017FC"/>
    <w:rsid w:val="00D0226A"/>
    <w:rsid w:val="00D02AC6"/>
    <w:rsid w:val="00D0341E"/>
    <w:rsid w:val="00D03AE4"/>
    <w:rsid w:val="00D040EC"/>
    <w:rsid w:val="00D04502"/>
    <w:rsid w:val="00D04515"/>
    <w:rsid w:val="00D05336"/>
    <w:rsid w:val="00D06089"/>
    <w:rsid w:val="00D06704"/>
    <w:rsid w:val="00D06B2C"/>
    <w:rsid w:val="00D06FE8"/>
    <w:rsid w:val="00D1065E"/>
    <w:rsid w:val="00D11F08"/>
    <w:rsid w:val="00D1256B"/>
    <w:rsid w:val="00D12C9D"/>
    <w:rsid w:val="00D13147"/>
    <w:rsid w:val="00D13606"/>
    <w:rsid w:val="00D1412C"/>
    <w:rsid w:val="00D148EF"/>
    <w:rsid w:val="00D15550"/>
    <w:rsid w:val="00D15D57"/>
    <w:rsid w:val="00D1632E"/>
    <w:rsid w:val="00D17B5C"/>
    <w:rsid w:val="00D22D19"/>
    <w:rsid w:val="00D24285"/>
    <w:rsid w:val="00D255A8"/>
    <w:rsid w:val="00D25946"/>
    <w:rsid w:val="00D25BE6"/>
    <w:rsid w:val="00D263AB"/>
    <w:rsid w:val="00D27CA7"/>
    <w:rsid w:val="00D305E1"/>
    <w:rsid w:val="00D31E68"/>
    <w:rsid w:val="00D3375D"/>
    <w:rsid w:val="00D3379A"/>
    <w:rsid w:val="00D35702"/>
    <w:rsid w:val="00D357D7"/>
    <w:rsid w:val="00D360C8"/>
    <w:rsid w:val="00D36C9D"/>
    <w:rsid w:val="00D37E1C"/>
    <w:rsid w:val="00D406FF"/>
    <w:rsid w:val="00D40BCD"/>
    <w:rsid w:val="00D40C02"/>
    <w:rsid w:val="00D41256"/>
    <w:rsid w:val="00D418E6"/>
    <w:rsid w:val="00D42684"/>
    <w:rsid w:val="00D436A3"/>
    <w:rsid w:val="00D437B7"/>
    <w:rsid w:val="00D445DB"/>
    <w:rsid w:val="00D44D51"/>
    <w:rsid w:val="00D45CF6"/>
    <w:rsid w:val="00D472DE"/>
    <w:rsid w:val="00D47DD3"/>
    <w:rsid w:val="00D50269"/>
    <w:rsid w:val="00D50F7F"/>
    <w:rsid w:val="00D5176A"/>
    <w:rsid w:val="00D518E9"/>
    <w:rsid w:val="00D51981"/>
    <w:rsid w:val="00D51EF4"/>
    <w:rsid w:val="00D525FA"/>
    <w:rsid w:val="00D52A81"/>
    <w:rsid w:val="00D541B7"/>
    <w:rsid w:val="00D560D5"/>
    <w:rsid w:val="00D56548"/>
    <w:rsid w:val="00D57035"/>
    <w:rsid w:val="00D5715A"/>
    <w:rsid w:val="00D57863"/>
    <w:rsid w:val="00D57ED9"/>
    <w:rsid w:val="00D61349"/>
    <w:rsid w:val="00D6142B"/>
    <w:rsid w:val="00D61468"/>
    <w:rsid w:val="00D61F48"/>
    <w:rsid w:val="00D626BF"/>
    <w:rsid w:val="00D63941"/>
    <w:rsid w:val="00D63C1C"/>
    <w:rsid w:val="00D63E8E"/>
    <w:rsid w:val="00D648DC"/>
    <w:rsid w:val="00D6562A"/>
    <w:rsid w:val="00D65DF7"/>
    <w:rsid w:val="00D662C8"/>
    <w:rsid w:val="00D66FF2"/>
    <w:rsid w:val="00D672F3"/>
    <w:rsid w:val="00D67F94"/>
    <w:rsid w:val="00D70F84"/>
    <w:rsid w:val="00D713E6"/>
    <w:rsid w:val="00D71687"/>
    <w:rsid w:val="00D71CA8"/>
    <w:rsid w:val="00D74391"/>
    <w:rsid w:val="00D74813"/>
    <w:rsid w:val="00D74C03"/>
    <w:rsid w:val="00D74FE5"/>
    <w:rsid w:val="00D7508A"/>
    <w:rsid w:val="00D7532A"/>
    <w:rsid w:val="00D755F0"/>
    <w:rsid w:val="00D757E0"/>
    <w:rsid w:val="00D77160"/>
    <w:rsid w:val="00D772BE"/>
    <w:rsid w:val="00D778EC"/>
    <w:rsid w:val="00D77CAF"/>
    <w:rsid w:val="00D77D8A"/>
    <w:rsid w:val="00D8033B"/>
    <w:rsid w:val="00D8213E"/>
    <w:rsid w:val="00D832E7"/>
    <w:rsid w:val="00D83D8C"/>
    <w:rsid w:val="00D851D1"/>
    <w:rsid w:val="00D85F06"/>
    <w:rsid w:val="00D86C8A"/>
    <w:rsid w:val="00D870C4"/>
    <w:rsid w:val="00D8767B"/>
    <w:rsid w:val="00D91E8A"/>
    <w:rsid w:val="00D92CB0"/>
    <w:rsid w:val="00D94085"/>
    <w:rsid w:val="00D9420C"/>
    <w:rsid w:val="00D9422E"/>
    <w:rsid w:val="00D945D1"/>
    <w:rsid w:val="00D94B01"/>
    <w:rsid w:val="00D95378"/>
    <w:rsid w:val="00D954D1"/>
    <w:rsid w:val="00D968F8"/>
    <w:rsid w:val="00DA03A3"/>
    <w:rsid w:val="00DA0704"/>
    <w:rsid w:val="00DA086C"/>
    <w:rsid w:val="00DA08CE"/>
    <w:rsid w:val="00DA0ECF"/>
    <w:rsid w:val="00DA2D89"/>
    <w:rsid w:val="00DA30BC"/>
    <w:rsid w:val="00DA456C"/>
    <w:rsid w:val="00DA69C2"/>
    <w:rsid w:val="00DA6D70"/>
    <w:rsid w:val="00DA6F34"/>
    <w:rsid w:val="00DA7265"/>
    <w:rsid w:val="00DA7538"/>
    <w:rsid w:val="00DA77E9"/>
    <w:rsid w:val="00DA7CCE"/>
    <w:rsid w:val="00DB4217"/>
    <w:rsid w:val="00DB45B3"/>
    <w:rsid w:val="00DB4B2D"/>
    <w:rsid w:val="00DB513A"/>
    <w:rsid w:val="00DB515A"/>
    <w:rsid w:val="00DB5BEA"/>
    <w:rsid w:val="00DB6050"/>
    <w:rsid w:val="00DB6052"/>
    <w:rsid w:val="00DB6B0E"/>
    <w:rsid w:val="00DC0FAF"/>
    <w:rsid w:val="00DC1776"/>
    <w:rsid w:val="00DC2B79"/>
    <w:rsid w:val="00DC2C34"/>
    <w:rsid w:val="00DC324A"/>
    <w:rsid w:val="00DC324B"/>
    <w:rsid w:val="00DC48C7"/>
    <w:rsid w:val="00DC4909"/>
    <w:rsid w:val="00DC4996"/>
    <w:rsid w:val="00DC5142"/>
    <w:rsid w:val="00DC51F3"/>
    <w:rsid w:val="00DC52B1"/>
    <w:rsid w:val="00DC572F"/>
    <w:rsid w:val="00DC743F"/>
    <w:rsid w:val="00DC784B"/>
    <w:rsid w:val="00DC7B5F"/>
    <w:rsid w:val="00DD0B18"/>
    <w:rsid w:val="00DD0E7F"/>
    <w:rsid w:val="00DD10E3"/>
    <w:rsid w:val="00DD3138"/>
    <w:rsid w:val="00DD3DE4"/>
    <w:rsid w:val="00DD48F9"/>
    <w:rsid w:val="00DD68BB"/>
    <w:rsid w:val="00DD6F43"/>
    <w:rsid w:val="00DD71F9"/>
    <w:rsid w:val="00DE0702"/>
    <w:rsid w:val="00DE1A18"/>
    <w:rsid w:val="00DE2C87"/>
    <w:rsid w:val="00DE2CCB"/>
    <w:rsid w:val="00DE3282"/>
    <w:rsid w:val="00DE3CCE"/>
    <w:rsid w:val="00DE3F7E"/>
    <w:rsid w:val="00DE459A"/>
    <w:rsid w:val="00DE4815"/>
    <w:rsid w:val="00DE4A26"/>
    <w:rsid w:val="00DE4DB8"/>
    <w:rsid w:val="00DE5FCD"/>
    <w:rsid w:val="00DE61C7"/>
    <w:rsid w:val="00DE64D7"/>
    <w:rsid w:val="00DE6AA6"/>
    <w:rsid w:val="00DE6D92"/>
    <w:rsid w:val="00DE6EA7"/>
    <w:rsid w:val="00DE7097"/>
    <w:rsid w:val="00DE785E"/>
    <w:rsid w:val="00DF0ACC"/>
    <w:rsid w:val="00DF27DA"/>
    <w:rsid w:val="00DF2AB8"/>
    <w:rsid w:val="00DF3492"/>
    <w:rsid w:val="00DF3496"/>
    <w:rsid w:val="00DF373A"/>
    <w:rsid w:val="00DF37DA"/>
    <w:rsid w:val="00DF3A65"/>
    <w:rsid w:val="00DF3A75"/>
    <w:rsid w:val="00DF42BD"/>
    <w:rsid w:val="00DF4DBE"/>
    <w:rsid w:val="00DF5EB6"/>
    <w:rsid w:val="00DF63D4"/>
    <w:rsid w:val="00DF6890"/>
    <w:rsid w:val="00DF7502"/>
    <w:rsid w:val="00DF7A01"/>
    <w:rsid w:val="00DF7A07"/>
    <w:rsid w:val="00E00A18"/>
    <w:rsid w:val="00E00FD2"/>
    <w:rsid w:val="00E01077"/>
    <w:rsid w:val="00E021F4"/>
    <w:rsid w:val="00E02C13"/>
    <w:rsid w:val="00E02F08"/>
    <w:rsid w:val="00E03222"/>
    <w:rsid w:val="00E0324E"/>
    <w:rsid w:val="00E036E9"/>
    <w:rsid w:val="00E0517A"/>
    <w:rsid w:val="00E051DE"/>
    <w:rsid w:val="00E05A3D"/>
    <w:rsid w:val="00E06633"/>
    <w:rsid w:val="00E06D53"/>
    <w:rsid w:val="00E06F04"/>
    <w:rsid w:val="00E074D2"/>
    <w:rsid w:val="00E07803"/>
    <w:rsid w:val="00E07C60"/>
    <w:rsid w:val="00E07CBF"/>
    <w:rsid w:val="00E102F1"/>
    <w:rsid w:val="00E1176F"/>
    <w:rsid w:val="00E11A9C"/>
    <w:rsid w:val="00E12346"/>
    <w:rsid w:val="00E124D5"/>
    <w:rsid w:val="00E12A83"/>
    <w:rsid w:val="00E12DA2"/>
    <w:rsid w:val="00E14080"/>
    <w:rsid w:val="00E14100"/>
    <w:rsid w:val="00E14291"/>
    <w:rsid w:val="00E14301"/>
    <w:rsid w:val="00E148B5"/>
    <w:rsid w:val="00E14AE0"/>
    <w:rsid w:val="00E151D1"/>
    <w:rsid w:val="00E1609E"/>
    <w:rsid w:val="00E16B4F"/>
    <w:rsid w:val="00E17983"/>
    <w:rsid w:val="00E20090"/>
    <w:rsid w:val="00E2032B"/>
    <w:rsid w:val="00E20B32"/>
    <w:rsid w:val="00E210B4"/>
    <w:rsid w:val="00E21FB7"/>
    <w:rsid w:val="00E221DC"/>
    <w:rsid w:val="00E23F06"/>
    <w:rsid w:val="00E24195"/>
    <w:rsid w:val="00E24545"/>
    <w:rsid w:val="00E2471D"/>
    <w:rsid w:val="00E24A3E"/>
    <w:rsid w:val="00E24FF5"/>
    <w:rsid w:val="00E25792"/>
    <w:rsid w:val="00E25C95"/>
    <w:rsid w:val="00E2648F"/>
    <w:rsid w:val="00E26652"/>
    <w:rsid w:val="00E27588"/>
    <w:rsid w:val="00E30920"/>
    <w:rsid w:val="00E309C5"/>
    <w:rsid w:val="00E309C8"/>
    <w:rsid w:val="00E30C0C"/>
    <w:rsid w:val="00E31508"/>
    <w:rsid w:val="00E31620"/>
    <w:rsid w:val="00E33078"/>
    <w:rsid w:val="00E334A1"/>
    <w:rsid w:val="00E336B9"/>
    <w:rsid w:val="00E34607"/>
    <w:rsid w:val="00E34872"/>
    <w:rsid w:val="00E35089"/>
    <w:rsid w:val="00E356DE"/>
    <w:rsid w:val="00E35A64"/>
    <w:rsid w:val="00E35EDD"/>
    <w:rsid w:val="00E37339"/>
    <w:rsid w:val="00E3751D"/>
    <w:rsid w:val="00E37E10"/>
    <w:rsid w:val="00E37F7B"/>
    <w:rsid w:val="00E40820"/>
    <w:rsid w:val="00E40B34"/>
    <w:rsid w:val="00E41147"/>
    <w:rsid w:val="00E41297"/>
    <w:rsid w:val="00E41976"/>
    <w:rsid w:val="00E41A73"/>
    <w:rsid w:val="00E422FB"/>
    <w:rsid w:val="00E424AE"/>
    <w:rsid w:val="00E42BC1"/>
    <w:rsid w:val="00E42FBD"/>
    <w:rsid w:val="00E43135"/>
    <w:rsid w:val="00E43349"/>
    <w:rsid w:val="00E43CBE"/>
    <w:rsid w:val="00E4479F"/>
    <w:rsid w:val="00E4658F"/>
    <w:rsid w:val="00E47CC9"/>
    <w:rsid w:val="00E5080D"/>
    <w:rsid w:val="00E50894"/>
    <w:rsid w:val="00E508CC"/>
    <w:rsid w:val="00E50D66"/>
    <w:rsid w:val="00E523B7"/>
    <w:rsid w:val="00E52863"/>
    <w:rsid w:val="00E52B5C"/>
    <w:rsid w:val="00E539A9"/>
    <w:rsid w:val="00E53E08"/>
    <w:rsid w:val="00E54A67"/>
    <w:rsid w:val="00E54BB9"/>
    <w:rsid w:val="00E54D51"/>
    <w:rsid w:val="00E54E17"/>
    <w:rsid w:val="00E55D59"/>
    <w:rsid w:val="00E56A3D"/>
    <w:rsid w:val="00E56DCB"/>
    <w:rsid w:val="00E57DB9"/>
    <w:rsid w:val="00E57E3D"/>
    <w:rsid w:val="00E60192"/>
    <w:rsid w:val="00E60777"/>
    <w:rsid w:val="00E60FB6"/>
    <w:rsid w:val="00E61C0D"/>
    <w:rsid w:val="00E63B0B"/>
    <w:rsid w:val="00E63EB4"/>
    <w:rsid w:val="00E64052"/>
    <w:rsid w:val="00E64912"/>
    <w:rsid w:val="00E64F30"/>
    <w:rsid w:val="00E656C3"/>
    <w:rsid w:val="00E65A0D"/>
    <w:rsid w:val="00E65F96"/>
    <w:rsid w:val="00E66160"/>
    <w:rsid w:val="00E67022"/>
    <w:rsid w:val="00E7013D"/>
    <w:rsid w:val="00E701C6"/>
    <w:rsid w:val="00E70512"/>
    <w:rsid w:val="00E70786"/>
    <w:rsid w:val="00E71329"/>
    <w:rsid w:val="00E71AC9"/>
    <w:rsid w:val="00E72A56"/>
    <w:rsid w:val="00E738E6"/>
    <w:rsid w:val="00E744FB"/>
    <w:rsid w:val="00E7472A"/>
    <w:rsid w:val="00E74933"/>
    <w:rsid w:val="00E74C39"/>
    <w:rsid w:val="00E74EA0"/>
    <w:rsid w:val="00E75429"/>
    <w:rsid w:val="00E76BC1"/>
    <w:rsid w:val="00E77AC3"/>
    <w:rsid w:val="00E77C28"/>
    <w:rsid w:val="00E77E02"/>
    <w:rsid w:val="00E801E2"/>
    <w:rsid w:val="00E813C3"/>
    <w:rsid w:val="00E81543"/>
    <w:rsid w:val="00E81888"/>
    <w:rsid w:val="00E81BE1"/>
    <w:rsid w:val="00E81CE9"/>
    <w:rsid w:val="00E81D17"/>
    <w:rsid w:val="00E82739"/>
    <w:rsid w:val="00E82F17"/>
    <w:rsid w:val="00E8324B"/>
    <w:rsid w:val="00E8363B"/>
    <w:rsid w:val="00E83E1A"/>
    <w:rsid w:val="00E83FF5"/>
    <w:rsid w:val="00E84328"/>
    <w:rsid w:val="00E84966"/>
    <w:rsid w:val="00E85E61"/>
    <w:rsid w:val="00E87230"/>
    <w:rsid w:val="00E87D38"/>
    <w:rsid w:val="00E903D9"/>
    <w:rsid w:val="00E90780"/>
    <w:rsid w:val="00E90A0D"/>
    <w:rsid w:val="00E9108F"/>
    <w:rsid w:val="00E913E0"/>
    <w:rsid w:val="00E91A20"/>
    <w:rsid w:val="00E922EF"/>
    <w:rsid w:val="00E92383"/>
    <w:rsid w:val="00E92A80"/>
    <w:rsid w:val="00E94807"/>
    <w:rsid w:val="00E9483F"/>
    <w:rsid w:val="00E9489D"/>
    <w:rsid w:val="00E94FA6"/>
    <w:rsid w:val="00E972BA"/>
    <w:rsid w:val="00E977F5"/>
    <w:rsid w:val="00EA0909"/>
    <w:rsid w:val="00EA093C"/>
    <w:rsid w:val="00EA15A5"/>
    <w:rsid w:val="00EA1605"/>
    <w:rsid w:val="00EA1B3A"/>
    <w:rsid w:val="00EA2109"/>
    <w:rsid w:val="00EA25A6"/>
    <w:rsid w:val="00EA2939"/>
    <w:rsid w:val="00EA2B7F"/>
    <w:rsid w:val="00EA3737"/>
    <w:rsid w:val="00EA3DA7"/>
    <w:rsid w:val="00EA4413"/>
    <w:rsid w:val="00EA4DAF"/>
    <w:rsid w:val="00EA59B4"/>
    <w:rsid w:val="00EA5B50"/>
    <w:rsid w:val="00EA658F"/>
    <w:rsid w:val="00EA675A"/>
    <w:rsid w:val="00EA6D5D"/>
    <w:rsid w:val="00EA7349"/>
    <w:rsid w:val="00EB0103"/>
    <w:rsid w:val="00EB0778"/>
    <w:rsid w:val="00EB0BFF"/>
    <w:rsid w:val="00EB18EF"/>
    <w:rsid w:val="00EB2DC0"/>
    <w:rsid w:val="00EB4F50"/>
    <w:rsid w:val="00EB546F"/>
    <w:rsid w:val="00EB570F"/>
    <w:rsid w:val="00EB6563"/>
    <w:rsid w:val="00EB71BE"/>
    <w:rsid w:val="00EC0A33"/>
    <w:rsid w:val="00EC0D7E"/>
    <w:rsid w:val="00EC1017"/>
    <w:rsid w:val="00EC1125"/>
    <w:rsid w:val="00EC1778"/>
    <w:rsid w:val="00EC2112"/>
    <w:rsid w:val="00EC30B6"/>
    <w:rsid w:val="00EC31E7"/>
    <w:rsid w:val="00EC330D"/>
    <w:rsid w:val="00EC48B2"/>
    <w:rsid w:val="00EC5A5B"/>
    <w:rsid w:val="00EC74DA"/>
    <w:rsid w:val="00EC7C42"/>
    <w:rsid w:val="00EC7F0F"/>
    <w:rsid w:val="00EC7F32"/>
    <w:rsid w:val="00EC7FA9"/>
    <w:rsid w:val="00ED0D9B"/>
    <w:rsid w:val="00ED0F5C"/>
    <w:rsid w:val="00ED10A5"/>
    <w:rsid w:val="00ED39DF"/>
    <w:rsid w:val="00ED3B42"/>
    <w:rsid w:val="00ED4ABC"/>
    <w:rsid w:val="00ED4B7E"/>
    <w:rsid w:val="00ED4D4E"/>
    <w:rsid w:val="00ED4FA2"/>
    <w:rsid w:val="00ED761E"/>
    <w:rsid w:val="00ED7A3A"/>
    <w:rsid w:val="00EE0156"/>
    <w:rsid w:val="00EE057F"/>
    <w:rsid w:val="00EE05DA"/>
    <w:rsid w:val="00EE0C77"/>
    <w:rsid w:val="00EE1607"/>
    <w:rsid w:val="00EE1809"/>
    <w:rsid w:val="00EE1D0E"/>
    <w:rsid w:val="00EE2B7E"/>
    <w:rsid w:val="00EE2E0B"/>
    <w:rsid w:val="00EE30D0"/>
    <w:rsid w:val="00EE4926"/>
    <w:rsid w:val="00EE4DF6"/>
    <w:rsid w:val="00EE4E54"/>
    <w:rsid w:val="00EE57A3"/>
    <w:rsid w:val="00EE6874"/>
    <w:rsid w:val="00EE7BD2"/>
    <w:rsid w:val="00EE7C08"/>
    <w:rsid w:val="00EF0E7E"/>
    <w:rsid w:val="00EF0E8D"/>
    <w:rsid w:val="00EF1521"/>
    <w:rsid w:val="00EF16E3"/>
    <w:rsid w:val="00EF2CBA"/>
    <w:rsid w:val="00EF2D0E"/>
    <w:rsid w:val="00EF2DE8"/>
    <w:rsid w:val="00EF31DC"/>
    <w:rsid w:val="00EF403F"/>
    <w:rsid w:val="00EF58A6"/>
    <w:rsid w:val="00EF6B6D"/>
    <w:rsid w:val="00EF7948"/>
    <w:rsid w:val="00EF7A14"/>
    <w:rsid w:val="00EF7FA8"/>
    <w:rsid w:val="00F01BAD"/>
    <w:rsid w:val="00F023D1"/>
    <w:rsid w:val="00F0284E"/>
    <w:rsid w:val="00F05FFD"/>
    <w:rsid w:val="00F06034"/>
    <w:rsid w:val="00F0639B"/>
    <w:rsid w:val="00F06499"/>
    <w:rsid w:val="00F0764C"/>
    <w:rsid w:val="00F078BD"/>
    <w:rsid w:val="00F0796E"/>
    <w:rsid w:val="00F103E4"/>
    <w:rsid w:val="00F113D0"/>
    <w:rsid w:val="00F116DC"/>
    <w:rsid w:val="00F134EE"/>
    <w:rsid w:val="00F13FF4"/>
    <w:rsid w:val="00F15866"/>
    <w:rsid w:val="00F20050"/>
    <w:rsid w:val="00F20129"/>
    <w:rsid w:val="00F204D0"/>
    <w:rsid w:val="00F206C7"/>
    <w:rsid w:val="00F21B3E"/>
    <w:rsid w:val="00F22FE6"/>
    <w:rsid w:val="00F242AA"/>
    <w:rsid w:val="00F24523"/>
    <w:rsid w:val="00F248DB"/>
    <w:rsid w:val="00F24DE7"/>
    <w:rsid w:val="00F259CE"/>
    <w:rsid w:val="00F25CD0"/>
    <w:rsid w:val="00F266F8"/>
    <w:rsid w:val="00F268B0"/>
    <w:rsid w:val="00F26C3C"/>
    <w:rsid w:val="00F27AF9"/>
    <w:rsid w:val="00F27B53"/>
    <w:rsid w:val="00F317BE"/>
    <w:rsid w:val="00F31C24"/>
    <w:rsid w:val="00F3284E"/>
    <w:rsid w:val="00F34E94"/>
    <w:rsid w:val="00F35ED4"/>
    <w:rsid w:val="00F36081"/>
    <w:rsid w:val="00F36644"/>
    <w:rsid w:val="00F36EDA"/>
    <w:rsid w:val="00F37740"/>
    <w:rsid w:val="00F37B17"/>
    <w:rsid w:val="00F37CA6"/>
    <w:rsid w:val="00F37E52"/>
    <w:rsid w:val="00F40D88"/>
    <w:rsid w:val="00F41392"/>
    <w:rsid w:val="00F41801"/>
    <w:rsid w:val="00F41DE2"/>
    <w:rsid w:val="00F4295C"/>
    <w:rsid w:val="00F429F6"/>
    <w:rsid w:val="00F42DC9"/>
    <w:rsid w:val="00F42ECC"/>
    <w:rsid w:val="00F42FEC"/>
    <w:rsid w:val="00F4318D"/>
    <w:rsid w:val="00F436BB"/>
    <w:rsid w:val="00F44706"/>
    <w:rsid w:val="00F44ADD"/>
    <w:rsid w:val="00F44BEF"/>
    <w:rsid w:val="00F45650"/>
    <w:rsid w:val="00F45E5F"/>
    <w:rsid w:val="00F46069"/>
    <w:rsid w:val="00F461E8"/>
    <w:rsid w:val="00F46800"/>
    <w:rsid w:val="00F468FC"/>
    <w:rsid w:val="00F47145"/>
    <w:rsid w:val="00F47C8D"/>
    <w:rsid w:val="00F50B78"/>
    <w:rsid w:val="00F50CEB"/>
    <w:rsid w:val="00F50D14"/>
    <w:rsid w:val="00F530D8"/>
    <w:rsid w:val="00F531CB"/>
    <w:rsid w:val="00F53ACE"/>
    <w:rsid w:val="00F53C20"/>
    <w:rsid w:val="00F545BF"/>
    <w:rsid w:val="00F56152"/>
    <w:rsid w:val="00F57759"/>
    <w:rsid w:val="00F614E4"/>
    <w:rsid w:val="00F61B86"/>
    <w:rsid w:val="00F61FE7"/>
    <w:rsid w:val="00F62BB3"/>
    <w:rsid w:val="00F637AC"/>
    <w:rsid w:val="00F63A33"/>
    <w:rsid w:val="00F63AA5"/>
    <w:rsid w:val="00F64884"/>
    <w:rsid w:val="00F64A00"/>
    <w:rsid w:val="00F64F21"/>
    <w:rsid w:val="00F675D7"/>
    <w:rsid w:val="00F70B5F"/>
    <w:rsid w:val="00F70B7A"/>
    <w:rsid w:val="00F71AE5"/>
    <w:rsid w:val="00F71B56"/>
    <w:rsid w:val="00F727A1"/>
    <w:rsid w:val="00F72C03"/>
    <w:rsid w:val="00F72C0B"/>
    <w:rsid w:val="00F73844"/>
    <w:rsid w:val="00F738D7"/>
    <w:rsid w:val="00F73C4F"/>
    <w:rsid w:val="00F745A6"/>
    <w:rsid w:val="00F74B0C"/>
    <w:rsid w:val="00F74CBB"/>
    <w:rsid w:val="00F7549C"/>
    <w:rsid w:val="00F7568B"/>
    <w:rsid w:val="00F7687C"/>
    <w:rsid w:val="00F76EE7"/>
    <w:rsid w:val="00F770DE"/>
    <w:rsid w:val="00F80D2D"/>
    <w:rsid w:val="00F80EFA"/>
    <w:rsid w:val="00F8114E"/>
    <w:rsid w:val="00F819C5"/>
    <w:rsid w:val="00F82BB4"/>
    <w:rsid w:val="00F832C8"/>
    <w:rsid w:val="00F83520"/>
    <w:rsid w:val="00F83BCA"/>
    <w:rsid w:val="00F83E98"/>
    <w:rsid w:val="00F84F41"/>
    <w:rsid w:val="00F85731"/>
    <w:rsid w:val="00F857AD"/>
    <w:rsid w:val="00F873B3"/>
    <w:rsid w:val="00F87CFB"/>
    <w:rsid w:val="00F91045"/>
    <w:rsid w:val="00F911F2"/>
    <w:rsid w:val="00F9279C"/>
    <w:rsid w:val="00F92976"/>
    <w:rsid w:val="00F929A7"/>
    <w:rsid w:val="00F92C05"/>
    <w:rsid w:val="00F93567"/>
    <w:rsid w:val="00F93B72"/>
    <w:rsid w:val="00F9413D"/>
    <w:rsid w:val="00F94B10"/>
    <w:rsid w:val="00F94ED6"/>
    <w:rsid w:val="00F95091"/>
    <w:rsid w:val="00F95352"/>
    <w:rsid w:val="00F9535A"/>
    <w:rsid w:val="00F96018"/>
    <w:rsid w:val="00F97B3B"/>
    <w:rsid w:val="00F97EDB"/>
    <w:rsid w:val="00F97FFC"/>
    <w:rsid w:val="00FA00D3"/>
    <w:rsid w:val="00FA0A80"/>
    <w:rsid w:val="00FA0C1A"/>
    <w:rsid w:val="00FA12D7"/>
    <w:rsid w:val="00FA1379"/>
    <w:rsid w:val="00FA272D"/>
    <w:rsid w:val="00FA2BA6"/>
    <w:rsid w:val="00FA3567"/>
    <w:rsid w:val="00FA40D2"/>
    <w:rsid w:val="00FA42B9"/>
    <w:rsid w:val="00FA520F"/>
    <w:rsid w:val="00FA58BB"/>
    <w:rsid w:val="00FA5C23"/>
    <w:rsid w:val="00FA6162"/>
    <w:rsid w:val="00FA6413"/>
    <w:rsid w:val="00FA65FA"/>
    <w:rsid w:val="00FA69D9"/>
    <w:rsid w:val="00FA755A"/>
    <w:rsid w:val="00FA7B72"/>
    <w:rsid w:val="00FB22A0"/>
    <w:rsid w:val="00FB2802"/>
    <w:rsid w:val="00FB2AEA"/>
    <w:rsid w:val="00FB2B0F"/>
    <w:rsid w:val="00FB3A1B"/>
    <w:rsid w:val="00FB3B6F"/>
    <w:rsid w:val="00FB3F53"/>
    <w:rsid w:val="00FB4F6B"/>
    <w:rsid w:val="00FB501C"/>
    <w:rsid w:val="00FB5EC6"/>
    <w:rsid w:val="00FB5FE1"/>
    <w:rsid w:val="00FB6178"/>
    <w:rsid w:val="00FB633A"/>
    <w:rsid w:val="00FB7253"/>
    <w:rsid w:val="00FB74B0"/>
    <w:rsid w:val="00FC032E"/>
    <w:rsid w:val="00FC0E8D"/>
    <w:rsid w:val="00FC1E3B"/>
    <w:rsid w:val="00FC26B6"/>
    <w:rsid w:val="00FC2DA7"/>
    <w:rsid w:val="00FC3DCA"/>
    <w:rsid w:val="00FC3F5C"/>
    <w:rsid w:val="00FC4568"/>
    <w:rsid w:val="00FC4691"/>
    <w:rsid w:val="00FC46EF"/>
    <w:rsid w:val="00FC5536"/>
    <w:rsid w:val="00FC5E8B"/>
    <w:rsid w:val="00FC6CC7"/>
    <w:rsid w:val="00FC6EDE"/>
    <w:rsid w:val="00FC71D0"/>
    <w:rsid w:val="00FD0A92"/>
    <w:rsid w:val="00FD1E8D"/>
    <w:rsid w:val="00FD283F"/>
    <w:rsid w:val="00FD31B3"/>
    <w:rsid w:val="00FD418B"/>
    <w:rsid w:val="00FD4204"/>
    <w:rsid w:val="00FD5C37"/>
    <w:rsid w:val="00FD6566"/>
    <w:rsid w:val="00FD66CB"/>
    <w:rsid w:val="00FD751A"/>
    <w:rsid w:val="00FD7BDF"/>
    <w:rsid w:val="00FD7FEC"/>
    <w:rsid w:val="00FE07C8"/>
    <w:rsid w:val="00FE0EE3"/>
    <w:rsid w:val="00FE2462"/>
    <w:rsid w:val="00FE2640"/>
    <w:rsid w:val="00FE3095"/>
    <w:rsid w:val="00FE4559"/>
    <w:rsid w:val="00FE4E3E"/>
    <w:rsid w:val="00FE56FA"/>
    <w:rsid w:val="00FE58E9"/>
    <w:rsid w:val="00FE5D78"/>
    <w:rsid w:val="00FE730C"/>
    <w:rsid w:val="00FE7424"/>
    <w:rsid w:val="00FE75ED"/>
    <w:rsid w:val="00FF07B1"/>
    <w:rsid w:val="00FF1790"/>
    <w:rsid w:val="00FF2C97"/>
    <w:rsid w:val="00FF2D3B"/>
    <w:rsid w:val="00FF32EB"/>
    <w:rsid w:val="00FF3CCB"/>
    <w:rsid w:val="00FF4768"/>
    <w:rsid w:val="00FF4D42"/>
    <w:rsid w:val="00FF4E76"/>
    <w:rsid w:val="00FF50C6"/>
    <w:rsid w:val="00FF557C"/>
    <w:rsid w:val="00FF5586"/>
    <w:rsid w:val="00FF57B5"/>
    <w:rsid w:val="00FF58ED"/>
    <w:rsid w:val="00FF5A96"/>
    <w:rsid w:val="00FF6C65"/>
    <w:rsid w:val="0DE1A9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F1108BE-8FBB-4A3F-9E6E-F06B5C3E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E90780"/>
    <w:pPr>
      <w:keepNext/>
      <w:numPr>
        <w:numId w:val="3"/>
      </w:numPr>
      <w:spacing w:before="240"/>
      <w:outlineLvl w:val="0"/>
    </w:pPr>
    <w:rPr>
      <w:color w:val="22413A"/>
      <w:sz w:val="48"/>
    </w:rPr>
  </w:style>
  <w:style w:type="paragraph" w:styleId="Heading2">
    <w:name w:val="heading 2"/>
    <w:aliases w:val="Left"/>
    <w:basedOn w:val="Heading1"/>
    <w:next w:val="Normal"/>
    <w:link w:val="Heading2Char"/>
    <w:qFormat/>
    <w:rsid w:val="00037EE2"/>
    <w:pPr>
      <w:numPr>
        <w:ilvl w:val="1"/>
      </w:numPr>
      <w:outlineLvl w:val="1"/>
    </w:pPr>
    <w:rPr>
      <w:sz w:val="36"/>
    </w:rPr>
  </w:style>
  <w:style w:type="paragraph" w:styleId="Heading3">
    <w:name w:val="heading 3"/>
    <w:aliases w:val="Sub"/>
    <w:basedOn w:val="Heading1"/>
    <w:next w:val="Normal"/>
    <w:link w:val="Heading3Char"/>
    <w:qFormat/>
    <w:rsid w:val="00E43135"/>
    <w:pPr>
      <w:numPr>
        <w:ilvl w:val="2"/>
      </w:numPr>
      <w:ind w:left="851" w:hanging="851"/>
      <w:outlineLvl w:val="2"/>
    </w:pPr>
    <w:rPr>
      <w:b/>
      <w:bCs/>
      <w:sz w:val="24"/>
      <w:szCs w:val="10"/>
    </w:rPr>
  </w:style>
  <w:style w:type="paragraph" w:styleId="Heading4">
    <w:name w:val="heading 4"/>
    <w:basedOn w:val="Heading3"/>
    <w:next w:val="Normal"/>
    <w:link w:val="Heading4Char"/>
    <w:qFormat/>
    <w:rsid w:val="000A51C3"/>
    <w:pPr>
      <w:numPr>
        <w:ilvl w:val="3"/>
      </w:numPr>
      <w:ind w:left="851" w:hanging="851"/>
      <w:outlineLvl w:val="3"/>
    </w:pPr>
    <w:rPr>
      <w:b w:val="0"/>
      <w:bCs w:val="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FE3095"/>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FE3095"/>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FE3095"/>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037EE2"/>
    <w:rPr>
      <w:rFonts w:ascii="Arial" w:hAnsi="Arial"/>
      <w:color w:val="22413A"/>
      <w:sz w:val="36"/>
      <w:szCs w:val="22"/>
      <w:lang w:eastAsia="en-US" w:bidi="he-IL"/>
    </w:rPr>
  </w:style>
  <w:style w:type="character" w:customStyle="1" w:styleId="Heading3Char">
    <w:name w:val="Heading 3 Char"/>
    <w:aliases w:val="Sub Char"/>
    <w:link w:val="Heading3"/>
    <w:rsid w:val="00E43135"/>
    <w:rPr>
      <w:rFonts w:ascii="Arial" w:hAnsi="Arial"/>
      <w:b/>
      <w:bCs/>
      <w:color w:val="22413A"/>
      <w:sz w:val="24"/>
      <w:szCs w:val="10"/>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E90780"/>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
      </w:numPr>
      <w:spacing w:before="240" w:after="120" w:line="240" w:lineRule="auto"/>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6"/>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5"/>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NumberedParagraph">
    <w:name w:val="Numbered Paragraph"/>
    <w:basedOn w:val="Normal"/>
    <w:link w:val="NumberedParagraphChar"/>
    <w:qFormat/>
    <w:rsid w:val="00391085"/>
    <w:pPr>
      <w:numPr>
        <w:ilvl w:val="1"/>
        <w:numId w:val="7"/>
      </w:numPr>
      <w:spacing w:before="240" w:after="120" w:line="240" w:lineRule="auto"/>
      <w:ind w:hanging="792"/>
    </w:pPr>
    <w:rPr>
      <w:rFonts w:eastAsia="Times New Roman"/>
      <w:szCs w:val="24"/>
      <w:lang w:bidi="ar-SA"/>
    </w:rPr>
  </w:style>
  <w:style w:type="character" w:customStyle="1" w:styleId="NumberedParagraphChar">
    <w:name w:val="Numbered Paragraph Char"/>
    <w:basedOn w:val="DefaultParagraphFont"/>
    <w:link w:val="NumberedParagraph"/>
    <w:rsid w:val="00391085"/>
    <w:rPr>
      <w:rFonts w:ascii="Arial" w:eastAsia="Times New Roman" w:hAnsi="Arial"/>
      <w:sz w:val="24"/>
      <w:szCs w:val="24"/>
      <w:lang w:eastAsia="en-US"/>
    </w:rPr>
  </w:style>
  <w:style w:type="character" w:customStyle="1" w:styleId="ya-q-full-text">
    <w:name w:val="ya-q-full-text"/>
    <w:basedOn w:val="DefaultParagraphFont"/>
    <w:rsid w:val="00651963"/>
  </w:style>
  <w:style w:type="paragraph" w:customStyle="1" w:styleId="TSNumberedParagraph1">
    <w:name w:val="TS Numbered Paragraph 1"/>
    <w:basedOn w:val="Normal"/>
    <w:rsid w:val="00634DC8"/>
    <w:pPr>
      <w:numPr>
        <w:numId w:val="8"/>
      </w:numPr>
      <w:spacing w:after="220" w:line="240" w:lineRule="auto"/>
      <w:outlineLvl w:val="0"/>
    </w:pPr>
    <w:rPr>
      <w:rFonts w:eastAsia="Times New Roman" w:cs="Times New Roman"/>
      <w:sz w:val="22"/>
      <w:szCs w:val="24"/>
      <w:lang w:bidi="ar-SA"/>
    </w:rPr>
  </w:style>
  <w:style w:type="character" w:customStyle="1" w:styleId="ListParagraphChar">
    <w:name w:val="List Paragraph Char"/>
    <w:link w:val="ListParagraph"/>
    <w:uiPriority w:val="34"/>
    <w:rsid w:val="00B80DEF"/>
    <w:rPr>
      <w:rFonts w:ascii="Arial" w:hAnsi="Arial"/>
      <w:sz w:val="24"/>
      <w:szCs w:val="22"/>
      <w:lang w:eastAsia="en-US" w:bidi="he-IL"/>
    </w:rPr>
  </w:style>
  <w:style w:type="paragraph" w:styleId="NoSpacing">
    <w:name w:val="No Spacing"/>
    <w:basedOn w:val="Normal"/>
    <w:link w:val="NoSpacingChar"/>
    <w:uiPriority w:val="1"/>
    <w:qFormat/>
    <w:rsid w:val="00086223"/>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086223"/>
    <w:rPr>
      <w:rFonts w:ascii="Arial" w:eastAsia="Times New Roman" w:hAnsi="Arial" w:cs="Times New Roman"/>
      <w:sz w:val="24"/>
      <w:szCs w:val="24"/>
      <w:lang w:eastAsia="en-US"/>
    </w:rPr>
  </w:style>
  <w:style w:type="paragraph" w:styleId="Revision">
    <w:name w:val="Revision"/>
    <w:hidden/>
    <w:uiPriority w:val="99"/>
    <w:semiHidden/>
    <w:rsid w:val="001A1F8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70B5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70B5F"/>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rsid w:val="00FE3095"/>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FE3095"/>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FE3095"/>
    <w:rPr>
      <w:rFonts w:ascii="Arial" w:eastAsia="Times New Roman" w:hAnsi="Arial"/>
      <w:sz w:val="22"/>
      <w:szCs w:val="22"/>
      <w:lang w:eastAsia="en-US"/>
    </w:rPr>
  </w:style>
  <w:style w:type="paragraph" w:customStyle="1" w:styleId="TSHeadingNumbered1">
    <w:name w:val="TS Heading Numbered 1"/>
    <w:basedOn w:val="Normal"/>
    <w:rsid w:val="00FE309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FE3095"/>
    <w:rPr>
      <w:caps w:val="0"/>
    </w:rPr>
  </w:style>
  <w:style w:type="paragraph" w:customStyle="1" w:styleId="TSHeadingNumbered111">
    <w:name w:val="TS Heading Numbered 1.1.1"/>
    <w:basedOn w:val="TSHeadingNumbered1"/>
    <w:rsid w:val="00FE3095"/>
    <w:rPr>
      <w:caps w:val="0"/>
    </w:rPr>
  </w:style>
  <w:style w:type="paragraph" w:customStyle="1" w:styleId="TSHeadingNumbered1111">
    <w:name w:val="TS Heading Numbered 1.1.1.1"/>
    <w:basedOn w:val="TSHeadingNumbered1"/>
    <w:uiPriority w:val="99"/>
    <w:rsid w:val="00FE3095"/>
  </w:style>
  <w:style w:type="paragraph" w:customStyle="1" w:styleId="ONRNumberedParagraph1">
    <w:name w:val="ONR Numbered Paragraph 1"/>
    <w:basedOn w:val="Normal"/>
    <w:locked/>
    <w:rsid w:val="00FE3095"/>
    <w:pPr>
      <w:numPr>
        <w:numId w:val="9"/>
      </w:numPr>
      <w:tabs>
        <w:tab w:val="left" w:pos="880"/>
      </w:tabs>
      <w:spacing w:after="120" w:line="240" w:lineRule="auto"/>
      <w:ind w:left="880" w:hanging="880"/>
      <w:jc w:val="both"/>
    </w:pPr>
    <w:rPr>
      <w:rFonts w:eastAsia="Times New Roman"/>
      <w:sz w:val="22"/>
      <w:lang w:eastAsia="en-GB" w:bidi="ar-SA"/>
    </w:rPr>
  </w:style>
  <w:style w:type="paragraph" w:customStyle="1" w:styleId="TSBullet1Square">
    <w:name w:val="TS Bullet 1 Square"/>
    <w:basedOn w:val="Normal"/>
    <w:link w:val="TSBullet1SquareChar"/>
    <w:rsid w:val="008B278E"/>
    <w:pPr>
      <w:spacing w:line="240" w:lineRule="auto"/>
      <w:contextualSpacing/>
    </w:pPr>
    <w:rPr>
      <w:rFonts w:eastAsia="Times New Roman" w:cs="Times New Roman"/>
      <w:sz w:val="22"/>
      <w:szCs w:val="24"/>
      <w:lang w:bidi="ar-SA"/>
    </w:rPr>
  </w:style>
  <w:style w:type="paragraph" w:customStyle="1" w:styleId="ONRSquareBullet1">
    <w:name w:val="ONR Square Bullet 1"/>
    <w:basedOn w:val="Normal"/>
    <w:rsid w:val="008B278E"/>
    <w:pPr>
      <w:numPr>
        <w:numId w:val="10"/>
      </w:numPr>
      <w:spacing w:after="120" w:line="240" w:lineRule="auto"/>
    </w:pPr>
    <w:rPr>
      <w:rFonts w:eastAsia="Times New Roman"/>
      <w:sz w:val="22"/>
      <w:lang w:bidi="ar-SA"/>
    </w:rPr>
  </w:style>
  <w:style w:type="character" w:customStyle="1" w:styleId="TSBullet1SquareChar">
    <w:name w:val="TS Bullet 1 Square Char"/>
    <w:link w:val="TSBullet1Square"/>
    <w:rsid w:val="008B278E"/>
    <w:rPr>
      <w:rFonts w:ascii="Arial" w:eastAsia="Times New Roman" w:hAnsi="Arial" w:cs="Times New Roman"/>
      <w:sz w:val="22"/>
      <w:szCs w:val="24"/>
      <w:lang w:eastAsia="en-US"/>
    </w:rPr>
  </w:style>
  <w:style w:type="paragraph" w:customStyle="1" w:styleId="Ch7num">
    <w:name w:val="Ch 7 num"/>
    <w:basedOn w:val="Normal"/>
    <w:qFormat/>
    <w:rsid w:val="00DC1776"/>
    <w:pPr>
      <w:numPr>
        <w:numId w:val="11"/>
      </w:numPr>
      <w:spacing w:before="120" w:after="120" w:line="240" w:lineRule="auto"/>
      <w:ind w:left="0" w:firstLine="0"/>
      <w:jc w:val="both"/>
    </w:pPr>
    <w:rPr>
      <w:rFonts w:eastAsia="Times New Roman" w:cs="Times New Roman"/>
      <w:sz w:val="22"/>
      <w:lang w:bidi="ar-SA"/>
    </w:rPr>
  </w:style>
  <w:style w:type="character" w:customStyle="1" w:styleId="TSHeadingNumbered11Char">
    <w:name w:val="TS Heading Numbered 1.1 Char"/>
    <w:basedOn w:val="DefaultParagraphFont"/>
    <w:link w:val="TSHeadingNumbered11"/>
    <w:rsid w:val="00F72C0B"/>
    <w:rPr>
      <w:rFonts w:ascii="Arial Bold" w:eastAsia="Times New Roman" w:hAnsi="Arial Bold" w:cs="Times New Roman"/>
      <w:b/>
      <w:sz w:val="22"/>
      <w:szCs w:val="24"/>
      <w:lang w:eastAsia="en-US"/>
    </w:rPr>
  </w:style>
  <w:style w:type="paragraph" w:customStyle="1" w:styleId="TSNumberedParagraph11">
    <w:name w:val="TS Numbered Paragraph 1.1"/>
    <w:basedOn w:val="TSHeadingNumbered11"/>
    <w:rsid w:val="005057CB"/>
    <w:pPr>
      <w:tabs>
        <w:tab w:val="clear" w:pos="-31680"/>
      </w:tabs>
      <w:ind w:left="0" w:firstLine="0"/>
    </w:pPr>
    <w:rPr>
      <w:rFonts w:ascii="Arial" w:hAnsi="Arial"/>
      <w:b w:val="0"/>
    </w:rPr>
  </w:style>
  <w:style w:type="paragraph" w:customStyle="1" w:styleId="pf0">
    <w:name w:val="pf0"/>
    <w:basedOn w:val="Normal"/>
    <w:rsid w:val="006E5B7C"/>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6E5B7C"/>
    <w:rPr>
      <w:rFonts w:ascii="Segoe UI" w:hAnsi="Segoe UI" w:cs="Segoe UI" w:hint="default"/>
      <w:sz w:val="18"/>
      <w:szCs w:val="18"/>
    </w:rPr>
  </w:style>
  <w:style w:type="character" w:customStyle="1" w:styleId="cf11">
    <w:name w:val="cf11"/>
    <w:basedOn w:val="DefaultParagraphFont"/>
    <w:rsid w:val="006E5B7C"/>
    <w:rPr>
      <w:rFonts w:ascii="Segoe UI" w:hAnsi="Segoe UI" w:cs="Segoe UI" w:hint="default"/>
      <w:sz w:val="18"/>
      <w:szCs w:val="18"/>
    </w:rPr>
  </w:style>
  <w:style w:type="paragraph" w:customStyle="1" w:styleId="NumberedHeading">
    <w:name w:val="Numbered Heading"/>
    <w:basedOn w:val="Normal"/>
    <w:rsid w:val="005C569A"/>
    <w:pPr>
      <w:keepNext/>
      <w:tabs>
        <w:tab w:val="num" w:pos="-31680"/>
      </w:tabs>
      <w:overflowPunct w:val="0"/>
      <w:autoSpaceDE w:val="0"/>
      <w:autoSpaceDN w:val="0"/>
      <w:adjustRightInd w:val="0"/>
      <w:spacing w:line="240" w:lineRule="auto"/>
      <w:ind w:left="720" w:hanging="720"/>
      <w:textAlignment w:val="baseline"/>
    </w:pPr>
    <w:rPr>
      <w:rFonts w:ascii="Arial Bold" w:eastAsia="Times New Roman" w:hAnsi="Arial Bold"/>
      <w:b/>
      <w:bCs/>
      <w:caps/>
      <w:color w:val="000000"/>
      <w:sz w:val="22"/>
      <w:szCs w:val="20"/>
      <w:lang w:bidi="ar-SA"/>
    </w:rPr>
  </w:style>
  <w:style w:type="paragraph" w:styleId="TOC4">
    <w:name w:val="toc 4"/>
    <w:basedOn w:val="Normal"/>
    <w:next w:val="Normal"/>
    <w:autoRedefine/>
    <w:uiPriority w:val="39"/>
    <w:unhideWhenUsed/>
    <w:rsid w:val="00BC1A02"/>
    <w:pPr>
      <w:spacing w:after="100" w:line="278" w:lineRule="auto"/>
      <w:ind w:left="720"/>
    </w:pPr>
    <w:rPr>
      <w:rFonts w:asciiTheme="minorHAnsi" w:eastAsiaTheme="minorEastAsia" w:hAnsiTheme="minorHAnsi" w:cstheme="minorBidi"/>
      <w:kern w:val="2"/>
      <w:szCs w:val="24"/>
      <w:lang w:eastAsia="en-GB" w:bidi="ar-SA"/>
      <w14:ligatures w14:val="standardContextual"/>
    </w:rPr>
  </w:style>
  <w:style w:type="paragraph" w:styleId="TOC5">
    <w:name w:val="toc 5"/>
    <w:basedOn w:val="Normal"/>
    <w:next w:val="Normal"/>
    <w:autoRedefine/>
    <w:uiPriority w:val="39"/>
    <w:unhideWhenUsed/>
    <w:rsid w:val="00BC1A02"/>
    <w:pPr>
      <w:spacing w:after="100" w:line="278" w:lineRule="auto"/>
      <w:ind w:left="960"/>
    </w:pPr>
    <w:rPr>
      <w:rFonts w:asciiTheme="minorHAnsi" w:eastAsiaTheme="minorEastAsia" w:hAnsiTheme="minorHAnsi" w:cstheme="minorBidi"/>
      <w:kern w:val="2"/>
      <w:szCs w:val="24"/>
      <w:lang w:eastAsia="en-GB" w:bidi="ar-SA"/>
      <w14:ligatures w14:val="standardContextual"/>
    </w:rPr>
  </w:style>
  <w:style w:type="paragraph" w:styleId="TOC6">
    <w:name w:val="toc 6"/>
    <w:basedOn w:val="Normal"/>
    <w:next w:val="Normal"/>
    <w:autoRedefine/>
    <w:uiPriority w:val="39"/>
    <w:unhideWhenUsed/>
    <w:rsid w:val="00BC1A02"/>
    <w:pPr>
      <w:spacing w:after="100" w:line="278" w:lineRule="auto"/>
      <w:ind w:left="1200"/>
    </w:pPr>
    <w:rPr>
      <w:rFonts w:asciiTheme="minorHAnsi" w:eastAsiaTheme="minorEastAsia" w:hAnsiTheme="minorHAnsi" w:cstheme="minorBidi"/>
      <w:kern w:val="2"/>
      <w:szCs w:val="24"/>
      <w:lang w:eastAsia="en-GB" w:bidi="ar-SA"/>
      <w14:ligatures w14:val="standardContextual"/>
    </w:rPr>
  </w:style>
  <w:style w:type="paragraph" w:styleId="TOC7">
    <w:name w:val="toc 7"/>
    <w:basedOn w:val="Normal"/>
    <w:next w:val="Normal"/>
    <w:autoRedefine/>
    <w:uiPriority w:val="39"/>
    <w:unhideWhenUsed/>
    <w:rsid w:val="00BC1A02"/>
    <w:pPr>
      <w:spacing w:after="100" w:line="278" w:lineRule="auto"/>
      <w:ind w:left="1440"/>
    </w:pPr>
    <w:rPr>
      <w:rFonts w:asciiTheme="minorHAnsi" w:eastAsiaTheme="minorEastAsia" w:hAnsiTheme="minorHAnsi" w:cstheme="minorBidi"/>
      <w:kern w:val="2"/>
      <w:szCs w:val="24"/>
      <w:lang w:eastAsia="en-GB" w:bidi="ar-SA"/>
      <w14:ligatures w14:val="standardContextual"/>
    </w:rPr>
  </w:style>
  <w:style w:type="paragraph" w:styleId="TOC8">
    <w:name w:val="toc 8"/>
    <w:basedOn w:val="Normal"/>
    <w:next w:val="Normal"/>
    <w:autoRedefine/>
    <w:uiPriority w:val="39"/>
    <w:unhideWhenUsed/>
    <w:rsid w:val="00BC1A02"/>
    <w:pPr>
      <w:spacing w:after="100" w:line="278" w:lineRule="auto"/>
      <w:ind w:left="1680"/>
    </w:pPr>
    <w:rPr>
      <w:rFonts w:asciiTheme="minorHAnsi" w:eastAsiaTheme="minorEastAsia" w:hAnsiTheme="minorHAnsi" w:cstheme="minorBidi"/>
      <w:kern w:val="2"/>
      <w:szCs w:val="24"/>
      <w:lang w:eastAsia="en-GB" w:bidi="ar-SA"/>
      <w14:ligatures w14:val="standardContextual"/>
    </w:rPr>
  </w:style>
  <w:style w:type="paragraph" w:styleId="TOC9">
    <w:name w:val="toc 9"/>
    <w:basedOn w:val="Normal"/>
    <w:next w:val="Normal"/>
    <w:autoRedefine/>
    <w:uiPriority w:val="39"/>
    <w:unhideWhenUsed/>
    <w:rsid w:val="00BC1A02"/>
    <w:pPr>
      <w:spacing w:after="100" w:line="278" w:lineRule="auto"/>
      <w:ind w:left="1920"/>
    </w:pPr>
    <w:rPr>
      <w:rFonts w:asciiTheme="minorHAnsi" w:eastAsiaTheme="minorEastAsia" w:hAnsiTheme="minorHAnsi" w:cstheme="minorBidi"/>
      <w:kern w:val="2"/>
      <w:szCs w:val="24"/>
      <w:lang w:eastAsia="en-GB"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569">
      <w:bodyDiv w:val="1"/>
      <w:marLeft w:val="0"/>
      <w:marRight w:val="0"/>
      <w:marTop w:val="0"/>
      <w:marBottom w:val="0"/>
      <w:divBdr>
        <w:top w:val="none" w:sz="0" w:space="0" w:color="auto"/>
        <w:left w:val="none" w:sz="0" w:space="0" w:color="auto"/>
        <w:bottom w:val="none" w:sz="0" w:space="0" w:color="auto"/>
        <w:right w:val="none" w:sz="0" w:space="0" w:color="auto"/>
      </w:divBdr>
    </w:div>
    <w:div w:id="2363220">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5906217">
      <w:bodyDiv w:val="1"/>
      <w:marLeft w:val="0"/>
      <w:marRight w:val="0"/>
      <w:marTop w:val="0"/>
      <w:marBottom w:val="0"/>
      <w:divBdr>
        <w:top w:val="none" w:sz="0" w:space="0" w:color="auto"/>
        <w:left w:val="none" w:sz="0" w:space="0" w:color="auto"/>
        <w:bottom w:val="none" w:sz="0" w:space="0" w:color="auto"/>
        <w:right w:val="none" w:sz="0" w:space="0" w:color="auto"/>
      </w:divBdr>
    </w:div>
    <w:div w:id="8683227">
      <w:bodyDiv w:val="1"/>
      <w:marLeft w:val="0"/>
      <w:marRight w:val="0"/>
      <w:marTop w:val="0"/>
      <w:marBottom w:val="0"/>
      <w:divBdr>
        <w:top w:val="none" w:sz="0" w:space="0" w:color="auto"/>
        <w:left w:val="none" w:sz="0" w:space="0" w:color="auto"/>
        <w:bottom w:val="none" w:sz="0" w:space="0" w:color="auto"/>
        <w:right w:val="none" w:sz="0" w:space="0" w:color="auto"/>
      </w:divBdr>
    </w:div>
    <w:div w:id="10181809">
      <w:bodyDiv w:val="1"/>
      <w:marLeft w:val="0"/>
      <w:marRight w:val="0"/>
      <w:marTop w:val="0"/>
      <w:marBottom w:val="0"/>
      <w:divBdr>
        <w:top w:val="none" w:sz="0" w:space="0" w:color="auto"/>
        <w:left w:val="none" w:sz="0" w:space="0" w:color="auto"/>
        <w:bottom w:val="none" w:sz="0" w:space="0" w:color="auto"/>
        <w:right w:val="none" w:sz="0" w:space="0" w:color="auto"/>
      </w:divBdr>
    </w:div>
    <w:div w:id="15272849">
      <w:bodyDiv w:val="1"/>
      <w:marLeft w:val="0"/>
      <w:marRight w:val="0"/>
      <w:marTop w:val="0"/>
      <w:marBottom w:val="0"/>
      <w:divBdr>
        <w:top w:val="none" w:sz="0" w:space="0" w:color="auto"/>
        <w:left w:val="none" w:sz="0" w:space="0" w:color="auto"/>
        <w:bottom w:val="none" w:sz="0" w:space="0" w:color="auto"/>
        <w:right w:val="none" w:sz="0" w:space="0" w:color="auto"/>
      </w:divBdr>
    </w:div>
    <w:div w:id="17513682">
      <w:bodyDiv w:val="1"/>
      <w:marLeft w:val="0"/>
      <w:marRight w:val="0"/>
      <w:marTop w:val="0"/>
      <w:marBottom w:val="0"/>
      <w:divBdr>
        <w:top w:val="none" w:sz="0" w:space="0" w:color="auto"/>
        <w:left w:val="none" w:sz="0" w:space="0" w:color="auto"/>
        <w:bottom w:val="none" w:sz="0" w:space="0" w:color="auto"/>
        <w:right w:val="none" w:sz="0" w:space="0" w:color="auto"/>
      </w:divBdr>
    </w:div>
    <w:div w:id="19205458">
      <w:bodyDiv w:val="1"/>
      <w:marLeft w:val="0"/>
      <w:marRight w:val="0"/>
      <w:marTop w:val="0"/>
      <w:marBottom w:val="0"/>
      <w:divBdr>
        <w:top w:val="none" w:sz="0" w:space="0" w:color="auto"/>
        <w:left w:val="none" w:sz="0" w:space="0" w:color="auto"/>
        <w:bottom w:val="none" w:sz="0" w:space="0" w:color="auto"/>
        <w:right w:val="none" w:sz="0" w:space="0" w:color="auto"/>
      </w:divBdr>
    </w:div>
    <w:div w:id="19429680">
      <w:bodyDiv w:val="1"/>
      <w:marLeft w:val="0"/>
      <w:marRight w:val="0"/>
      <w:marTop w:val="0"/>
      <w:marBottom w:val="0"/>
      <w:divBdr>
        <w:top w:val="none" w:sz="0" w:space="0" w:color="auto"/>
        <w:left w:val="none" w:sz="0" w:space="0" w:color="auto"/>
        <w:bottom w:val="none" w:sz="0" w:space="0" w:color="auto"/>
        <w:right w:val="none" w:sz="0" w:space="0" w:color="auto"/>
      </w:divBdr>
    </w:div>
    <w:div w:id="19481281">
      <w:bodyDiv w:val="1"/>
      <w:marLeft w:val="0"/>
      <w:marRight w:val="0"/>
      <w:marTop w:val="0"/>
      <w:marBottom w:val="0"/>
      <w:divBdr>
        <w:top w:val="none" w:sz="0" w:space="0" w:color="auto"/>
        <w:left w:val="none" w:sz="0" w:space="0" w:color="auto"/>
        <w:bottom w:val="none" w:sz="0" w:space="0" w:color="auto"/>
        <w:right w:val="none" w:sz="0" w:space="0" w:color="auto"/>
      </w:divBdr>
    </w:div>
    <w:div w:id="25257472">
      <w:bodyDiv w:val="1"/>
      <w:marLeft w:val="0"/>
      <w:marRight w:val="0"/>
      <w:marTop w:val="0"/>
      <w:marBottom w:val="0"/>
      <w:divBdr>
        <w:top w:val="none" w:sz="0" w:space="0" w:color="auto"/>
        <w:left w:val="none" w:sz="0" w:space="0" w:color="auto"/>
        <w:bottom w:val="none" w:sz="0" w:space="0" w:color="auto"/>
        <w:right w:val="none" w:sz="0" w:space="0" w:color="auto"/>
      </w:divBdr>
    </w:div>
    <w:div w:id="33232510">
      <w:bodyDiv w:val="1"/>
      <w:marLeft w:val="0"/>
      <w:marRight w:val="0"/>
      <w:marTop w:val="0"/>
      <w:marBottom w:val="0"/>
      <w:divBdr>
        <w:top w:val="none" w:sz="0" w:space="0" w:color="auto"/>
        <w:left w:val="none" w:sz="0" w:space="0" w:color="auto"/>
        <w:bottom w:val="none" w:sz="0" w:space="0" w:color="auto"/>
        <w:right w:val="none" w:sz="0" w:space="0" w:color="auto"/>
      </w:divBdr>
    </w:div>
    <w:div w:id="33889291">
      <w:bodyDiv w:val="1"/>
      <w:marLeft w:val="0"/>
      <w:marRight w:val="0"/>
      <w:marTop w:val="0"/>
      <w:marBottom w:val="0"/>
      <w:divBdr>
        <w:top w:val="none" w:sz="0" w:space="0" w:color="auto"/>
        <w:left w:val="none" w:sz="0" w:space="0" w:color="auto"/>
        <w:bottom w:val="none" w:sz="0" w:space="0" w:color="auto"/>
        <w:right w:val="none" w:sz="0" w:space="0" w:color="auto"/>
      </w:divBdr>
    </w:div>
    <w:div w:id="36399663">
      <w:bodyDiv w:val="1"/>
      <w:marLeft w:val="0"/>
      <w:marRight w:val="0"/>
      <w:marTop w:val="0"/>
      <w:marBottom w:val="0"/>
      <w:divBdr>
        <w:top w:val="none" w:sz="0" w:space="0" w:color="auto"/>
        <w:left w:val="none" w:sz="0" w:space="0" w:color="auto"/>
        <w:bottom w:val="none" w:sz="0" w:space="0" w:color="auto"/>
        <w:right w:val="none" w:sz="0" w:space="0" w:color="auto"/>
      </w:divBdr>
    </w:div>
    <w:div w:id="37634303">
      <w:bodyDiv w:val="1"/>
      <w:marLeft w:val="0"/>
      <w:marRight w:val="0"/>
      <w:marTop w:val="0"/>
      <w:marBottom w:val="0"/>
      <w:divBdr>
        <w:top w:val="none" w:sz="0" w:space="0" w:color="auto"/>
        <w:left w:val="none" w:sz="0" w:space="0" w:color="auto"/>
        <w:bottom w:val="none" w:sz="0" w:space="0" w:color="auto"/>
        <w:right w:val="none" w:sz="0" w:space="0" w:color="auto"/>
      </w:divBdr>
    </w:div>
    <w:div w:id="38168312">
      <w:bodyDiv w:val="1"/>
      <w:marLeft w:val="0"/>
      <w:marRight w:val="0"/>
      <w:marTop w:val="0"/>
      <w:marBottom w:val="0"/>
      <w:divBdr>
        <w:top w:val="none" w:sz="0" w:space="0" w:color="auto"/>
        <w:left w:val="none" w:sz="0" w:space="0" w:color="auto"/>
        <w:bottom w:val="none" w:sz="0" w:space="0" w:color="auto"/>
        <w:right w:val="none" w:sz="0" w:space="0" w:color="auto"/>
      </w:divBdr>
    </w:div>
    <w:div w:id="39985171">
      <w:bodyDiv w:val="1"/>
      <w:marLeft w:val="0"/>
      <w:marRight w:val="0"/>
      <w:marTop w:val="0"/>
      <w:marBottom w:val="0"/>
      <w:divBdr>
        <w:top w:val="none" w:sz="0" w:space="0" w:color="auto"/>
        <w:left w:val="none" w:sz="0" w:space="0" w:color="auto"/>
        <w:bottom w:val="none" w:sz="0" w:space="0" w:color="auto"/>
        <w:right w:val="none" w:sz="0" w:space="0" w:color="auto"/>
      </w:divBdr>
    </w:div>
    <w:div w:id="40371763">
      <w:bodyDiv w:val="1"/>
      <w:marLeft w:val="0"/>
      <w:marRight w:val="0"/>
      <w:marTop w:val="0"/>
      <w:marBottom w:val="0"/>
      <w:divBdr>
        <w:top w:val="none" w:sz="0" w:space="0" w:color="auto"/>
        <w:left w:val="none" w:sz="0" w:space="0" w:color="auto"/>
        <w:bottom w:val="none" w:sz="0" w:space="0" w:color="auto"/>
        <w:right w:val="none" w:sz="0" w:space="0" w:color="auto"/>
      </w:divBdr>
    </w:div>
    <w:div w:id="41487004">
      <w:bodyDiv w:val="1"/>
      <w:marLeft w:val="0"/>
      <w:marRight w:val="0"/>
      <w:marTop w:val="0"/>
      <w:marBottom w:val="0"/>
      <w:divBdr>
        <w:top w:val="none" w:sz="0" w:space="0" w:color="auto"/>
        <w:left w:val="none" w:sz="0" w:space="0" w:color="auto"/>
        <w:bottom w:val="none" w:sz="0" w:space="0" w:color="auto"/>
        <w:right w:val="none" w:sz="0" w:space="0" w:color="auto"/>
      </w:divBdr>
    </w:div>
    <w:div w:id="42870548">
      <w:bodyDiv w:val="1"/>
      <w:marLeft w:val="0"/>
      <w:marRight w:val="0"/>
      <w:marTop w:val="0"/>
      <w:marBottom w:val="0"/>
      <w:divBdr>
        <w:top w:val="none" w:sz="0" w:space="0" w:color="auto"/>
        <w:left w:val="none" w:sz="0" w:space="0" w:color="auto"/>
        <w:bottom w:val="none" w:sz="0" w:space="0" w:color="auto"/>
        <w:right w:val="none" w:sz="0" w:space="0" w:color="auto"/>
      </w:divBdr>
    </w:div>
    <w:div w:id="48310808">
      <w:bodyDiv w:val="1"/>
      <w:marLeft w:val="0"/>
      <w:marRight w:val="0"/>
      <w:marTop w:val="0"/>
      <w:marBottom w:val="0"/>
      <w:divBdr>
        <w:top w:val="none" w:sz="0" w:space="0" w:color="auto"/>
        <w:left w:val="none" w:sz="0" w:space="0" w:color="auto"/>
        <w:bottom w:val="none" w:sz="0" w:space="0" w:color="auto"/>
        <w:right w:val="none" w:sz="0" w:space="0" w:color="auto"/>
      </w:divBdr>
    </w:div>
    <w:div w:id="49421847">
      <w:bodyDiv w:val="1"/>
      <w:marLeft w:val="0"/>
      <w:marRight w:val="0"/>
      <w:marTop w:val="0"/>
      <w:marBottom w:val="0"/>
      <w:divBdr>
        <w:top w:val="none" w:sz="0" w:space="0" w:color="auto"/>
        <w:left w:val="none" w:sz="0" w:space="0" w:color="auto"/>
        <w:bottom w:val="none" w:sz="0" w:space="0" w:color="auto"/>
        <w:right w:val="none" w:sz="0" w:space="0" w:color="auto"/>
      </w:divBdr>
    </w:div>
    <w:div w:id="50465999">
      <w:bodyDiv w:val="1"/>
      <w:marLeft w:val="0"/>
      <w:marRight w:val="0"/>
      <w:marTop w:val="0"/>
      <w:marBottom w:val="0"/>
      <w:divBdr>
        <w:top w:val="none" w:sz="0" w:space="0" w:color="auto"/>
        <w:left w:val="none" w:sz="0" w:space="0" w:color="auto"/>
        <w:bottom w:val="none" w:sz="0" w:space="0" w:color="auto"/>
        <w:right w:val="none" w:sz="0" w:space="0" w:color="auto"/>
      </w:divBdr>
    </w:div>
    <w:div w:id="50888096">
      <w:bodyDiv w:val="1"/>
      <w:marLeft w:val="0"/>
      <w:marRight w:val="0"/>
      <w:marTop w:val="0"/>
      <w:marBottom w:val="0"/>
      <w:divBdr>
        <w:top w:val="none" w:sz="0" w:space="0" w:color="auto"/>
        <w:left w:val="none" w:sz="0" w:space="0" w:color="auto"/>
        <w:bottom w:val="none" w:sz="0" w:space="0" w:color="auto"/>
        <w:right w:val="none" w:sz="0" w:space="0" w:color="auto"/>
      </w:divBdr>
    </w:div>
    <w:div w:id="52583054">
      <w:bodyDiv w:val="1"/>
      <w:marLeft w:val="0"/>
      <w:marRight w:val="0"/>
      <w:marTop w:val="0"/>
      <w:marBottom w:val="0"/>
      <w:divBdr>
        <w:top w:val="none" w:sz="0" w:space="0" w:color="auto"/>
        <w:left w:val="none" w:sz="0" w:space="0" w:color="auto"/>
        <w:bottom w:val="none" w:sz="0" w:space="0" w:color="auto"/>
        <w:right w:val="none" w:sz="0" w:space="0" w:color="auto"/>
      </w:divBdr>
    </w:div>
    <w:div w:id="52969059">
      <w:bodyDiv w:val="1"/>
      <w:marLeft w:val="0"/>
      <w:marRight w:val="0"/>
      <w:marTop w:val="0"/>
      <w:marBottom w:val="0"/>
      <w:divBdr>
        <w:top w:val="none" w:sz="0" w:space="0" w:color="auto"/>
        <w:left w:val="none" w:sz="0" w:space="0" w:color="auto"/>
        <w:bottom w:val="none" w:sz="0" w:space="0" w:color="auto"/>
        <w:right w:val="none" w:sz="0" w:space="0" w:color="auto"/>
      </w:divBdr>
    </w:div>
    <w:div w:id="54203408">
      <w:bodyDiv w:val="1"/>
      <w:marLeft w:val="0"/>
      <w:marRight w:val="0"/>
      <w:marTop w:val="0"/>
      <w:marBottom w:val="0"/>
      <w:divBdr>
        <w:top w:val="none" w:sz="0" w:space="0" w:color="auto"/>
        <w:left w:val="none" w:sz="0" w:space="0" w:color="auto"/>
        <w:bottom w:val="none" w:sz="0" w:space="0" w:color="auto"/>
        <w:right w:val="none" w:sz="0" w:space="0" w:color="auto"/>
      </w:divBdr>
    </w:div>
    <w:div w:id="55980188">
      <w:bodyDiv w:val="1"/>
      <w:marLeft w:val="0"/>
      <w:marRight w:val="0"/>
      <w:marTop w:val="0"/>
      <w:marBottom w:val="0"/>
      <w:divBdr>
        <w:top w:val="none" w:sz="0" w:space="0" w:color="auto"/>
        <w:left w:val="none" w:sz="0" w:space="0" w:color="auto"/>
        <w:bottom w:val="none" w:sz="0" w:space="0" w:color="auto"/>
        <w:right w:val="none" w:sz="0" w:space="0" w:color="auto"/>
      </w:divBdr>
    </w:div>
    <w:div w:id="58479896">
      <w:bodyDiv w:val="1"/>
      <w:marLeft w:val="0"/>
      <w:marRight w:val="0"/>
      <w:marTop w:val="0"/>
      <w:marBottom w:val="0"/>
      <w:divBdr>
        <w:top w:val="none" w:sz="0" w:space="0" w:color="auto"/>
        <w:left w:val="none" w:sz="0" w:space="0" w:color="auto"/>
        <w:bottom w:val="none" w:sz="0" w:space="0" w:color="auto"/>
        <w:right w:val="none" w:sz="0" w:space="0" w:color="auto"/>
      </w:divBdr>
    </w:div>
    <w:div w:id="60255843">
      <w:bodyDiv w:val="1"/>
      <w:marLeft w:val="0"/>
      <w:marRight w:val="0"/>
      <w:marTop w:val="0"/>
      <w:marBottom w:val="0"/>
      <w:divBdr>
        <w:top w:val="none" w:sz="0" w:space="0" w:color="auto"/>
        <w:left w:val="none" w:sz="0" w:space="0" w:color="auto"/>
        <w:bottom w:val="none" w:sz="0" w:space="0" w:color="auto"/>
        <w:right w:val="none" w:sz="0" w:space="0" w:color="auto"/>
      </w:divBdr>
    </w:div>
    <w:div w:id="62026924">
      <w:bodyDiv w:val="1"/>
      <w:marLeft w:val="0"/>
      <w:marRight w:val="0"/>
      <w:marTop w:val="0"/>
      <w:marBottom w:val="0"/>
      <w:divBdr>
        <w:top w:val="none" w:sz="0" w:space="0" w:color="auto"/>
        <w:left w:val="none" w:sz="0" w:space="0" w:color="auto"/>
        <w:bottom w:val="none" w:sz="0" w:space="0" w:color="auto"/>
        <w:right w:val="none" w:sz="0" w:space="0" w:color="auto"/>
      </w:divBdr>
    </w:div>
    <w:div w:id="64183197">
      <w:bodyDiv w:val="1"/>
      <w:marLeft w:val="0"/>
      <w:marRight w:val="0"/>
      <w:marTop w:val="0"/>
      <w:marBottom w:val="0"/>
      <w:divBdr>
        <w:top w:val="none" w:sz="0" w:space="0" w:color="auto"/>
        <w:left w:val="none" w:sz="0" w:space="0" w:color="auto"/>
        <w:bottom w:val="none" w:sz="0" w:space="0" w:color="auto"/>
        <w:right w:val="none" w:sz="0" w:space="0" w:color="auto"/>
      </w:divBdr>
    </w:div>
    <w:div w:id="65417042">
      <w:bodyDiv w:val="1"/>
      <w:marLeft w:val="0"/>
      <w:marRight w:val="0"/>
      <w:marTop w:val="0"/>
      <w:marBottom w:val="0"/>
      <w:divBdr>
        <w:top w:val="none" w:sz="0" w:space="0" w:color="auto"/>
        <w:left w:val="none" w:sz="0" w:space="0" w:color="auto"/>
        <w:bottom w:val="none" w:sz="0" w:space="0" w:color="auto"/>
        <w:right w:val="none" w:sz="0" w:space="0" w:color="auto"/>
      </w:divBdr>
    </w:div>
    <w:div w:id="68577833">
      <w:bodyDiv w:val="1"/>
      <w:marLeft w:val="0"/>
      <w:marRight w:val="0"/>
      <w:marTop w:val="0"/>
      <w:marBottom w:val="0"/>
      <w:divBdr>
        <w:top w:val="none" w:sz="0" w:space="0" w:color="auto"/>
        <w:left w:val="none" w:sz="0" w:space="0" w:color="auto"/>
        <w:bottom w:val="none" w:sz="0" w:space="0" w:color="auto"/>
        <w:right w:val="none" w:sz="0" w:space="0" w:color="auto"/>
      </w:divBdr>
    </w:div>
    <w:div w:id="71508580">
      <w:bodyDiv w:val="1"/>
      <w:marLeft w:val="0"/>
      <w:marRight w:val="0"/>
      <w:marTop w:val="0"/>
      <w:marBottom w:val="0"/>
      <w:divBdr>
        <w:top w:val="none" w:sz="0" w:space="0" w:color="auto"/>
        <w:left w:val="none" w:sz="0" w:space="0" w:color="auto"/>
        <w:bottom w:val="none" w:sz="0" w:space="0" w:color="auto"/>
        <w:right w:val="none" w:sz="0" w:space="0" w:color="auto"/>
      </w:divBdr>
    </w:div>
    <w:div w:id="71857804">
      <w:bodyDiv w:val="1"/>
      <w:marLeft w:val="0"/>
      <w:marRight w:val="0"/>
      <w:marTop w:val="0"/>
      <w:marBottom w:val="0"/>
      <w:divBdr>
        <w:top w:val="none" w:sz="0" w:space="0" w:color="auto"/>
        <w:left w:val="none" w:sz="0" w:space="0" w:color="auto"/>
        <w:bottom w:val="none" w:sz="0" w:space="0" w:color="auto"/>
        <w:right w:val="none" w:sz="0" w:space="0" w:color="auto"/>
      </w:divBdr>
    </w:div>
    <w:div w:id="75253153">
      <w:bodyDiv w:val="1"/>
      <w:marLeft w:val="0"/>
      <w:marRight w:val="0"/>
      <w:marTop w:val="0"/>
      <w:marBottom w:val="0"/>
      <w:divBdr>
        <w:top w:val="none" w:sz="0" w:space="0" w:color="auto"/>
        <w:left w:val="none" w:sz="0" w:space="0" w:color="auto"/>
        <w:bottom w:val="none" w:sz="0" w:space="0" w:color="auto"/>
        <w:right w:val="none" w:sz="0" w:space="0" w:color="auto"/>
      </w:divBdr>
    </w:div>
    <w:div w:id="75789391">
      <w:bodyDiv w:val="1"/>
      <w:marLeft w:val="0"/>
      <w:marRight w:val="0"/>
      <w:marTop w:val="0"/>
      <w:marBottom w:val="0"/>
      <w:divBdr>
        <w:top w:val="none" w:sz="0" w:space="0" w:color="auto"/>
        <w:left w:val="none" w:sz="0" w:space="0" w:color="auto"/>
        <w:bottom w:val="none" w:sz="0" w:space="0" w:color="auto"/>
        <w:right w:val="none" w:sz="0" w:space="0" w:color="auto"/>
      </w:divBdr>
    </w:div>
    <w:div w:id="76177159">
      <w:bodyDiv w:val="1"/>
      <w:marLeft w:val="0"/>
      <w:marRight w:val="0"/>
      <w:marTop w:val="0"/>
      <w:marBottom w:val="0"/>
      <w:divBdr>
        <w:top w:val="none" w:sz="0" w:space="0" w:color="auto"/>
        <w:left w:val="none" w:sz="0" w:space="0" w:color="auto"/>
        <w:bottom w:val="none" w:sz="0" w:space="0" w:color="auto"/>
        <w:right w:val="none" w:sz="0" w:space="0" w:color="auto"/>
      </w:divBdr>
    </w:div>
    <w:div w:id="78336774">
      <w:bodyDiv w:val="1"/>
      <w:marLeft w:val="0"/>
      <w:marRight w:val="0"/>
      <w:marTop w:val="0"/>
      <w:marBottom w:val="0"/>
      <w:divBdr>
        <w:top w:val="none" w:sz="0" w:space="0" w:color="auto"/>
        <w:left w:val="none" w:sz="0" w:space="0" w:color="auto"/>
        <w:bottom w:val="none" w:sz="0" w:space="0" w:color="auto"/>
        <w:right w:val="none" w:sz="0" w:space="0" w:color="auto"/>
      </w:divBdr>
    </w:div>
    <w:div w:id="81807173">
      <w:bodyDiv w:val="1"/>
      <w:marLeft w:val="0"/>
      <w:marRight w:val="0"/>
      <w:marTop w:val="0"/>
      <w:marBottom w:val="0"/>
      <w:divBdr>
        <w:top w:val="none" w:sz="0" w:space="0" w:color="auto"/>
        <w:left w:val="none" w:sz="0" w:space="0" w:color="auto"/>
        <w:bottom w:val="none" w:sz="0" w:space="0" w:color="auto"/>
        <w:right w:val="none" w:sz="0" w:space="0" w:color="auto"/>
      </w:divBdr>
    </w:div>
    <w:div w:id="861920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85049">
      <w:bodyDiv w:val="1"/>
      <w:marLeft w:val="0"/>
      <w:marRight w:val="0"/>
      <w:marTop w:val="0"/>
      <w:marBottom w:val="0"/>
      <w:divBdr>
        <w:top w:val="none" w:sz="0" w:space="0" w:color="auto"/>
        <w:left w:val="none" w:sz="0" w:space="0" w:color="auto"/>
        <w:bottom w:val="none" w:sz="0" w:space="0" w:color="auto"/>
        <w:right w:val="none" w:sz="0" w:space="0" w:color="auto"/>
      </w:divBdr>
    </w:div>
    <w:div w:id="91972494">
      <w:bodyDiv w:val="1"/>
      <w:marLeft w:val="0"/>
      <w:marRight w:val="0"/>
      <w:marTop w:val="0"/>
      <w:marBottom w:val="0"/>
      <w:divBdr>
        <w:top w:val="none" w:sz="0" w:space="0" w:color="auto"/>
        <w:left w:val="none" w:sz="0" w:space="0" w:color="auto"/>
        <w:bottom w:val="none" w:sz="0" w:space="0" w:color="auto"/>
        <w:right w:val="none" w:sz="0" w:space="0" w:color="auto"/>
      </w:divBdr>
    </w:div>
    <w:div w:id="92098224">
      <w:bodyDiv w:val="1"/>
      <w:marLeft w:val="0"/>
      <w:marRight w:val="0"/>
      <w:marTop w:val="0"/>
      <w:marBottom w:val="0"/>
      <w:divBdr>
        <w:top w:val="none" w:sz="0" w:space="0" w:color="auto"/>
        <w:left w:val="none" w:sz="0" w:space="0" w:color="auto"/>
        <w:bottom w:val="none" w:sz="0" w:space="0" w:color="auto"/>
        <w:right w:val="none" w:sz="0" w:space="0" w:color="auto"/>
      </w:divBdr>
    </w:div>
    <w:div w:id="94205426">
      <w:bodyDiv w:val="1"/>
      <w:marLeft w:val="0"/>
      <w:marRight w:val="0"/>
      <w:marTop w:val="0"/>
      <w:marBottom w:val="0"/>
      <w:divBdr>
        <w:top w:val="none" w:sz="0" w:space="0" w:color="auto"/>
        <w:left w:val="none" w:sz="0" w:space="0" w:color="auto"/>
        <w:bottom w:val="none" w:sz="0" w:space="0" w:color="auto"/>
        <w:right w:val="none" w:sz="0" w:space="0" w:color="auto"/>
      </w:divBdr>
    </w:div>
    <w:div w:id="94642604">
      <w:bodyDiv w:val="1"/>
      <w:marLeft w:val="0"/>
      <w:marRight w:val="0"/>
      <w:marTop w:val="0"/>
      <w:marBottom w:val="0"/>
      <w:divBdr>
        <w:top w:val="none" w:sz="0" w:space="0" w:color="auto"/>
        <w:left w:val="none" w:sz="0" w:space="0" w:color="auto"/>
        <w:bottom w:val="none" w:sz="0" w:space="0" w:color="auto"/>
        <w:right w:val="none" w:sz="0" w:space="0" w:color="auto"/>
      </w:divBdr>
    </w:div>
    <w:div w:id="94711482">
      <w:bodyDiv w:val="1"/>
      <w:marLeft w:val="0"/>
      <w:marRight w:val="0"/>
      <w:marTop w:val="0"/>
      <w:marBottom w:val="0"/>
      <w:divBdr>
        <w:top w:val="none" w:sz="0" w:space="0" w:color="auto"/>
        <w:left w:val="none" w:sz="0" w:space="0" w:color="auto"/>
        <w:bottom w:val="none" w:sz="0" w:space="0" w:color="auto"/>
        <w:right w:val="none" w:sz="0" w:space="0" w:color="auto"/>
      </w:divBdr>
    </w:div>
    <w:div w:id="97524378">
      <w:bodyDiv w:val="1"/>
      <w:marLeft w:val="0"/>
      <w:marRight w:val="0"/>
      <w:marTop w:val="0"/>
      <w:marBottom w:val="0"/>
      <w:divBdr>
        <w:top w:val="none" w:sz="0" w:space="0" w:color="auto"/>
        <w:left w:val="none" w:sz="0" w:space="0" w:color="auto"/>
        <w:bottom w:val="none" w:sz="0" w:space="0" w:color="auto"/>
        <w:right w:val="none" w:sz="0" w:space="0" w:color="auto"/>
      </w:divBdr>
    </w:div>
    <w:div w:id="102119904">
      <w:bodyDiv w:val="1"/>
      <w:marLeft w:val="0"/>
      <w:marRight w:val="0"/>
      <w:marTop w:val="0"/>
      <w:marBottom w:val="0"/>
      <w:divBdr>
        <w:top w:val="none" w:sz="0" w:space="0" w:color="auto"/>
        <w:left w:val="none" w:sz="0" w:space="0" w:color="auto"/>
        <w:bottom w:val="none" w:sz="0" w:space="0" w:color="auto"/>
        <w:right w:val="none" w:sz="0" w:space="0" w:color="auto"/>
      </w:divBdr>
    </w:div>
    <w:div w:id="102578283">
      <w:bodyDiv w:val="1"/>
      <w:marLeft w:val="0"/>
      <w:marRight w:val="0"/>
      <w:marTop w:val="0"/>
      <w:marBottom w:val="0"/>
      <w:divBdr>
        <w:top w:val="none" w:sz="0" w:space="0" w:color="auto"/>
        <w:left w:val="none" w:sz="0" w:space="0" w:color="auto"/>
        <w:bottom w:val="none" w:sz="0" w:space="0" w:color="auto"/>
        <w:right w:val="none" w:sz="0" w:space="0" w:color="auto"/>
      </w:divBdr>
    </w:div>
    <w:div w:id="102846247">
      <w:bodyDiv w:val="1"/>
      <w:marLeft w:val="0"/>
      <w:marRight w:val="0"/>
      <w:marTop w:val="0"/>
      <w:marBottom w:val="0"/>
      <w:divBdr>
        <w:top w:val="none" w:sz="0" w:space="0" w:color="auto"/>
        <w:left w:val="none" w:sz="0" w:space="0" w:color="auto"/>
        <w:bottom w:val="none" w:sz="0" w:space="0" w:color="auto"/>
        <w:right w:val="none" w:sz="0" w:space="0" w:color="auto"/>
      </w:divBdr>
    </w:div>
    <w:div w:id="104812997">
      <w:bodyDiv w:val="1"/>
      <w:marLeft w:val="0"/>
      <w:marRight w:val="0"/>
      <w:marTop w:val="0"/>
      <w:marBottom w:val="0"/>
      <w:divBdr>
        <w:top w:val="none" w:sz="0" w:space="0" w:color="auto"/>
        <w:left w:val="none" w:sz="0" w:space="0" w:color="auto"/>
        <w:bottom w:val="none" w:sz="0" w:space="0" w:color="auto"/>
        <w:right w:val="none" w:sz="0" w:space="0" w:color="auto"/>
      </w:divBdr>
    </w:div>
    <w:div w:id="105776964">
      <w:bodyDiv w:val="1"/>
      <w:marLeft w:val="0"/>
      <w:marRight w:val="0"/>
      <w:marTop w:val="0"/>
      <w:marBottom w:val="0"/>
      <w:divBdr>
        <w:top w:val="none" w:sz="0" w:space="0" w:color="auto"/>
        <w:left w:val="none" w:sz="0" w:space="0" w:color="auto"/>
        <w:bottom w:val="none" w:sz="0" w:space="0" w:color="auto"/>
        <w:right w:val="none" w:sz="0" w:space="0" w:color="auto"/>
      </w:divBdr>
    </w:div>
    <w:div w:id="107093487">
      <w:bodyDiv w:val="1"/>
      <w:marLeft w:val="0"/>
      <w:marRight w:val="0"/>
      <w:marTop w:val="0"/>
      <w:marBottom w:val="0"/>
      <w:divBdr>
        <w:top w:val="none" w:sz="0" w:space="0" w:color="auto"/>
        <w:left w:val="none" w:sz="0" w:space="0" w:color="auto"/>
        <w:bottom w:val="none" w:sz="0" w:space="0" w:color="auto"/>
        <w:right w:val="none" w:sz="0" w:space="0" w:color="auto"/>
      </w:divBdr>
    </w:div>
    <w:div w:id="114642438">
      <w:bodyDiv w:val="1"/>
      <w:marLeft w:val="0"/>
      <w:marRight w:val="0"/>
      <w:marTop w:val="0"/>
      <w:marBottom w:val="0"/>
      <w:divBdr>
        <w:top w:val="none" w:sz="0" w:space="0" w:color="auto"/>
        <w:left w:val="none" w:sz="0" w:space="0" w:color="auto"/>
        <w:bottom w:val="none" w:sz="0" w:space="0" w:color="auto"/>
        <w:right w:val="none" w:sz="0" w:space="0" w:color="auto"/>
      </w:divBdr>
    </w:div>
    <w:div w:id="121195739">
      <w:bodyDiv w:val="1"/>
      <w:marLeft w:val="0"/>
      <w:marRight w:val="0"/>
      <w:marTop w:val="0"/>
      <w:marBottom w:val="0"/>
      <w:divBdr>
        <w:top w:val="none" w:sz="0" w:space="0" w:color="auto"/>
        <w:left w:val="none" w:sz="0" w:space="0" w:color="auto"/>
        <w:bottom w:val="none" w:sz="0" w:space="0" w:color="auto"/>
        <w:right w:val="none" w:sz="0" w:space="0" w:color="auto"/>
      </w:divBdr>
    </w:div>
    <w:div w:id="125045541">
      <w:bodyDiv w:val="1"/>
      <w:marLeft w:val="0"/>
      <w:marRight w:val="0"/>
      <w:marTop w:val="0"/>
      <w:marBottom w:val="0"/>
      <w:divBdr>
        <w:top w:val="none" w:sz="0" w:space="0" w:color="auto"/>
        <w:left w:val="none" w:sz="0" w:space="0" w:color="auto"/>
        <w:bottom w:val="none" w:sz="0" w:space="0" w:color="auto"/>
        <w:right w:val="none" w:sz="0" w:space="0" w:color="auto"/>
      </w:divBdr>
    </w:div>
    <w:div w:id="125126428">
      <w:bodyDiv w:val="1"/>
      <w:marLeft w:val="0"/>
      <w:marRight w:val="0"/>
      <w:marTop w:val="0"/>
      <w:marBottom w:val="0"/>
      <w:divBdr>
        <w:top w:val="none" w:sz="0" w:space="0" w:color="auto"/>
        <w:left w:val="none" w:sz="0" w:space="0" w:color="auto"/>
        <w:bottom w:val="none" w:sz="0" w:space="0" w:color="auto"/>
        <w:right w:val="none" w:sz="0" w:space="0" w:color="auto"/>
      </w:divBdr>
    </w:div>
    <w:div w:id="125974581">
      <w:bodyDiv w:val="1"/>
      <w:marLeft w:val="0"/>
      <w:marRight w:val="0"/>
      <w:marTop w:val="0"/>
      <w:marBottom w:val="0"/>
      <w:divBdr>
        <w:top w:val="none" w:sz="0" w:space="0" w:color="auto"/>
        <w:left w:val="none" w:sz="0" w:space="0" w:color="auto"/>
        <w:bottom w:val="none" w:sz="0" w:space="0" w:color="auto"/>
        <w:right w:val="none" w:sz="0" w:space="0" w:color="auto"/>
      </w:divBdr>
    </w:div>
    <w:div w:id="126093453">
      <w:bodyDiv w:val="1"/>
      <w:marLeft w:val="0"/>
      <w:marRight w:val="0"/>
      <w:marTop w:val="0"/>
      <w:marBottom w:val="0"/>
      <w:divBdr>
        <w:top w:val="none" w:sz="0" w:space="0" w:color="auto"/>
        <w:left w:val="none" w:sz="0" w:space="0" w:color="auto"/>
        <w:bottom w:val="none" w:sz="0" w:space="0" w:color="auto"/>
        <w:right w:val="none" w:sz="0" w:space="0" w:color="auto"/>
      </w:divBdr>
    </w:div>
    <w:div w:id="127282428">
      <w:bodyDiv w:val="1"/>
      <w:marLeft w:val="0"/>
      <w:marRight w:val="0"/>
      <w:marTop w:val="0"/>
      <w:marBottom w:val="0"/>
      <w:divBdr>
        <w:top w:val="none" w:sz="0" w:space="0" w:color="auto"/>
        <w:left w:val="none" w:sz="0" w:space="0" w:color="auto"/>
        <w:bottom w:val="none" w:sz="0" w:space="0" w:color="auto"/>
        <w:right w:val="none" w:sz="0" w:space="0" w:color="auto"/>
      </w:divBdr>
    </w:div>
    <w:div w:id="128670071">
      <w:bodyDiv w:val="1"/>
      <w:marLeft w:val="0"/>
      <w:marRight w:val="0"/>
      <w:marTop w:val="0"/>
      <w:marBottom w:val="0"/>
      <w:divBdr>
        <w:top w:val="none" w:sz="0" w:space="0" w:color="auto"/>
        <w:left w:val="none" w:sz="0" w:space="0" w:color="auto"/>
        <w:bottom w:val="none" w:sz="0" w:space="0" w:color="auto"/>
        <w:right w:val="none" w:sz="0" w:space="0" w:color="auto"/>
      </w:divBdr>
    </w:div>
    <w:div w:id="133379617">
      <w:bodyDiv w:val="1"/>
      <w:marLeft w:val="0"/>
      <w:marRight w:val="0"/>
      <w:marTop w:val="0"/>
      <w:marBottom w:val="0"/>
      <w:divBdr>
        <w:top w:val="none" w:sz="0" w:space="0" w:color="auto"/>
        <w:left w:val="none" w:sz="0" w:space="0" w:color="auto"/>
        <w:bottom w:val="none" w:sz="0" w:space="0" w:color="auto"/>
        <w:right w:val="none" w:sz="0" w:space="0" w:color="auto"/>
      </w:divBdr>
    </w:div>
    <w:div w:id="136534436">
      <w:bodyDiv w:val="1"/>
      <w:marLeft w:val="0"/>
      <w:marRight w:val="0"/>
      <w:marTop w:val="0"/>
      <w:marBottom w:val="0"/>
      <w:divBdr>
        <w:top w:val="none" w:sz="0" w:space="0" w:color="auto"/>
        <w:left w:val="none" w:sz="0" w:space="0" w:color="auto"/>
        <w:bottom w:val="none" w:sz="0" w:space="0" w:color="auto"/>
        <w:right w:val="none" w:sz="0" w:space="0" w:color="auto"/>
      </w:divBdr>
    </w:div>
    <w:div w:id="136577221">
      <w:bodyDiv w:val="1"/>
      <w:marLeft w:val="0"/>
      <w:marRight w:val="0"/>
      <w:marTop w:val="0"/>
      <w:marBottom w:val="0"/>
      <w:divBdr>
        <w:top w:val="none" w:sz="0" w:space="0" w:color="auto"/>
        <w:left w:val="none" w:sz="0" w:space="0" w:color="auto"/>
        <w:bottom w:val="none" w:sz="0" w:space="0" w:color="auto"/>
        <w:right w:val="none" w:sz="0" w:space="0" w:color="auto"/>
      </w:divBdr>
    </w:div>
    <w:div w:id="138309427">
      <w:bodyDiv w:val="1"/>
      <w:marLeft w:val="0"/>
      <w:marRight w:val="0"/>
      <w:marTop w:val="0"/>
      <w:marBottom w:val="0"/>
      <w:divBdr>
        <w:top w:val="none" w:sz="0" w:space="0" w:color="auto"/>
        <w:left w:val="none" w:sz="0" w:space="0" w:color="auto"/>
        <w:bottom w:val="none" w:sz="0" w:space="0" w:color="auto"/>
        <w:right w:val="none" w:sz="0" w:space="0" w:color="auto"/>
      </w:divBdr>
    </w:div>
    <w:div w:id="140270651">
      <w:bodyDiv w:val="1"/>
      <w:marLeft w:val="0"/>
      <w:marRight w:val="0"/>
      <w:marTop w:val="0"/>
      <w:marBottom w:val="0"/>
      <w:divBdr>
        <w:top w:val="none" w:sz="0" w:space="0" w:color="auto"/>
        <w:left w:val="none" w:sz="0" w:space="0" w:color="auto"/>
        <w:bottom w:val="none" w:sz="0" w:space="0" w:color="auto"/>
        <w:right w:val="none" w:sz="0" w:space="0" w:color="auto"/>
      </w:divBdr>
    </w:div>
    <w:div w:id="141432190">
      <w:bodyDiv w:val="1"/>
      <w:marLeft w:val="0"/>
      <w:marRight w:val="0"/>
      <w:marTop w:val="0"/>
      <w:marBottom w:val="0"/>
      <w:divBdr>
        <w:top w:val="none" w:sz="0" w:space="0" w:color="auto"/>
        <w:left w:val="none" w:sz="0" w:space="0" w:color="auto"/>
        <w:bottom w:val="none" w:sz="0" w:space="0" w:color="auto"/>
        <w:right w:val="none" w:sz="0" w:space="0" w:color="auto"/>
      </w:divBdr>
    </w:div>
    <w:div w:id="144589004">
      <w:bodyDiv w:val="1"/>
      <w:marLeft w:val="0"/>
      <w:marRight w:val="0"/>
      <w:marTop w:val="0"/>
      <w:marBottom w:val="0"/>
      <w:divBdr>
        <w:top w:val="none" w:sz="0" w:space="0" w:color="auto"/>
        <w:left w:val="none" w:sz="0" w:space="0" w:color="auto"/>
        <w:bottom w:val="none" w:sz="0" w:space="0" w:color="auto"/>
        <w:right w:val="none" w:sz="0" w:space="0" w:color="auto"/>
      </w:divBdr>
    </w:div>
    <w:div w:id="145437339">
      <w:bodyDiv w:val="1"/>
      <w:marLeft w:val="0"/>
      <w:marRight w:val="0"/>
      <w:marTop w:val="0"/>
      <w:marBottom w:val="0"/>
      <w:divBdr>
        <w:top w:val="none" w:sz="0" w:space="0" w:color="auto"/>
        <w:left w:val="none" w:sz="0" w:space="0" w:color="auto"/>
        <w:bottom w:val="none" w:sz="0" w:space="0" w:color="auto"/>
        <w:right w:val="none" w:sz="0" w:space="0" w:color="auto"/>
      </w:divBdr>
    </w:div>
    <w:div w:id="147095009">
      <w:bodyDiv w:val="1"/>
      <w:marLeft w:val="0"/>
      <w:marRight w:val="0"/>
      <w:marTop w:val="0"/>
      <w:marBottom w:val="0"/>
      <w:divBdr>
        <w:top w:val="none" w:sz="0" w:space="0" w:color="auto"/>
        <w:left w:val="none" w:sz="0" w:space="0" w:color="auto"/>
        <w:bottom w:val="none" w:sz="0" w:space="0" w:color="auto"/>
        <w:right w:val="none" w:sz="0" w:space="0" w:color="auto"/>
      </w:divBdr>
    </w:div>
    <w:div w:id="147789187">
      <w:bodyDiv w:val="1"/>
      <w:marLeft w:val="0"/>
      <w:marRight w:val="0"/>
      <w:marTop w:val="0"/>
      <w:marBottom w:val="0"/>
      <w:divBdr>
        <w:top w:val="none" w:sz="0" w:space="0" w:color="auto"/>
        <w:left w:val="none" w:sz="0" w:space="0" w:color="auto"/>
        <w:bottom w:val="none" w:sz="0" w:space="0" w:color="auto"/>
        <w:right w:val="none" w:sz="0" w:space="0" w:color="auto"/>
      </w:divBdr>
    </w:div>
    <w:div w:id="148792785">
      <w:bodyDiv w:val="1"/>
      <w:marLeft w:val="0"/>
      <w:marRight w:val="0"/>
      <w:marTop w:val="0"/>
      <w:marBottom w:val="0"/>
      <w:divBdr>
        <w:top w:val="none" w:sz="0" w:space="0" w:color="auto"/>
        <w:left w:val="none" w:sz="0" w:space="0" w:color="auto"/>
        <w:bottom w:val="none" w:sz="0" w:space="0" w:color="auto"/>
        <w:right w:val="none" w:sz="0" w:space="0" w:color="auto"/>
      </w:divBdr>
    </w:div>
    <w:div w:id="151675645">
      <w:bodyDiv w:val="1"/>
      <w:marLeft w:val="0"/>
      <w:marRight w:val="0"/>
      <w:marTop w:val="0"/>
      <w:marBottom w:val="0"/>
      <w:divBdr>
        <w:top w:val="none" w:sz="0" w:space="0" w:color="auto"/>
        <w:left w:val="none" w:sz="0" w:space="0" w:color="auto"/>
        <w:bottom w:val="none" w:sz="0" w:space="0" w:color="auto"/>
        <w:right w:val="none" w:sz="0" w:space="0" w:color="auto"/>
      </w:divBdr>
    </w:div>
    <w:div w:id="160391118">
      <w:bodyDiv w:val="1"/>
      <w:marLeft w:val="0"/>
      <w:marRight w:val="0"/>
      <w:marTop w:val="0"/>
      <w:marBottom w:val="0"/>
      <w:divBdr>
        <w:top w:val="none" w:sz="0" w:space="0" w:color="auto"/>
        <w:left w:val="none" w:sz="0" w:space="0" w:color="auto"/>
        <w:bottom w:val="none" w:sz="0" w:space="0" w:color="auto"/>
        <w:right w:val="none" w:sz="0" w:space="0" w:color="auto"/>
      </w:divBdr>
      <w:divsChild>
        <w:div w:id="1680042232">
          <w:marLeft w:val="0"/>
          <w:marRight w:val="0"/>
          <w:marTop w:val="0"/>
          <w:marBottom w:val="0"/>
          <w:divBdr>
            <w:top w:val="none" w:sz="0" w:space="0" w:color="auto"/>
            <w:left w:val="none" w:sz="0" w:space="0" w:color="auto"/>
            <w:bottom w:val="none" w:sz="0" w:space="0" w:color="auto"/>
            <w:right w:val="none" w:sz="0" w:space="0" w:color="auto"/>
          </w:divBdr>
          <w:divsChild>
            <w:div w:id="374740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512786">
      <w:bodyDiv w:val="1"/>
      <w:marLeft w:val="0"/>
      <w:marRight w:val="0"/>
      <w:marTop w:val="0"/>
      <w:marBottom w:val="0"/>
      <w:divBdr>
        <w:top w:val="none" w:sz="0" w:space="0" w:color="auto"/>
        <w:left w:val="none" w:sz="0" w:space="0" w:color="auto"/>
        <w:bottom w:val="none" w:sz="0" w:space="0" w:color="auto"/>
        <w:right w:val="none" w:sz="0" w:space="0" w:color="auto"/>
      </w:divBdr>
    </w:div>
    <w:div w:id="168642781">
      <w:bodyDiv w:val="1"/>
      <w:marLeft w:val="0"/>
      <w:marRight w:val="0"/>
      <w:marTop w:val="0"/>
      <w:marBottom w:val="0"/>
      <w:divBdr>
        <w:top w:val="none" w:sz="0" w:space="0" w:color="auto"/>
        <w:left w:val="none" w:sz="0" w:space="0" w:color="auto"/>
        <w:bottom w:val="none" w:sz="0" w:space="0" w:color="auto"/>
        <w:right w:val="none" w:sz="0" w:space="0" w:color="auto"/>
      </w:divBdr>
    </w:div>
    <w:div w:id="170149905">
      <w:bodyDiv w:val="1"/>
      <w:marLeft w:val="0"/>
      <w:marRight w:val="0"/>
      <w:marTop w:val="0"/>
      <w:marBottom w:val="0"/>
      <w:divBdr>
        <w:top w:val="none" w:sz="0" w:space="0" w:color="auto"/>
        <w:left w:val="none" w:sz="0" w:space="0" w:color="auto"/>
        <w:bottom w:val="none" w:sz="0" w:space="0" w:color="auto"/>
        <w:right w:val="none" w:sz="0" w:space="0" w:color="auto"/>
      </w:divBdr>
    </w:div>
    <w:div w:id="170534396">
      <w:bodyDiv w:val="1"/>
      <w:marLeft w:val="0"/>
      <w:marRight w:val="0"/>
      <w:marTop w:val="0"/>
      <w:marBottom w:val="0"/>
      <w:divBdr>
        <w:top w:val="none" w:sz="0" w:space="0" w:color="auto"/>
        <w:left w:val="none" w:sz="0" w:space="0" w:color="auto"/>
        <w:bottom w:val="none" w:sz="0" w:space="0" w:color="auto"/>
        <w:right w:val="none" w:sz="0" w:space="0" w:color="auto"/>
      </w:divBdr>
    </w:div>
    <w:div w:id="180048130">
      <w:bodyDiv w:val="1"/>
      <w:marLeft w:val="0"/>
      <w:marRight w:val="0"/>
      <w:marTop w:val="0"/>
      <w:marBottom w:val="0"/>
      <w:divBdr>
        <w:top w:val="none" w:sz="0" w:space="0" w:color="auto"/>
        <w:left w:val="none" w:sz="0" w:space="0" w:color="auto"/>
        <w:bottom w:val="none" w:sz="0" w:space="0" w:color="auto"/>
        <w:right w:val="none" w:sz="0" w:space="0" w:color="auto"/>
      </w:divBdr>
    </w:div>
    <w:div w:id="180357704">
      <w:bodyDiv w:val="1"/>
      <w:marLeft w:val="0"/>
      <w:marRight w:val="0"/>
      <w:marTop w:val="0"/>
      <w:marBottom w:val="0"/>
      <w:divBdr>
        <w:top w:val="none" w:sz="0" w:space="0" w:color="auto"/>
        <w:left w:val="none" w:sz="0" w:space="0" w:color="auto"/>
        <w:bottom w:val="none" w:sz="0" w:space="0" w:color="auto"/>
        <w:right w:val="none" w:sz="0" w:space="0" w:color="auto"/>
      </w:divBdr>
    </w:div>
    <w:div w:id="183978019">
      <w:bodyDiv w:val="1"/>
      <w:marLeft w:val="0"/>
      <w:marRight w:val="0"/>
      <w:marTop w:val="0"/>
      <w:marBottom w:val="0"/>
      <w:divBdr>
        <w:top w:val="none" w:sz="0" w:space="0" w:color="auto"/>
        <w:left w:val="none" w:sz="0" w:space="0" w:color="auto"/>
        <w:bottom w:val="none" w:sz="0" w:space="0" w:color="auto"/>
        <w:right w:val="none" w:sz="0" w:space="0" w:color="auto"/>
      </w:divBdr>
    </w:div>
    <w:div w:id="186254810">
      <w:bodyDiv w:val="1"/>
      <w:marLeft w:val="0"/>
      <w:marRight w:val="0"/>
      <w:marTop w:val="0"/>
      <w:marBottom w:val="0"/>
      <w:divBdr>
        <w:top w:val="none" w:sz="0" w:space="0" w:color="auto"/>
        <w:left w:val="none" w:sz="0" w:space="0" w:color="auto"/>
        <w:bottom w:val="none" w:sz="0" w:space="0" w:color="auto"/>
        <w:right w:val="none" w:sz="0" w:space="0" w:color="auto"/>
      </w:divBdr>
    </w:div>
    <w:div w:id="187371332">
      <w:bodyDiv w:val="1"/>
      <w:marLeft w:val="0"/>
      <w:marRight w:val="0"/>
      <w:marTop w:val="0"/>
      <w:marBottom w:val="0"/>
      <w:divBdr>
        <w:top w:val="none" w:sz="0" w:space="0" w:color="auto"/>
        <w:left w:val="none" w:sz="0" w:space="0" w:color="auto"/>
        <w:bottom w:val="none" w:sz="0" w:space="0" w:color="auto"/>
        <w:right w:val="none" w:sz="0" w:space="0" w:color="auto"/>
      </w:divBdr>
    </w:div>
    <w:div w:id="192039059">
      <w:bodyDiv w:val="1"/>
      <w:marLeft w:val="0"/>
      <w:marRight w:val="0"/>
      <w:marTop w:val="0"/>
      <w:marBottom w:val="0"/>
      <w:divBdr>
        <w:top w:val="none" w:sz="0" w:space="0" w:color="auto"/>
        <w:left w:val="none" w:sz="0" w:space="0" w:color="auto"/>
        <w:bottom w:val="none" w:sz="0" w:space="0" w:color="auto"/>
        <w:right w:val="none" w:sz="0" w:space="0" w:color="auto"/>
      </w:divBdr>
    </w:div>
    <w:div w:id="192891034">
      <w:bodyDiv w:val="1"/>
      <w:marLeft w:val="0"/>
      <w:marRight w:val="0"/>
      <w:marTop w:val="0"/>
      <w:marBottom w:val="0"/>
      <w:divBdr>
        <w:top w:val="none" w:sz="0" w:space="0" w:color="auto"/>
        <w:left w:val="none" w:sz="0" w:space="0" w:color="auto"/>
        <w:bottom w:val="none" w:sz="0" w:space="0" w:color="auto"/>
        <w:right w:val="none" w:sz="0" w:space="0" w:color="auto"/>
      </w:divBdr>
    </w:div>
    <w:div w:id="195315627">
      <w:bodyDiv w:val="1"/>
      <w:marLeft w:val="0"/>
      <w:marRight w:val="0"/>
      <w:marTop w:val="0"/>
      <w:marBottom w:val="0"/>
      <w:divBdr>
        <w:top w:val="none" w:sz="0" w:space="0" w:color="auto"/>
        <w:left w:val="none" w:sz="0" w:space="0" w:color="auto"/>
        <w:bottom w:val="none" w:sz="0" w:space="0" w:color="auto"/>
        <w:right w:val="none" w:sz="0" w:space="0" w:color="auto"/>
      </w:divBdr>
    </w:div>
    <w:div w:id="198708399">
      <w:bodyDiv w:val="1"/>
      <w:marLeft w:val="0"/>
      <w:marRight w:val="0"/>
      <w:marTop w:val="0"/>
      <w:marBottom w:val="0"/>
      <w:divBdr>
        <w:top w:val="none" w:sz="0" w:space="0" w:color="auto"/>
        <w:left w:val="none" w:sz="0" w:space="0" w:color="auto"/>
        <w:bottom w:val="none" w:sz="0" w:space="0" w:color="auto"/>
        <w:right w:val="none" w:sz="0" w:space="0" w:color="auto"/>
      </w:divBdr>
    </w:div>
    <w:div w:id="20194727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294762">
      <w:bodyDiv w:val="1"/>
      <w:marLeft w:val="0"/>
      <w:marRight w:val="0"/>
      <w:marTop w:val="0"/>
      <w:marBottom w:val="0"/>
      <w:divBdr>
        <w:top w:val="none" w:sz="0" w:space="0" w:color="auto"/>
        <w:left w:val="none" w:sz="0" w:space="0" w:color="auto"/>
        <w:bottom w:val="none" w:sz="0" w:space="0" w:color="auto"/>
        <w:right w:val="none" w:sz="0" w:space="0" w:color="auto"/>
      </w:divBdr>
    </w:div>
    <w:div w:id="203565740">
      <w:bodyDiv w:val="1"/>
      <w:marLeft w:val="0"/>
      <w:marRight w:val="0"/>
      <w:marTop w:val="0"/>
      <w:marBottom w:val="0"/>
      <w:divBdr>
        <w:top w:val="none" w:sz="0" w:space="0" w:color="auto"/>
        <w:left w:val="none" w:sz="0" w:space="0" w:color="auto"/>
        <w:bottom w:val="none" w:sz="0" w:space="0" w:color="auto"/>
        <w:right w:val="none" w:sz="0" w:space="0" w:color="auto"/>
      </w:divBdr>
    </w:div>
    <w:div w:id="204761381">
      <w:bodyDiv w:val="1"/>
      <w:marLeft w:val="0"/>
      <w:marRight w:val="0"/>
      <w:marTop w:val="0"/>
      <w:marBottom w:val="0"/>
      <w:divBdr>
        <w:top w:val="none" w:sz="0" w:space="0" w:color="auto"/>
        <w:left w:val="none" w:sz="0" w:space="0" w:color="auto"/>
        <w:bottom w:val="none" w:sz="0" w:space="0" w:color="auto"/>
        <w:right w:val="none" w:sz="0" w:space="0" w:color="auto"/>
      </w:divBdr>
    </w:div>
    <w:div w:id="205413052">
      <w:bodyDiv w:val="1"/>
      <w:marLeft w:val="0"/>
      <w:marRight w:val="0"/>
      <w:marTop w:val="0"/>
      <w:marBottom w:val="0"/>
      <w:divBdr>
        <w:top w:val="none" w:sz="0" w:space="0" w:color="auto"/>
        <w:left w:val="none" w:sz="0" w:space="0" w:color="auto"/>
        <w:bottom w:val="none" w:sz="0" w:space="0" w:color="auto"/>
        <w:right w:val="none" w:sz="0" w:space="0" w:color="auto"/>
      </w:divBdr>
    </w:div>
    <w:div w:id="208104947">
      <w:bodyDiv w:val="1"/>
      <w:marLeft w:val="0"/>
      <w:marRight w:val="0"/>
      <w:marTop w:val="0"/>
      <w:marBottom w:val="0"/>
      <w:divBdr>
        <w:top w:val="none" w:sz="0" w:space="0" w:color="auto"/>
        <w:left w:val="none" w:sz="0" w:space="0" w:color="auto"/>
        <w:bottom w:val="none" w:sz="0" w:space="0" w:color="auto"/>
        <w:right w:val="none" w:sz="0" w:space="0" w:color="auto"/>
      </w:divBdr>
    </w:div>
    <w:div w:id="208222331">
      <w:bodyDiv w:val="1"/>
      <w:marLeft w:val="0"/>
      <w:marRight w:val="0"/>
      <w:marTop w:val="0"/>
      <w:marBottom w:val="0"/>
      <w:divBdr>
        <w:top w:val="none" w:sz="0" w:space="0" w:color="auto"/>
        <w:left w:val="none" w:sz="0" w:space="0" w:color="auto"/>
        <w:bottom w:val="none" w:sz="0" w:space="0" w:color="auto"/>
        <w:right w:val="none" w:sz="0" w:space="0" w:color="auto"/>
      </w:divBdr>
    </w:div>
    <w:div w:id="209077525">
      <w:bodyDiv w:val="1"/>
      <w:marLeft w:val="0"/>
      <w:marRight w:val="0"/>
      <w:marTop w:val="0"/>
      <w:marBottom w:val="0"/>
      <w:divBdr>
        <w:top w:val="none" w:sz="0" w:space="0" w:color="auto"/>
        <w:left w:val="none" w:sz="0" w:space="0" w:color="auto"/>
        <w:bottom w:val="none" w:sz="0" w:space="0" w:color="auto"/>
        <w:right w:val="none" w:sz="0" w:space="0" w:color="auto"/>
      </w:divBdr>
    </w:div>
    <w:div w:id="209267678">
      <w:bodyDiv w:val="1"/>
      <w:marLeft w:val="0"/>
      <w:marRight w:val="0"/>
      <w:marTop w:val="0"/>
      <w:marBottom w:val="0"/>
      <w:divBdr>
        <w:top w:val="none" w:sz="0" w:space="0" w:color="auto"/>
        <w:left w:val="none" w:sz="0" w:space="0" w:color="auto"/>
        <w:bottom w:val="none" w:sz="0" w:space="0" w:color="auto"/>
        <w:right w:val="none" w:sz="0" w:space="0" w:color="auto"/>
      </w:divBdr>
    </w:div>
    <w:div w:id="213659427">
      <w:bodyDiv w:val="1"/>
      <w:marLeft w:val="0"/>
      <w:marRight w:val="0"/>
      <w:marTop w:val="0"/>
      <w:marBottom w:val="0"/>
      <w:divBdr>
        <w:top w:val="none" w:sz="0" w:space="0" w:color="auto"/>
        <w:left w:val="none" w:sz="0" w:space="0" w:color="auto"/>
        <w:bottom w:val="none" w:sz="0" w:space="0" w:color="auto"/>
        <w:right w:val="none" w:sz="0" w:space="0" w:color="auto"/>
      </w:divBdr>
    </w:div>
    <w:div w:id="214392771">
      <w:bodyDiv w:val="1"/>
      <w:marLeft w:val="0"/>
      <w:marRight w:val="0"/>
      <w:marTop w:val="0"/>
      <w:marBottom w:val="0"/>
      <w:divBdr>
        <w:top w:val="none" w:sz="0" w:space="0" w:color="auto"/>
        <w:left w:val="none" w:sz="0" w:space="0" w:color="auto"/>
        <w:bottom w:val="none" w:sz="0" w:space="0" w:color="auto"/>
        <w:right w:val="none" w:sz="0" w:space="0" w:color="auto"/>
      </w:divBdr>
    </w:div>
    <w:div w:id="215313170">
      <w:bodyDiv w:val="1"/>
      <w:marLeft w:val="0"/>
      <w:marRight w:val="0"/>
      <w:marTop w:val="0"/>
      <w:marBottom w:val="0"/>
      <w:divBdr>
        <w:top w:val="none" w:sz="0" w:space="0" w:color="auto"/>
        <w:left w:val="none" w:sz="0" w:space="0" w:color="auto"/>
        <w:bottom w:val="none" w:sz="0" w:space="0" w:color="auto"/>
        <w:right w:val="none" w:sz="0" w:space="0" w:color="auto"/>
      </w:divBdr>
    </w:div>
    <w:div w:id="217404984">
      <w:bodyDiv w:val="1"/>
      <w:marLeft w:val="0"/>
      <w:marRight w:val="0"/>
      <w:marTop w:val="0"/>
      <w:marBottom w:val="0"/>
      <w:divBdr>
        <w:top w:val="none" w:sz="0" w:space="0" w:color="auto"/>
        <w:left w:val="none" w:sz="0" w:space="0" w:color="auto"/>
        <w:bottom w:val="none" w:sz="0" w:space="0" w:color="auto"/>
        <w:right w:val="none" w:sz="0" w:space="0" w:color="auto"/>
      </w:divBdr>
    </w:div>
    <w:div w:id="218319863">
      <w:bodyDiv w:val="1"/>
      <w:marLeft w:val="0"/>
      <w:marRight w:val="0"/>
      <w:marTop w:val="0"/>
      <w:marBottom w:val="0"/>
      <w:divBdr>
        <w:top w:val="none" w:sz="0" w:space="0" w:color="auto"/>
        <w:left w:val="none" w:sz="0" w:space="0" w:color="auto"/>
        <w:bottom w:val="none" w:sz="0" w:space="0" w:color="auto"/>
        <w:right w:val="none" w:sz="0" w:space="0" w:color="auto"/>
      </w:divBdr>
    </w:div>
    <w:div w:id="219750962">
      <w:bodyDiv w:val="1"/>
      <w:marLeft w:val="0"/>
      <w:marRight w:val="0"/>
      <w:marTop w:val="0"/>
      <w:marBottom w:val="0"/>
      <w:divBdr>
        <w:top w:val="none" w:sz="0" w:space="0" w:color="auto"/>
        <w:left w:val="none" w:sz="0" w:space="0" w:color="auto"/>
        <w:bottom w:val="none" w:sz="0" w:space="0" w:color="auto"/>
        <w:right w:val="none" w:sz="0" w:space="0" w:color="auto"/>
      </w:divBdr>
    </w:div>
    <w:div w:id="220023001">
      <w:bodyDiv w:val="1"/>
      <w:marLeft w:val="0"/>
      <w:marRight w:val="0"/>
      <w:marTop w:val="0"/>
      <w:marBottom w:val="0"/>
      <w:divBdr>
        <w:top w:val="none" w:sz="0" w:space="0" w:color="auto"/>
        <w:left w:val="none" w:sz="0" w:space="0" w:color="auto"/>
        <w:bottom w:val="none" w:sz="0" w:space="0" w:color="auto"/>
        <w:right w:val="none" w:sz="0" w:space="0" w:color="auto"/>
      </w:divBdr>
    </w:div>
    <w:div w:id="220143653">
      <w:bodyDiv w:val="1"/>
      <w:marLeft w:val="0"/>
      <w:marRight w:val="0"/>
      <w:marTop w:val="0"/>
      <w:marBottom w:val="0"/>
      <w:divBdr>
        <w:top w:val="none" w:sz="0" w:space="0" w:color="auto"/>
        <w:left w:val="none" w:sz="0" w:space="0" w:color="auto"/>
        <w:bottom w:val="none" w:sz="0" w:space="0" w:color="auto"/>
        <w:right w:val="none" w:sz="0" w:space="0" w:color="auto"/>
      </w:divBdr>
    </w:div>
    <w:div w:id="220404094">
      <w:bodyDiv w:val="1"/>
      <w:marLeft w:val="0"/>
      <w:marRight w:val="0"/>
      <w:marTop w:val="0"/>
      <w:marBottom w:val="0"/>
      <w:divBdr>
        <w:top w:val="none" w:sz="0" w:space="0" w:color="auto"/>
        <w:left w:val="none" w:sz="0" w:space="0" w:color="auto"/>
        <w:bottom w:val="none" w:sz="0" w:space="0" w:color="auto"/>
        <w:right w:val="none" w:sz="0" w:space="0" w:color="auto"/>
      </w:divBdr>
    </w:div>
    <w:div w:id="220673482">
      <w:bodyDiv w:val="1"/>
      <w:marLeft w:val="0"/>
      <w:marRight w:val="0"/>
      <w:marTop w:val="0"/>
      <w:marBottom w:val="0"/>
      <w:divBdr>
        <w:top w:val="none" w:sz="0" w:space="0" w:color="auto"/>
        <w:left w:val="none" w:sz="0" w:space="0" w:color="auto"/>
        <w:bottom w:val="none" w:sz="0" w:space="0" w:color="auto"/>
        <w:right w:val="none" w:sz="0" w:space="0" w:color="auto"/>
      </w:divBdr>
    </w:div>
    <w:div w:id="224225226">
      <w:bodyDiv w:val="1"/>
      <w:marLeft w:val="0"/>
      <w:marRight w:val="0"/>
      <w:marTop w:val="0"/>
      <w:marBottom w:val="0"/>
      <w:divBdr>
        <w:top w:val="none" w:sz="0" w:space="0" w:color="auto"/>
        <w:left w:val="none" w:sz="0" w:space="0" w:color="auto"/>
        <w:bottom w:val="none" w:sz="0" w:space="0" w:color="auto"/>
        <w:right w:val="none" w:sz="0" w:space="0" w:color="auto"/>
      </w:divBdr>
    </w:div>
    <w:div w:id="227884919">
      <w:bodyDiv w:val="1"/>
      <w:marLeft w:val="0"/>
      <w:marRight w:val="0"/>
      <w:marTop w:val="0"/>
      <w:marBottom w:val="0"/>
      <w:divBdr>
        <w:top w:val="none" w:sz="0" w:space="0" w:color="auto"/>
        <w:left w:val="none" w:sz="0" w:space="0" w:color="auto"/>
        <w:bottom w:val="none" w:sz="0" w:space="0" w:color="auto"/>
        <w:right w:val="none" w:sz="0" w:space="0" w:color="auto"/>
      </w:divBdr>
    </w:div>
    <w:div w:id="233004695">
      <w:bodyDiv w:val="1"/>
      <w:marLeft w:val="0"/>
      <w:marRight w:val="0"/>
      <w:marTop w:val="0"/>
      <w:marBottom w:val="0"/>
      <w:divBdr>
        <w:top w:val="none" w:sz="0" w:space="0" w:color="auto"/>
        <w:left w:val="none" w:sz="0" w:space="0" w:color="auto"/>
        <w:bottom w:val="none" w:sz="0" w:space="0" w:color="auto"/>
        <w:right w:val="none" w:sz="0" w:space="0" w:color="auto"/>
      </w:divBdr>
    </w:div>
    <w:div w:id="238366999">
      <w:bodyDiv w:val="1"/>
      <w:marLeft w:val="0"/>
      <w:marRight w:val="0"/>
      <w:marTop w:val="0"/>
      <w:marBottom w:val="0"/>
      <w:divBdr>
        <w:top w:val="none" w:sz="0" w:space="0" w:color="auto"/>
        <w:left w:val="none" w:sz="0" w:space="0" w:color="auto"/>
        <w:bottom w:val="none" w:sz="0" w:space="0" w:color="auto"/>
        <w:right w:val="none" w:sz="0" w:space="0" w:color="auto"/>
      </w:divBdr>
    </w:div>
    <w:div w:id="244384171">
      <w:bodyDiv w:val="1"/>
      <w:marLeft w:val="0"/>
      <w:marRight w:val="0"/>
      <w:marTop w:val="0"/>
      <w:marBottom w:val="0"/>
      <w:divBdr>
        <w:top w:val="none" w:sz="0" w:space="0" w:color="auto"/>
        <w:left w:val="none" w:sz="0" w:space="0" w:color="auto"/>
        <w:bottom w:val="none" w:sz="0" w:space="0" w:color="auto"/>
        <w:right w:val="none" w:sz="0" w:space="0" w:color="auto"/>
      </w:divBdr>
    </w:div>
    <w:div w:id="246770850">
      <w:bodyDiv w:val="1"/>
      <w:marLeft w:val="0"/>
      <w:marRight w:val="0"/>
      <w:marTop w:val="0"/>
      <w:marBottom w:val="0"/>
      <w:divBdr>
        <w:top w:val="none" w:sz="0" w:space="0" w:color="auto"/>
        <w:left w:val="none" w:sz="0" w:space="0" w:color="auto"/>
        <w:bottom w:val="none" w:sz="0" w:space="0" w:color="auto"/>
        <w:right w:val="none" w:sz="0" w:space="0" w:color="auto"/>
      </w:divBdr>
    </w:div>
    <w:div w:id="247351051">
      <w:bodyDiv w:val="1"/>
      <w:marLeft w:val="0"/>
      <w:marRight w:val="0"/>
      <w:marTop w:val="0"/>
      <w:marBottom w:val="0"/>
      <w:divBdr>
        <w:top w:val="none" w:sz="0" w:space="0" w:color="auto"/>
        <w:left w:val="none" w:sz="0" w:space="0" w:color="auto"/>
        <w:bottom w:val="none" w:sz="0" w:space="0" w:color="auto"/>
        <w:right w:val="none" w:sz="0" w:space="0" w:color="auto"/>
      </w:divBdr>
    </w:div>
    <w:div w:id="249849004">
      <w:bodyDiv w:val="1"/>
      <w:marLeft w:val="0"/>
      <w:marRight w:val="0"/>
      <w:marTop w:val="0"/>
      <w:marBottom w:val="0"/>
      <w:divBdr>
        <w:top w:val="none" w:sz="0" w:space="0" w:color="auto"/>
        <w:left w:val="none" w:sz="0" w:space="0" w:color="auto"/>
        <w:bottom w:val="none" w:sz="0" w:space="0" w:color="auto"/>
        <w:right w:val="none" w:sz="0" w:space="0" w:color="auto"/>
      </w:divBdr>
    </w:div>
    <w:div w:id="250819644">
      <w:bodyDiv w:val="1"/>
      <w:marLeft w:val="0"/>
      <w:marRight w:val="0"/>
      <w:marTop w:val="0"/>
      <w:marBottom w:val="0"/>
      <w:divBdr>
        <w:top w:val="none" w:sz="0" w:space="0" w:color="auto"/>
        <w:left w:val="none" w:sz="0" w:space="0" w:color="auto"/>
        <w:bottom w:val="none" w:sz="0" w:space="0" w:color="auto"/>
        <w:right w:val="none" w:sz="0" w:space="0" w:color="auto"/>
      </w:divBdr>
    </w:div>
    <w:div w:id="251356572">
      <w:bodyDiv w:val="1"/>
      <w:marLeft w:val="0"/>
      <w:marRight w:val="0"/>
      <w:marTop w:val="0"/>
      <w:marBottom w:val="0"/>
      <w:divBdr>
        <w:top w:val="none" w:sz="0" w:space="0" w:color="auto"/>
        <w:left w:val="none" w:sz="0" w:space="0" w:color="auto"/>
        <w:bottom w:val="none" w:sz="0" w:space="0" w:color="auto"/>
        <w:right w:val="none" w:sz="0" w:space="0" w:color="auto"/>
      </w:divBdr>
    </w:div>
    <w:div w:id="254637886">
      <w:bodyDiv w:val="1"/>
      <w:marLeft w:val="0"/>
      <w:marRight w:val="0"/>
      <w:marTop w:val="0"/>
      <w:marBottom w:val="0"/>
      <w:divBdr>
        <w:top w:val="none" w:sz="0" w:space="0" w:color="auto"/>
        <w:left w:val="none" w:sz="0" w:space="0" w:color="auto"/>
        <w:bottom w:val="none" w:sz="0" w:space="0" w:color="auto"/>
        <w:right w:val="none" w:sz="0" w:space="0" w:color="auto"/>
      </w:divBdr>
    </w:div>
    <w:div w:id="258415736">
      <w:bodyDiv w:val="1"/>
      <w:marLeft w:val="0"/>
      <w:marRight w:val="0"/>
      <w:marTop w:val="0"/>
      <w:marBottom w:val="0"/>
      <w:divBdr>
        <w:top w:val="none" w:sz="0" w:space="0" w:color="auto"/>
        <w:left w:val="none" w:sz="0" w:space="0" w:color="auto"/>
        <w:bottom w:val="none" w:sz="0" w:space="0" w:color="auto"/>
        <w:right w:val="none" w:sz="0" w:space="0" w:color="auto"/>
      </w:divBdr>
    </w:div>
    <w:div w:id="266162265">
      <w:bodyDiv w:val="1"/>
      <w:marLeft w:val="0"/>
      <w:marRight w:val="0"/>
      <w:marTop w:val="0"/>
      <w:marBottom w:val="0"/>
      <w:divBdr>
        <w:top w:val="none" w:sz="0" w:space="0" w:color="auto"/>
        <w:left w:val="none" w:sz="0" w:space="0" w:color="auto"/>
        <w:bottom w:val="none" w:sz="0" w:space="0" w:color="auto"/>
        <w:right w:val="none" w:sz="0" w:space="0" w:color="auto"/>
      </w:divBdr>
    </w:div>
    <w:div w:id="266622405">
      <w:bodyDiv w:val="1"/>
      <w:marLeft w:val="0"/>
      <w:marRight w:val="0"/>
      <w:marTop w:val="0"/>
      <w:marBottom w:val="0"/>
      <w:divBdr>
        <w:top w:val="none" w:sz="0" w:space="0" w:color="auto"/>
        <w:left w:val="none" w:sz="0" w:space="0" w:color="auto"/>
        <w:bottom w:val="none" w:sz="0" w:space="0" w:color="auto"/>
        <w:right w:val="none" w:sz="0" w:space="0" w:color="auto"/>
      </w:divBdr>
    </w:div>
    <w:div w:id="268513141">
      <w:bodyDiv w:val="1"/>
      <w:marLeft w:val="0"/>
      <w:marRight w:val="0"/>
      <w:marTop w:val="0"/>
      <w:marBottom w:val="0"/>
      <w:divBdr>
        <w:top w:val="none" w:sz="0" w:space="0" w:color="auto"/>
        <w:left w:val="none" w:sz="0" w:space="0" w:color="auto"/>
        <w:bottom w:val="none" w:sz="0" w:space="0" w:color="auto"/>
        <w:right w:val="none" w:sz="0" w:space="0" w:color="auto"/>
      </w:divBdr>
    </w:div>
    <w:div w:id="268781311">
      <w:bodyDiv w:val="1"/>
      <w:marLeft w:val="0"/>
      <w:marRight w:val="0"/>
      <w:marTop w:val="0"/>
      <w:marBottom w:val="0"/>
      <w:divBdr>
        <w:top w:val="none" w:sz="0" w:space="0" w:color="auto"/>
        <w:left w:val="none" w:sz="0" w:space="0" w:color="auto"/>
        <w:bottom w:val="none" w:sz="0" w:space="0" w:color="auto"/>
        <w:right w:val="none" w:sz="0" w:space="0" w:color="auto"/>
      </w:divBdr>
    </w:div>
    <w:div w:id="277612929">
      <w:bodyDiv w:val="1"/>
      <w:marLeft w:val="0"/>
      <w:marRight w:val="0"/>
      <w:marTop w:val="0"/>
      <w:marBottom w:val="0"/>
      <w:divBdr>
        <w:top w:val="none" w:sz="0" w:space="0" w:color="auto"/>
        <w:left w:val="none" w:sz="0" w:space="0" w:color="auto"/>
        <w:bottom w:val="none" w:sz="0" w:space="0" w:color="auto"/>
        <w:right w:val="none" w:sz="0" w:space="0" w:color="auto"/>
      </w:divBdr>
    </w:div>
    <w:div w:id="278755682">
      <w:bodyDiv w:val="1"/>
      <w:marLeft w:val="0"/>
      <w:marRight w:val="0"/>
      <w:marTop w:val="0"/>
      <w:marBottom w:val="0"/>
      <w:divBdr>
        <w:top w:val="none" w:sz="0" w:space="0" w:color="auto"/>
        <w:left w:val="none" w:sz="0" w:space="0" w:color="auto"/>
        <w:bottom w:val="none" w:sz="0" w:space="0" w:color="auto"/>
        <w:right w:val="none" w:sz="0" w:space="0" w:color="auto"/>
      </w:divBdr>
    </w:div>
    <w:div w:id="281308538">
      <w:bodyDiv w:val="1"/>
      <w:marLeft w:val="0"/>
      <w:marRight w:val="0"/>
      <w:marTop w:val="0"/>
      <w:marBottom w:val="0"/>
      <w:divBdr>
        <w:top w:val="none" w:sz="0" w:space="0" w:color="auto"/>
        <w:left w:val="none" w:sz="0" w:space="0" w:color="auto"/>
        <w:bottom w:val="none" w:sz="0" w:space="0" w:color="auto"/>
        <w:right w:val="none" w:sz="0" w:space="0" w:color="auto"/>
      </w:divBdr>
    </w:div>
    <w:div w:id="281570693">
      <w:bodyDiv w:val="1"/>
      <w:marLeft w:val="0"/>
      <w:marRight w:val="0"/>
      <w:marTop w:val="0"/>
      <w:marBottom w:val="0"/>
      <w:divBdr>
        <w:top w:val="none" w:sz="0" w:space="0" w:color="auto"/>
        <w:left w:val="none" w:sz="0" w:space="0" w:color="auto"/>
        <w:bottom w:val="none" w:sz="0" w:space="0" w:color="auto"/>
        <w:right w:val="none" w:sz="0" w:space="0" w:color="auto"/>
      </w:divBdr>
    </w:div>
    <w:div w:id="281574635">
      <w:bodyDiv w:val="1"/>
      <w:marLeft w:val="0"/>
      <w:marRight w:val="0"/>
      <w:marTop w:val="0"/>
      <w:marBottom w:val="0"/>
      <w:divBdr>
        <w:top w:val="none" w:sz="0" w:space="0" w:color="auto"/>
        <w:left w:val="none" w:sz="0" w:space="0" w:color="auto"/>
        <w:bottom w:val="none" w:sz="0" w:space="0" w:color="auto"/>
        <w:right w:val="none" w:sz="0" w:space="0" w:color="auto"/>
      </w:divBdr>
    </w:div>
    <w:div w:id="284118732">
      <w:bodyDiv w:val="1"/>
      <w:marLeft w:val="0"/>
      <w:marRight w:val="0"/>
      <w:marTop w:val="0"/>
      <w:marBottom w:val="0"/>
      <w:divBdr>
        <w:top w:val="none" w:sz="0" w:space="0" w:color="auto"/>
        <w:left w:val="none" w:sz="0" w:space="0" w:color="auto"/>
        <w:bottom w:val="none" w:sz="0" w:space="0" w:color="auto"/>
        <w:right w:val="none" w:sz="0" w:space="0" w:color="auto"/>
      </w:divBdr>
    </w:div>
    <w:div w:id="284624069">
      <w:bodyDiv w:val="1"/>
      <w:marLeft w:val="0"/>
      <w:marRight w:val="0"/>
      <w:marTop w:val="0"/>
      <w:marBottom w:val="0"/>
      <w:divBdr>
        <w:top w:val="none" w:sz="0" w:space="0" w:color="auto"/>
        <w:left w:val="none" w:sz="0" w:space="0" w:color="auto"/>
        <w:bottom w:val="none" w:sz="0" w:space="0" w:color="auto"/>
        <w:right w:val="none" w:sz="0" w:space="0" w:color="auto"/>
      </w:divBdr>
    </w:div>
    <w:div w:id="287441965">
      <w:bodyDiv w:val="1"/>
      <w:marLeft w:val="0"/>
      <w:marRight w:val="0"/>
      <w:marTop w:val="0"/>
      <w:marBottom w:val="0"/>
      <w:divBdr>
        <w:top w:val="none" w:sz="0" w:space="0" w:color="auto"/>
        <w:left w:val="none" w:sz="0" w:space="0" w:color="auto"/>
        <w:bottom w:val="none" w:sz="0" w:space="0" w:color="auto"/>
        <w:right w:val="none" w:sz="0" w:space="0" w:color="auto"/>
      </w:divBdr>
    </w:div>
    <w:div w:id="287978337">
      <w:bodyDiv w:val="1"/>
      <w:marLeft w:val="0"/>
      <w:marRight w:val="0"/>
      <w:marTop w:val="0"/>
      <w:marBottom w:val="0"/>
      <w:divBdr>
        <w:top w:val="none" w:sz="0" w:space="0" w:color="auto"/>
        <w:left w:val="none" w:sz="0" w:space="0" w:color="auto"/>
        <w:bottom w:val="none" w:sz="0" w:space="0" w:color="auto"/>
        <w:right w:val="none" w:sz="0" w:space="0" w:color="auto"/>
      </w:divBdr>
    </w:div>
    <w:div w:id="290089652">
      <w:bodyDiv w:val="1"/>
      <w:marLeft w:val="0"/>
      <w:marRight w:val="0"/>
      <w:marTop w:val="0"/>
      <w:marBottom w:val="0"/>
      <w:divBdr>
        <w:top w:val="none" w:sz="0" w:space="0" w:color="auto"/>
        <w:left w:val="none" w:sz="0" w:space="0" w:color="auto"/>
        <w:bottom w:val="none" w:sz="0" w:space="0" w:color="auto"/>
        <w:right w:val="none" w:sz="0" w:space="0" w:color="auto"/>
      </w:divBdr>
    </w:div>
    <w:div w:id="293147398">
      <w:bodyDiv w:val="1"/>
      <w:marLeft w:val="0"/>
      <w:marRight w:val="0"/>
      <w:marTop w:val="0"/>
      <w:marBottom w:val="0"/>
      <w:divBdr>
        <w:top w:val="none" w:sz="0" w:space="0" w:color="auto"/>
        <w:left w:val="none" w:sz="0" w:space="0" w:color="auto"/>
        <w:bottom w:val="none" w:sz="0" w:space="0" w:color="auto"/>
        <w:right w:val="none" w:sz="0" w:space="0" w:color="auto"/>
      </w:divBdr>
    </w:div>
    <w:div w:id="294528890">
      <w:bodyDiv w:val="1"/>
      <w:marLeft w:val="0"/>
      <w:marRight w:val="0"/>
      <w:marTop w:val="0"/>
      <w:marBottom w:val="0"/>
      <w:divBdr>
        <w:top w:val="none" w:sz="0" w:space="0" w:color="auto"/>
        <w:left w:val="none" w:sz="0" w:space="0" w:color="auto"/>
        <w:bottom w:val="none" w:sz="0" w:space="0" w:color="auto"/>
        <w:right w:val="none" w:sz="0" w:space="0" w:color="auto"/>
      </w:divBdr>
    </w:div>
    <w:div w:id="299114258">
      <w:bodyDiv w:val="1"/>
      <w:marLeft w:val="0"/>
      <w:marRight w:val="0"/>
      <w:marTop w:val="0"/>
      <w:marBottom w:val="0"/>
      <w:divBdr>
        <w:top w:val="none" w:sz="0" w:space="0" w:color="auto"/>
        <w:left w:val="none" w:sz="0" w:space="0" w:color="auto"/>
        <w:bottom w:val="none" w:sz="0" w:space="0" w:color="auto"/>
        <w:right w:val="none" w:sz="0" w:space="0" w:color="auto"/>
      </w:divBdr>
    </w:div>
    <w:div w:id="300232827">
      <w:bodyDiv w:val="1"/>
      <w:marLeft w:val="0"/>
      <w:marRight w:val="0"/>
      <w:marTop w:val="0"/>
      <w:marBottom w:val="0"/>
      <w:divBdr>
        <w:top w:val="none" w:sz="0" w:space="0" w:color="auto"/>
        <w:left w:val="none" w:sz="0" w:space="0" w:color="auto"/>
        <w:bottom w:val="none" w:sz="0" w:space="0" w:color="auto"/>
        <w:right w:val="none" w:sz="0" w:space="0" w:color="auto"/>
      </w:divBdr>
    </w:div>
    <w:div w:id="302202252">
      <w:bodyDiv w:val="1"/>
      <w:marLeft w:val="0"/>
      <w:marRight w:val="0"/>
      <w:marTop w:val="0"/>
      <w:marBottom w:val="0"/>
      <w:divBdr>
        <w:top w:val="none" w:sz="0" w:space="0" w:color="auto"/>
        <w:left w:val="none" w:sz="0" w:space="0" w:color="auto"/>
        <w:bottom w:val="none" w:sz="0" w:space="0" w:color="auto"/>
        <w:right w:val="none" w:sz="0" w:space="0" w:color="auto"/>
      </w:divBdr>
    </w:div>
    <w:div w:id="307445018">
      <w:bodyDiv w:val="1"/>
      <w:marLeft w:val="0"/>
      <w:marRight w:val="0"/>
      <w:marTop w:val="0"/>
      <w:marBottom w:val="0"/>
      <w:divBdr>
        <w:top w:val="none" w:sz="0" w:space="0" w:color="auto"/>
        <w:left w:val="none" w:sz="0" w:space="0" w:color="auto"/>
        <w:bottom w:val="none" w:sz="0" w:space="0" w:color="auto"/>
        <w:right w:val="none" w:sz="0" w:space="0" w:color="auto"/>
      </w:divBdr>
    </w:div>
    <w:div w:id="311838008">
      <w:bodyDiv w:val="1"/>
      <w:marLeft w:val="0"/>
      <w:marRight w:val="0"/>
      <w:marTop w:val="0"/>
      <w:marBottom w:val="0"/>
      <w:divBdr>
        <w:top w:val="none" w:sz="0" w:space="0" w:color="auto"/>
        <w:left w:val="none" w:sz="0" w:space="0" w:color="auto"/>
        <w:bottom w:val="none" w:sz="0" w:space="0" w:color="auto"/>
        <w:right w:val="none" w:sz="0" w:space="0" w:color="auto"/>
      </w:divBdr>
    </w:div>
    <w:div w:id="314846511">
      <w:bodyDiv w:val="1"/>
      <w:marLeft w:val="0"/>
      <w:marRight w:val="0"/>
      <w:marTop w:val="0"/>
      <w:marBottom w:val="0"/>
      <w:divBdr>
        <w:top w:val="none" w:sz="0" w:space="0" w:color="auto"/>
        <w:left w:val="none" w:sz="0" w:space="0" w:color="auto"/>
        <w:bottom w:val="none" w:sz="0" w:space="0" w:color="auto"/>
        <w:right w:val="none" w:sz="0" w:space="0" w:color="auto"/>
      </w:divBdr>
    </w:div>
    <w:div w:id="318922426">
      <w:bodyDiv w:val="1"/>
      <w:marLeft w:val="0"/>
      <w:marRight w:val="0"/>
      <w:marTop w:val="0"/>
      <w:marBottom w:val="0"/>
      <w:divBdr>
        <w:top w:val="none" w:sz="0" w:space="0" w:color="auto"/>
        <w:left w:val="none" w:sz="0" w:space="0" w:color="auto"/>
        <w:bottom w:val="none" w:sz="0" w:space="0" w:color="auto"/>
        <w:right w:val="none" w:sz="0" w:space="0" w:color="auto"/>
      </w:divBdr>
    </w:div>
    <w:div w:id="319161796">
      <w:bodyDiv w:val="1"/>
      <w:marLeft w:val="0"/>
      <w:marRight w:val="0"/>
      <w:marTop w:val="0"/>
      <w:marBottom w:val="0"/>
      <w:divBdr>
        <w:top w:val="none" w:sz="0" w:space="0" w:color="auto"/>
        <w:left w:val="none" w:sz="0" w:space="0" w:color="auto"/>
        <w:bottom w:val="none" w:sz="0" w:space="0" w:color="auto"/>
        <w:right w:val="none" w:sz="0" w:space="0" w:color="auto"/>
      </w:divBdr>
    </w:div>
    <w:div w:id="319500432">
      <w:bodyDiv w:val="1"/>
      <w:marLeft w:val="0"/>
      <w:marRight w:val="0"/>
      <w:marTop w:val="0"/>
      <w:marBottom w:val="0"/>
      <w:divBdr>
        <w:top w:val="none" w:sz="0" w:space="0" w:color="auto"/>
        <w:left w:val="none" w:sz="0" w:space="0" w:color="auto"/>
        <w:bottom w:val="none" w:sz="0" w:space="0" w:color="auto"/>
        <w:right w:val="none" w:sz="0" w:space="0" w:color="auto"/>
      </w:divBdr>
    </w:div>
    <w:div w:id="322315809">
      <w:bodyDiv w:val="1"/>
      <w:marLeft w:val="0"/>
      <w:marRight w:val="0"/>
      <w:marTop w:val="0"/>
      <w:marBottom w:val="0"/>
      <w:divBdr>
        <w:top w:val="none" w:sz="0" w:space="0" w:color="auto"/>
        <w:left w:val="none" w:sz="0" w:space="0" w:color="auto"/>
        <w:bottom w:val="none" w:sz="0" w:space="0" w:color="auto"/>
        <w:right w:val="none" w:sz="0" w:space="0" w:color="auto"/>
      </w:divBdr>
    </w:div>
    <w:div w:id="324286609">
      <w:bodyDiv w:val="1"/>
      <w:marLeft w:val="0"/>
      <w:marRight w:val="0"/>
      <w:marTop w:val="0"/>
      <w:marBottom w:val="0"/>
      <w:divBdr>
        <w:top w:val="none" w:sz="0" w:space="0" w:color="auto"/>
        <w:left w:val="none" w:sz="0" w:space="0" w:color="auto"/>
        <w:bottom w:val="none" w:sz="0" w:space="0" w:color="auto"/>
        <w:right w:val="none" w:sz="0" w:space="0" w:color="auto"/>
      </w:divBdr>
    </w:div>
    <w:div w:id="325405963">
      <w:bodyDiv w:val="1"/>
      <w:marLeft w:val="0"/>
      <w:marRight w:val="0"/>
      <w:marTop w:val="0"/>
      <w:marBottom w:val="0"/>
      <w:divBdr>
        <w:top w:val="none" w:sz="0" w:space="0" w:color="auto"/>
        <w:left w:val="none" w:sz="0" w:space="0" w:color="auto"/>
        <w:bottom w:val="none" w:sz="0" w:space="0" w:color="auto"/>
        <w:right w:val="none" w:sz="0" w:space="0" w:color="auto"/>
      </w:divBdr>
    </w:div>
    <w:div w:id="330987490">
      <w:bodyDiv w:val="1"/>
      <w:marLeft w:val="0"/>
      <w:marRight w:val="0"/>
      <w:marTop w:val="0"/>
      <w:marBottom w:val="0"/>
      <w:divBdr>
        <w:top w:val="none" w:sz="0" w:space="0" w:color="auto"/>
        <w:left w:val="none" w:sz="0" w:space="0" w:color="auto"/>
        <w:bottom w:val="none" w:sz="0" w:space="0" w:color="auto"/>
        <w:right w:val="none" w:sz="0" w:space="0" w:color="auto"/>
      </w:divBdr>
    </w:div>
    <w:div w:id="33222372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192211">
      <w:bodyDiv w:val="1"/>
      <w:marLeft w:val="0"/>
      <w:marRight w:val="0"/>
      <w:marTop w:val="0"/>
      <w:marBottom w:val="0"/>
      <w:divBdr>
        <w:top w:val="none" w:sz="0" w:space="0" w:color="auto"/>
        <w:left w:val="none" w:sz="0" w:space="0" w:color="auto"/>
        <w:bottom w:val="none" w:sz="0" w:space="0" w:color="auto"/>
        <w:right w:val="none" w:sz="0" w:space="0" w:color="auto"/>
      </w:divBdr>
    </w:div>
    <w:div w:id="340475198">
      <w:bodyDiv w:val="1"/>
      <w:marLeft w:val="0"/>
      <w:marRight w:val="0"/>
      <w:marTop w:val="0"/>
      <w:marBottom w:val="0"/>
      <w:divBdr>
        <w:top w:val="none" w:sz="0" w:space="0" w:color="auto"/>
        <w:left w:val="none" w:sz="0" w:space="0" w:color="auto"/>
        <w:bottom w:val="none" w:sz="0" w:space="0" w:color="auto"/>
        <w:right w:val="none" w:sz="0" w:space="0" w:color="auto"/>
      </w:divBdr>
    </w:div>
    <w:div w:id="341855957">
      <w:bodyDiv w:val="1"/>
      <w:marLeft w:val="0"/>
      <w:marRight w:val="0"/>
      <w:marTop w:val="0"/>
      <w:marBottom w:val="0"/>
      <w:divBdr>
        <w:top w:val="none" w:sz="0" w:space="0" w:color="auto"/>
        <w:left w:val="none" w:sz="0" w:space="0" w:color="auto"/>
        <w:bottom w:val="none" w:sz="0" w:space="0" w:color="auto"/>
        <w:right w:val="none" w:sz="0" w:space="0" w:color="auto"/>
      </w:divBdr>
    </w:div>
    <w:div w:id="343938749">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45134613">
      <w:bodyDiv w:val="1"/>
      <w:marLeft w:val="0"/>
      <w:marRight w:val="0"/>
      <w:marTop w:val="0"/>
      <w:marBottom w:val="0"/>
      <w:divBdr>
        <w:top w:val="none" w:sz="0" w:space="0" w:color="auto"/>
        <w:left w:val="none" w:sz="0" w:space="0" w:color="auto"/>
        <w:bottom w:val="none" w:sz="0" w:space="0" w:color="auto"/>
        <w:right w:val="none" w:sz="0" w:space="0" w:color="auto"/>
      </w:divBdr>
    </w:div>
    <w:div w:id="350497343">
      <w:bodyDiv w:val="1"/>
      <w:marLeft w:val="0"/>
      <w:marRight w:val="0"/>
      <w:marTop w:val="0"/>
      <w:marBottom w:val="0"/>
      <w:divBdr>
        <w:top w:val="none" w:sz="0" w:space="0" w:color="auto"/>
        <w:left w:val="none" w:sz="0" w:space="0" w:color="auto"/>
        <w:bottom w:val="none" w:sz="0" w:space="0" w:color="auto"/>
        <w:right w:val="none" w:sz="0" w:space="0" w:color="auto"/>
      </w:divBdr>
    </w:div>
    <w:div w:id="351805360">
      <w:bodyDiv w:val="1"/>
      <w:marLeft w:val="0"/>
      <w:marRight w:val="0"/>
      <w:marTop w:val="0"/>
      <w:marBottom w:val="0"/>
      <w:divBdr>
        <w:top w:val="none" w:sz="0" w:space="0" w:color="auto"/>
        <w:left w:val="none" w:sz="0" w:space="0" w:color="auto"/>
        <w:bottom w:val="none" w:sz="0" w:space="0" w:color="auto"/>
        <w:right w:val="none" w:sz="0" w:space="0" w:color="auto"/>
      </w:divBdr>
    </w:div>
    <w:div w:id="351997241">
      <w:bodyDiv w:val="1"/>
      <w:marLeft w:val="0"/>
      <w:marRight w:val="0"/>
      <w:marTop w:val="0"/>
      <w:marBottom w:val="0"/>
      <w:divBdr>
        <w:top w:val="none" w:sz="0" w:space="0" w:color="auto"/>
        <w:left w:val="none" w:sz="0" w:space="0" w:color="auto"/>
        <w:bottom w:val="none" w:sz="0" w:space="0" w:color="auto"/>
        <w:right w:val="none" w:sz="0" w:space="0" w:color="auto"/>
      </w:divBdr>
    </w:div>
    <w:div w:id="353769679">
      <w:bodyDiv w:val="1"/>
      <w:marLeft w:val="0"/>
      <w:marRight w:val="0"/>
      <w:marTop w:val="0"/>
      <w:marBottom w:val="0"/>
      <w:divBdr>
        <w:top w:val="none" w:sz="0" w:space="0" w:color="auto"/>
        <w:left w:val="none" w:sz="0" w:space="0" w:color="auto"/>
        <w:bottom w:val="none" w:sz="0" w:space="0" w:color="auto"/>
        <w:right w:val="none" w:sz="0" w:space="0" w:color="auto"/>
      </w:divBdr>
    </w:div>
    <w:div w:id="354965262">
      <w:bodyDiv w:val="1"/>
      <w:marLeft w:val="0"/>
      <w:marRight w:val="0"/>
      <w:marTop w:val="0"/>
      <w:marBottom w:val="0"/>
      <w:divBdr>
        <w:top w:val="none" w:sz="0" w:space="0" w:color="auto"/>
        <w:left w:val="none" w:sz="0" w:space="0" w:color="auto"/>
        <w:bottom w:val="none" w:sz="0" w:space="0" w:color="auto"/>
        <w:right w:val="none" w:sz="0" w:space="0" w:color="auto"/>
      </w:divBdr>
    </w:div>
    <w:div w:id="355037875">
      <w:bodyDiv w:val="1"/>
      <w:marLeft w:val="0"/>
      <w:marRight w:val="0"/>
      <w:marTop w:val="0"/>
      <w:marBottom w:val="0"/>
      <w:divBdr>
        <w:top w:val="none" w:sz="0" w:space="0" w:color="auto"/>
        <w:left w:val="none" w:sz="0" w:space="0" w:color="auto"/>
        <w:bottom w:val="none" w:sz="0" w:space="0" w:color="auto"/>
        <w:right w:val="none" w:sz="0" w:space="0" w:color="auto"/>
      </w:divBdr>
    </w:div>
    <w:div w:id="359161015">
      <w:bodyDiv w:val="1"/>
      <w:marLeft w:val="0"/>
      <w:marRight w:val="0"/>
      <w:marTop w:val="0"/>
      <w:marBottom w:val="0"/>
      <w:divBdr>
        <w:top w:val="none" w:sz="0" w:space="0" w:color="auto"/>
        <w:left w:val="none" w:sz="0" w:space="0" w:color="auto"/>
        <w:bottom w:val="none" w:sz="0" w:space="0" w:color="auto"/>
        <w:right w:val="none" w:sz="0" w:space="0" w:color="auto"/>
      </w:divBdr>
    </w:div>
    <w:div w:id="364796704">
      <w:bodyDiv w:val="1"/>
      <w:marLeft w:val="0"/>
      <w:marRight w:val="0"/>
      <w:marTop w:val="0"/>
      <w:marBottom w:val="0"/>
      <w:divBdr>
        <w:top w:val="none" w:sz="0" w:space="0" w:color="auto"/>
        <w:left w:val="none" w:sz="0" w:space="0" w:color="auto"/>
        <w:bottom w:val="none" w:sz="0" w:space="0" w:color="auto"/>
        <w:right w:val="none" w:sz="0" w:space="0" w:color="auto"/>
      </w:divBdr>
    </w:div>
    <w:div w:id="364987560">
      <w:bodyDiv w:val="1"/>
      <w:marLeft w:val="0"/>
      <w:marRight w:val="0"/>
      <w:marTop w:val="0"/>
      <w:marBottom w:val="0"/>
      <w:divBdr>
        <w:top w:val="none" w:sz="0" w:space="0" w:color="auto"/>
        <w:left w:val="none" w:sz="0" w:space="0" w:color="auto"/>
        <w:bottom w:val="none" w:sz="0" w:space="0" w:color="auto"/>
        <w:right w:val="none" w:sz="0" w:space="0" w:color="auto"/>
      </w:divBdr>
    </w:div>
    <w:div w:id="367028893">
      <w:bodyDiv w:val="1"/>
      <w:marLeft w:val="0"/>
      <w:marRight w:val="0"/>
      <w:marTop w:val="0"/>
      <w:marBottom w:val="0"/>
      <w:divBdr>
        <w:top w:val="none" w:sz="0" w:space="0" w:color="auto"/>
        <w:left w:val="none" w:sz="0" w:space="0" w:color="auto"/>
        <w:bottom w:val="none" w:sz="0" w:space="0" w:color="auto"/>
        <w:right w:val="none" w:sz="0" w:space="0" w:color="auto"/>
      </w:divBdr>
    </w:div>
    <w:div w:id="370764699">
      <w:bodyDiv w:val="1"/>
      <w:marLeft w:val="0"/>
      <w:marRight w:val="0"/>
      <w:marTop w:val="0"/>
      <w:marBottom w:val="0"/>
      <w:divBdr>
        <w:top w:val="none" w:sz="0" w:space="0" w:color="auto"/>
        <w:left w:val="none" w:sz="0" w:space="0" w:color="auto"/>
        <w:bottom w:val="none" w:sz="0" w:space="0" w:color="auto"/>
        <w:right w:val="none" w:sz="0" w:space="0" w:color="auto"/>
      </w:divBdr>
    </w:div>
    <w:div w:id="381561215">
      <w:bodyDiv w:val="1"/>
      <w:marLeft w:val="0"/>
      <w:marRight w:val="0"/>
      <w:marTop w:val="0"/>
      <w:marBottom w:val="0"/>
      <w:divBdr>
        <w:top w:val="none" w:sz="0" w:space="0" w:color="auto"/>
        <w:left w:val="none" w:sz="0" w:space="0" w:color="auto"/>
        <w:bottom w:val="none" w:sz="0" w:space="0" w:color="auto"/>
        <w:right w:val="none" w:sz="0" w:space="0" w:color="auto"/>
      </w:divBdr>
    </w:div>
    <w:div w:id="381906044">
      <w:bodyDiv w:val="1"/>
      <w:marLeft w:val="0"/>
      <w:marRight w:val="0"/>
      <w:marTop w:val="0"/>
      <w:marBottom w:val="0"/>
      <w:divBdr>
        <w:top w:val="none" w:sz="0" w:space="0" w:color="auto"/>
        <w:left w:val="none" w:sz="0" w:space="0" w:color="auto"/>
        <w:bottom w:val="none" w:sz="0" w:space="0" w:color="auto"/>
        <w:right w:val="none" w:sz="0" w:space="0" w:color="auto"/>
      </w:divBdr>
    </w:div>
    <w:div w:id="384377341">
      <w:bodyDiv w:val="1"/>
      <w:marLeft w:val="0"/>
      <w:marRight w:val="0"/>
      <w:marTop w:val="0"/>
      <w:marBottom w:val="0"/>
      <w:divBdr>
        <w:top w:val="none" w:sz="0" w:space="0" w:color="auto"/>
        <w:left w:val="none" w:sz="0" w:space="0" w:color="auto"/>
        <w:bottom w:val="none" w:sz="0" w:space="0" w:color="auto"/>
        <w:right w:val="none" w:sz="0" w:space="0" w:color="auto"/>
      </w:divBdr>
    </w:div>
    <w:div w:id="385182701">
      <w:bodyDiv w:val="1"/>
      <w:marLeft w:val="0"/>
      <w:marRight w:val="0"/>
      <w:marTop w:val="0"/>
      <w:marBottom w:val="0"/>
      <w:divBdr>
        <w:top w:val="none" w:sz="0" w:space="0" w:color="auto"/>
        <w:left w:val="none" w:sz="0" w:space="0" w:color="auto"/>
        <w:bottom w:val="none" w:sz="0" w:space="0" w:color="auto"/>
        <w:right w:val="none" w:sz="0" w:space="0" w:color="auto"/>
      </w:divBdr>
    </w:div>
    <w:div w:id="390273873">
      <w:bodyDiv w:val="1"/>
      <w:marLeft w:val="0"/>
      <w:marRight w:val="0"/>
      <w:marTop w:val="0"/>
      <w:marBottom w:val="0"/>
      <w:divBdr>
        <w:top w:val="none" w:sz="0" w:space="0" w:color="auto"/>
        <w:left w:val="none" w:sz="0" w:space="0" w:color="auto"/>
        <w:bottom w:val="none" w:sz="0" w:space="0" w:color="auto"/>
        <w:right w:val="none" w:sz="0" w:space="0" w:color="auto"/>
      </w:divBdr>
    </w:div>
    <w:div w:id="393168209">
      <w:bodyDiv w:val="1"/>
      <w:marLeft w:val="0"/>
      <w:marRight w:val="0"/>
      <w:marTop w:val="0"/>
      <w:marBottom w:val="0"/>
      <w:divBdr>
        <w:top w:val="none" w:sz="0" w:space="0" w:color="auto"/>
        <w:left w:val="none" w:sz="0" w:space="0" w:color="auto"/>
        <w:bottom w:val="none" w:sz="0" w:space="0" w:color="auto"/>
        <w:right w:val="none" w:sz="0" w:space="0" w:color="auto"/>
      </w:divBdr>
    </w:div>
    <w:div w:id="394478858">
      <w:bodyDiv w:val="1"/>
      <w:marLeft w:val="0"/>
      <w:marRight w:val="0"/>
      <w:marTop w:val="0"/>
      <w:marBottom w:val="0"/>
      <w:divBdr>
        <w:top w:val="none" w:sz="0" w:space="0" w:color="auto"/>
        <w:left w:val="none" w:sz="0" w:space="0" w:color="auto"/>
        <w:bottom w:val="none" w:sz="0" w:space="0" w:color="auto"/>
        <w:right w:val="none" w:sz="0" w:space="0" w:color="auto"/>
      </w:divBdr>
    </w:div>
    <w:div w:id="396245265">
      <w:bodyDiv w:val="1"/>
      <w:marLeft w:val="0"/>
      <w:marRight w:val="0"/>
      <w:marTop w:val="0"/>
      <w:marBottom w:val="0"/>
      <w:divBdr>
        <w:top w:val="none" w:sz="0" w:space="0" w:color="auto"/>
        <w:left w:val="none" w:sz="0" w:space="0" w:color="auto"/>
        <w:bottom w:val="none" w:sz="0" w:space="0" w:color="auto"/>
        <w:right w:val="none" w:sz="0" w:space="0" w:color="auto"/>
      </w:divBdr>
    </w:div>
    <w:div w:id="399256303">
      <w:bodyDiv w:val="1"/>
      <w:marLeft w:val="0"/>
      <w:marRight w:val="0"/>
      <w:marTop w:val="0"/>
      <w:marBottom w:val="0"/>
      <w:divBdr>
        <w:top w:val="none" w:sz="0" w:space="0" w:color="auto"/>
        <w:left w:val="none" w:sz="0" w:space="0" w:color="auto"/>
        <w:bottom w:val="none" w:sz="0" w:space="0" w:color="auto"/>
        <w:right w:val="none" w:sz="0" w:space="0" w:color="auto"/>
      </w:divBdr>
    </w:div>
    <w:div w:id="407505976">
      <w:bodyDiv w:val="1"/>
      <w:marLeft w:val="0"/>
      <w:marRight w:val="0"/>
      <w:marTop w:val="0"/>
      <w:marBottom w:val="0"/>
      <w:divBdr>
        <w:top w:val="none" w:sz="0" w:space="0" w:color="auto"/>
        <w:left w:val="none" w:sz="0" w:space="0" w:color="auto"/>
        <w:bottom w:val="none" w:sz="0" w:space="0" w:color="auto"/>
        <w:right w:val="none" w:sz="0" w:space="0" w:color="auto"/>
      </w:divBdr>
    </w:div>
    <w:div w:id="410469003">
      <w:bodyDiv w:val="1"/>
      <w:marLeft w:val="0"/>
      <w:marRight w:val="0"/>
      <w:marTop w:val="0"/>
      <w:marBottom w:val="0"/>
      <w:divBdr>
        <w:top w:val="none" w:sz="0" w:space="0" w:color="auto"/>
        <w:left w:val="none" w:sz="0" w:space="0" w:color="auto"/>
        <w:bottom w:val="none" w:sz="0" w:space="0" w:color="auto"/>
        <w:right w:val="none" w:sz="0" w:space="0" w:color="auto"/>
      </w:divBdr>
    </w:div>
    <w:div w:id="410658315">
      <w:bodyDiv w:val="1"/>
      <w:marLeft w:val="0"/>
      <w:marRight w:val="0"/>
      <w:marTop w:val="0"/>
      <w:marBottom w:val="0"/>
      <w:divBdr>
        <w:top w:val="none" w:sz="0" w:space="0" w:color="auto"/>
        <w:left w:val="none" w:sz="0" w:space="0" w:color="auto"/>
        <w:bottom w:val="none" w:sz="0" w:space="0" w:color="auto"/>
        <w:right w:val="none" w:sz="0" w:space="0" w:color="auto"/>
      </w:divBdr>
    </w:div>
    <w:div w:id="411514530">
      <w:bodyDiv w:val="1"/>
      <w:marLeft w:val="0"/>
      <w:marRight w:val="0"/>
      <w:marTop w:val="0"/>
      <w:marBottom w:val="0"/>
      <w:divBdr>
        <w:top w:val="none" w:sz="0" w:space="0" w:color="auto"/>
        <w:left w:val="none" w:sz="0" w:space="0" w:color="auto"/>
        <w:bottom w:val="none" w:sz="0" w:space="0" w:color="auto"/>
        <w:right w:val="none" w:sz="0" w:space="0" w:color="auto"/>
      </w:divBdr>
    </w:div>
    <w:div w:id="411585003">
      <w:bodyDiv w:val="1"/>
      <w:marLeft w:val="0"/>
      <w:marRight w:val="0"/>
      <w:marTop w:val="0"/>
      <w:marBottom w:val="0"/>
      <w:divBdr>
        <w:top w:val="none" w:sz="0" w:space="0" w:color="auto"/>
        <w:left w:val="none" w:sz="0" w:space="0" w:color="auto"/>
        <w:bottom w:val="none" w:sz="0" w:space="0" w:color="auto"/>
        <w:right w:val="none" w:sz="0" w:space="0" w:color="auto"/>
      </w:divBdr>
    </w:div>
    <w:div w:id="413170058">
      <w:bodyDiv w:val="1"/>
      <w:marLeft w:val="0"/>
      <w:marRight w:val="0"/>
      <w:marTop w:val="0"/>
      <w:marBottom w:val="0"/>
      <w:divBdr>
        <w:top w:val="none" w:sz="0" w:space="0" w:color="auto"/>
        <w:left w:val="none" w:sz="0" w:space="0" w:color="auto"/>
        <w:bottom w:val="none" w:sz="0" w:space="0" w:color="auto"/>
        <w:right w:val="none" w:sz="0" w:space="0" w:color="auto"/>
      </w:divBdr>
    </w:div>
    <w:div w:id="413627613">
      <w:bodyDiv w:val="1"/>
      <w:marLeft w:val="0"/>
      <w:marRight w:val="0"/>
      <w:marTop w:val="0"/>
      <w:marBottom w:val="0"/>
      <w:divBdr>
        <w:top w:val="none" w:sz="0" w:space="0" w:color="auto"/>
        <w:left w:val="none" w:sz="0" w:space="0" w:color="auto"/>
        <w:bottom w:val="none" w:sz="0" w:space="0" w:color="auto"/>
        <w:right w:val="none" w:sz="0" w:space="0" w:color="auto"/>
      </w:divBdr>
    </w:div>
    <w:div w:id="413629448">
      <w:bodyDiv w:val="1"/>
      <w:marLeft w:val="0"/>
      <w:marRight w:val="0"/>
      <w:marTop w:val="0"/>
      <w:marBottom w:val="0"/>
      <w:divBdr>
        <w:top w:val="none" w:sz="0" w:space="0" w:color="auto"/>
        <w:left w:val="none" w:sz="0" w:space="0" w:color="auto"/>
        <w:bottom w:val="none" w:sz="0" w:space="0" w:color="auto"/>
        <w:right w:val="none" w:sz="0" w:space="0" w:color="auto"/>
      </w:divBdr>
    </w:div>
    <w:div w:id="417288842">
      <w:bodyDiv w:val="1"/>
      <w:marLeft w:val="0"/>
      <w:marRight w:val="0"/>
      <w:marTop w:val="0"/>
      <w:marBottom w:val="0"/>
      <w:divBdr>
        <w:top w:val="none" w:sz="0" w:space="0" w:color="auto"/>
        <w:left w:val="none" w:sz="0" w:space="0" w:color="auto"/>
        <w:bottom w:val="none" w:sz="0" w:space="0" w:color="auto"/>
        <w:right w:val="none" w:sz="0" w:space="0" w:color="auto"/>
      </w:divBdr>
    </w:div>
    <w:div w:id="417562409">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19985372">
      <w:bodyDiv w:val="1"/>
      <w:marLeft w:val="0"/>
      <w:marRight w:val="0"/>
      <w:marTop w:val="0"/>
      <w:marBottom w:val="0"/>
      <w:divBdr>
        <w:top w:val="none" w:sz="0" w:space="0" w:color="auto"/>
        <w:left w:val="none" w:sz="0" w:space="0" w:color="auto"/>
        <w:bottom w:val="none" w:sz="0" w:space="0" w:color="auto"/>
        <w:right w:val="none" w:sz="0" w:space="0" w:color="auto"/>
      </w:divBdr>
    </w:div>
    <w:div w:id="425854753">
      <w:bodyDiv w:val="1"/>
      <w:marLeft w:val="0"/>
      <w:marRight w:val="0"/>
      <w:marTop w:val="0"/>
      <w:marBottom w:val="0"/>
      <w:divBdr>
        <w:top w:val="none" w:sz="0" w:space="0" w:color="auto"/>
        <w:left w:val="none" w:sz="0" w:space="0" w:color="auto"/>
        <w:bottom w:val="none" w:sz="0" w:space="0" w:color="auto"/>
        <w:right w:val="none" w:sz="0" w:space="0" w:color="auto"/>
      </w:divBdr>
    </w:div>
    <w:div w:id="426777142">
      <w:bodyDiv w:val="1"/>
      <w:marLeft w:val="0"/>
      <w:marRight w:val="0"/>
      <w:marTop w:val="0"/>
      <w:marBottom w:val="0"/>
      <w:divBdr>
        <w:top w:val="none" w:sz="0" w:space="0" w:color="auto"/>
        <w:left w:val="none" w:sz="0" w:space="0" w:color="auto"/>
        <w:bottom w:val="none" w:sz="0" w:space="0" w:color="auto"/>
        <w:right w:val="none" w:sz="0" w:space="0" w:color="auto"/>
      </w:divBdr>
    </w:div>
    <w:div w:id="428702987">
      <w:bodyDiv w:val="1"/>
      <w:marLeft w:val="0"/>
      <w:marRight w:val="0"/>
      <w:marTop w:val="0"/>
      <w:marBottom w:val="0"/>
      <w:divBdr>
        <w:top w:val="none" w:sz="0" w:space="0" w:color="auto"/>
        <w:left w:val="none" w:sz="0" w:space="0" w:color="auto"/>
        <w:bottom w:val="none" w:sz="0" w:space="0" w:color="auto"/>
        <w:right w:val="none" w:sz="0" w:space="0" w:color="auto"/>
      </w:divBdr>
    </w:div>
    <w:div w:id="434131103">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42655824">
      <w:bodyDiv w:val="1"/>
      <w:marLeft w:val="0"/>
      <w:marRight w:val="0"/>
      <w:marTop w:val="0"/>
      <w:marBottom w:val="0"/>
      <w:divBdr>
        <w:top w:val="none" w:sz="0" w:space="0" w:color="auto"/>
        <w:left w:val="none" w:sz="0" w:space="0" w:color="auto"/>
        <w:bottom w:val="none" w:sz="0" w:space="0" w:color="auto"/>
        <w:right w:val="none" w:sz="0" w:space="0" w:color="auto"/>
      </w:divBdr>
    </w:div>
    <w:div w:id="444153973">
      <w:bodyDiv w:val="1"/>
      <w:marLeft w:val="0"/>
      <w:marRight w:val="0"/>
      <w:marTop w:val="0"/>
      <w:marBottom w:val="0"/>
      <w:divBdr>
        <w:top w:val="none" w:sz="0" w:space="0" w:color="auto"/>
        <w:left w:val="none" w:sz="0" w:space="0" w:color="auto"/>
        <w:bottom w:val="none" w:sz="0" w:space="0" w:color="auto"/>
        <w:right w:val="none" w:sz="0" w:space="0" w:color="auto"/>
      </w:divBdr>
    </w:div>
    <w:div w:id="448864771">
      <w:bodyDiv w:val="1"/>
      <w:marLeft w:val="0"/>
      <w:marRight w:val="0"/>
      <w:marTop w:val="0"/>
      <w:marBottom w:val="0"/>
      <w:divBdr>
        <w:top w:val="none" w:sz="0" w:space="0" w:color="auto"/>
        <w:left w:val="none" w:sz="0" w:space="0" w:color="auto"/>
        <w:bottom w:val="none" w:sz="0" w:space="0" w:color="auto"/>
        <w:right w:val="none" w:sz="0" w:space="0" w:color="auto"/>
      </w:divBdr>
    </w:div>
    <w:div w:id="449710177">
      <w:bodyDiv w:val="1"/>
      <w:marLeft w:val="0"/>
      <w:marRight w:val="0"/>
      <w:marTop w:val="0"/>
      <w:marBottom w:val="0"/>
      <w:divBdr>
        <w:top w:val="none" w:sz="0" w:space="0" w:color="auto"/>
        <w:left w:val="none" w:sz="0" w:space="0" w:color="auto"/>
        <w:bottom w:val="none" w:sz="0" w:space="0" w:color="auto"/>
        <w:right w:val="none" w:sz="0" w:space="0" w:color="auto"/>
      </w:divBdr>
    </w:div>
    <w:div w:id="45386648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121549">
      <w:bodyDiv w:val="1"/>
      <w:marLeft w:val="0"/>
      <w:marRight w:val="0"/>
      <w:marTop w:val="0"/>
      <w:marBottom w:val="0"/>
      <w:divBdr>
        <w:top w:val="none" w:sz="0" w:space="0" w:color="auto"/>
        <w:left w:val="none" w:sz="0" w:space="0" w:color="auto"/>
        <w:bottom w:val="none" w:sz="0" w:space="0" w:color="auto"/>
        <w:right w:val="none" w:sz="0" w:space="0" w:color="auto"/>
      </w:divBdr>
    </w:div>
    <w:div w:id="461928106">
      <w:bodyDiv w:val="1"/>
      <w:marLeft w:val="0"/>
      <w:marRight w:val="0"/>
      <w:marTop w:val="0"/>
      <w:marBottom w:val="0"/>
      <w:divBdr>
        <w:top w:val="none" w:sz="0" w:space="0" w:color="auto"/>
        <w:left w:val="none" w:sz="0" w:space="0" w:color="auto"/>
        <w:bottom w:val="none" w:sz="0" w:space="0" w:color="auto"/>
        <w:right w:val="none" w:sz="0" w:space="0" w:color="auto"/>
      </w:divBdr>
    </w:div>
    <w:div w:id="464201693">
      <w:bodyDiv w:val="1"/>
      <w:marLeft w:val="0"/>
      <w:marRight w:val="0"/>
      <w:marTop w:val="0"/>
      <w:marBottom w:val="0"/>
      <w:divBdr>
        <w:top w:val="none" w:sz="0" w:space="0" w:color="auto"/>
        <w:left w:val="none" w:sz="0" w:space="0" w:color="auto"/>
        <w:bottom w:val="none" w:sz="0" w:space="0" w:color="auto"/>
        <w:right w:val="none" w:sz="0" w:space="0" w:color="auto"/>
      </w:divBdr>
    </w:div>
    <w:div w:id="469173107">
      <w:bodyDiv w:val="1"/>
      <w:marLeft w:val="0"/>
      <w:marRight w:val="0"/>
      <w:marTop w:val="0"/>
      <w:marBottom w:val="0"/>
      <w:divBdr>
        <w:top w:val="none" w:sz="0" w:space="0" w:color="auto"/>
        <w:left w:val="none" w:sz="0" w:space="0" w:color="auto"/>
        <w:bottom w:val="none" w:sz="0" w:space="0" w:color="auto"/>
        <w:right w:val="none" w:sz="0" w:space="0" w:color="auto"/>
      </w:divBdr>
    </w:div>
    <w:div w:id="470908271">
      <w:bodyDiv w:val="1"/>
      <w:marLeft w:val="0"/>
      <w:marRight w:val="0"/>
      <w:marTop w:val="0"/>
      <w:marBottom w:val="0"/>
      <w:divBdr>
        <w:top w:val="none" w:sz="0" w:space="0" w:color="auto"/>
        <w:left w:val="none" w:sz="0" w:space="0" w:color="auto"/>
        <w:bottom w:val="none" w:sz="0" w:space="0" w:color="auto"/>
        <w:right w:val="none" w:sz="0" w:space="0" w:color="auto"/>
      </w:divBdr>
    </w:div>
    <w:div w:id="475415717">
      <w:bodyDiv w:val="1"/>
      <w:marLeft w:val="0"/>
      <w:marRight w:val="0"/>
      <w:marTop w:val="0"/>
      <w:marBottom w:val="0"/>
      <w:divBdr>
        <w:top w:val="none" w:sz="0" w:space="0" w:color="auto"/>
        <w:left w:val="none" w:sz="0" w:space="0" w:color="auto"/>
        <w:bottom w:val="none" w:sz="0" w:space="0" w:color="auto"/>
        <w:right w:val="none" w:sz="0" w:space="0" w:color="auto"/>
      </w:divBdr>
    </w:div>
    <w:div w:id="478117262">
      <w:bodyDiv w:val="1"/>
      <w:marLeft w:val="0"/>
      <w:marRight w:val="0"/>
      <w:marTop w:val="0"/>
      <w:marBottom w:val="0"/>
      <w:divBdr>
        <w:top w:val="none" w:sz="0" w:space="0" w:color="auto"/>
        <w:left w:val="none" w:sz="0" w:space="0" w:color="auto"/>
        <w:bottom w:val="none" w:sz="0" w:space="0" w:color="auto"/>
        <w:right w:val="none" w:sz="0" w:space="0" w:color="auto"/>
      </w:divBdr>
    </w:div>
    <w:div w:id="479930806">
      <w:bodyDiv w:val="1"/>
      <w:marLeft w:val="0"/>
      <w:marRight w:val="0"/>
      <w:marTop w:val="0"/>
      <w:marBottom w:val="0"/>
      <w:divBdr>
        <w:top w:val="none" w:sz="0" w:space="0" w:color="auto"/>
        <w:left w:val="none" w:sz="0" w:space="0" w:color="auto"/>
        <w:bottom w:val="none" w:sz="0" w:space="0" w:color="auto"/>
        <w:right w:val="none" w:sz="0" w:space="0" w:color="auto"/>
      </w:divBdr>
    </w:div>
    <w:div w:id="481822539">
      <w:bodyDiv w:val="1"/>
      <w:marLeft w:val="0"/>
      <w:marRight w:val="0"/>
      <w:marTop w:val="0"/>
      <w:marBottom w:val="0"/>
      <w:divBdr>
        <w:top w:val="none" w:sz="0" w:space="0" w:color="auto"/>
        <w:left w:val="none" w:sz="0" w:space="0" w:color="auto"/>
        <w:bottom w:val="none" w:sz="0" w:space="0" w:color="auto"/>
        <w:right w:val="none" w:sz="0" w:space="0" w:color="auto"/>
      </w:divBdr>
    </w:div>
    <w:div w:id="483669372">
      <w:bodyDiv w:val="1"/>
      <w:marLeft w:val="0"/>
      <w:marRight w:val="0"/>
      <w:marTop w:val="0"/>
      <w:marBottom w:val="0"/>
      <w:divBdr>
        <w:top w:val="none" w:sz="0" w:space="0" w:color="auto"/>
        <w:left w:val="none" w:sz="0" w:space="0" w:color="auto"/>
        <w:bottom w:val="none" w:sz="0" w:space="0" w:color="auto"/>
        <w:right w:val="none" w:sz="0" w:space="0" w:color="auto"/>
      </w:divBdr>
    </w:div>
    <w:div w:id="484515459">
      <w:bodyDiv w:val="1"/>
      <w:marLeft w:val="0"/>
      <w:marRight w:val="0"/>
      <w:marTop w:val="0"/>
      <w:marBottom w:val="0"/>
      <w:divBdr>
        <w:top w:val="none" w:sz="0" w:space="0" w:color="auto"/>
        <w:left w:val="none" w:sz="0" w:space="0" w:color="auto"/>
        <w:bottom w:val="none" w:sz="0" w:space="0" w:color="auto"/>
        <w:right w:val="none" w:sz="0" w:space="0" w:color="auto"/>
      </w:divBdr>
    </w:div>
    <w:div w:id="495345455">
      <w:bodyDiv w:val="1"/>
      <w:marLeft w:val="0"/>
      <w:marRight w:val="0"/>
      <w:marTop w:val="0"/>
      <w:marBottom w:val="0"/>
      <w:divBdr>
        <w:top w:val="none" w:sz="0" w:space="0" w:color="auto"/>
        <w:left w:val="none" w:sz="0" w:space="0" w:color="auto"/>
        <w:bottom w:val="none" w:sz="0" w:space="0" w:color="auto"/>
        <w:right w:val="none" w:sz="0" w:space="0" w:color="auto"/>
      </w:divBdr>
    </w:div>
    <w:div w:id="500050432">
      <w:bodyDiv w:val="1"/>
      <w:marLeft w:val="0"/>
      <w:marRight w:val="0"/>
      <w:marTop w:val="0"/>
      <w:marBottom w:val="0"/>
      <w:divBdr>
        <w:top w:val="none" w:sz="0" w:space="0" w:color="auto"/>
        <w:left w:val="none" w:sz="0" w:space="0" w:color="auto"/>
        <w:bottom w:val="none" w:sz="0" w:space="0" w:color="auto"/>
        <w:right w:val="none" w:sz="0" w:space="0" w:color="auto"/>
      </w:divBdr>
    </w:div>
    <w:div w:id="500392627">
      <w:bodyDiv w:val="1"/>
      <w:marLeft w:val="0"/>
      <w:marRight w:val="0"/>
      <w:marTop w:val="0"/>
      <w:marBottom w:val="0"/>
      <w:divBdr>
        <w:top w:val="none" w:sz="0" w:space="0" w:color="auto"/>
        <w:left w:val="none" w:sz="0" w:space="0" w:color="auto"/>
        <w:bottom w:val="none" w:sz="0" w:space="0" w:color="auto"/>
        <w:right w:val="none" w:sz="0" w:space="0" w:color="auto"/>
      </w:divBdr>
    </w:div>
    <w:div w:id="503125943">
      <w:bodyDiv w:val="1"/>
      <w:marLeft w:val="0"/>
      <w:marRight w:val="0"/>
      <w:marTop w:val="0"/>
      <w:marBottom w:val="0"/>
      <w:divBdr>
        <w:top w:val="none" w:sz="0" w:space="0" w:color="auto"/>
        <w:left w:val="none" w:sz="0" w:space="0" w:color="auto"/>
        <w:bottom w:val="none" w:sz="0" w:space="0" w:color="auto"/>
        <w:right w:val="none" w:sz="0" w:space="0" w:color="auto"/>
      </w:divBdr>
    </w:div>
    <w:div w:id="507714928">
      <w:bodyDiv w:val="1"/>
      <w:marLeft w:val="0"/>
      <w:marRight w:val="0"/>
      <w:marTop w:val="0"/>
      <w:marBottom w:val="0"/>
      <w:divBdr>
        <w:top w:val="none" w:sz="0" w:space="0" w:color="auto"/>
        <w:left w:val="none" w:sz="0" w:space="0" w:color="auto"/>
        <w:bottom w:val="none" w:sz="0" w:space="0" w:color="auto"/>
        <w:right w:val="none" w:sz="0" w:space="0" w:color="auto"/>
      </w:divBdr>
    </w:div>
    <w:div w:id="508564519">
      <w:bodyDiv w:val="1"/>
      <w:marLeft w:val="0"/>
      <w:marRight w:val="0"/>
      <w:marTop w:val="0"/>
      <w:marBottom w:val="0"/>
      <w:divBdr>
        <w:top w:val="none" w:sz="0" w:space="0" w:color="auto"/>
        <w:left w:val="none" w:sz="0" w:space="0" w:color="auto"/>
        <w:bottom w:val="none" w:sz="0" w:space="0" w:color="auto"/>
        <w:right w:val="none" w:sz="0" w:space="0" w:color="auto"/>
      </w:divBdr>
    </w:div>
    <w:div w:id="512839345">
      <w:bodyDiv w:val="1"/>
      <w:marLeft w:val="0"/>
      <w:marRight w:val="0"/>
      <w:marTop w:val="0"/>
      <w:marBottom w:val="0"/>
      <w:divBdr>
        <w:top w:val="none" w:sz="0" w:space="0" w:color="auto"/>
        <w:left w:val="none" w:sz="0" w:space="0" w:color="auto"/>
        <w:bottom w:val="none" w:sz="0" w:space="0" w:color="auto"/>
        <w:right w:val="none" w:sz="0" w:space="0" w:color="auto"/>
      </w:divBdr>
    </w:div>
    <w:div w:id="514851652">
      <w:bodyDiv w:val="1"/>
      <w:marLeft w:val="0"/>
      <w:marRight w:val="0"/>
      <w:marTop w:val="0"/>
      <w:marBottom w:val="0"/>
      <w:divBdr>
        <w:top w:val="none" w:sz="0" w:space="0" w:color="auto"/>
        <w:left w:val="none" w:sz="0" w:space="0" w:color="auto"/>
        <w:bottom w:val="none" w:sz="0" w:space="0" w:color="auto"/>
        <w:right w:val="none" w:sz="0" w:space="0" w:color="auto"/>
      </w:divBdr>
    </w:div>
    <w:div w:id="516116905">
      <w:bodyDiv w:val="1"/>
      <w:marLeft w:val="0"/>
      <w:marRight w:val="0"/>
      <w:marTop w:val="0"/>
      <w:marBottom w:val="0"/>
      <w:divBdr>
        <w:top w:val="none" w:sz="0" w:space="0" w:color="auto"/>
        <w:left w:val="none" w:sz="0" w:space="0" w:color="auto"/>
        <w:bottom w:val="none" w:sz="0" w:space="0" w:color="auto"/>
        <w:right w:val="none" w:sz="0" w:space="0" w:color="auto"/>
      </w:divBdr>
    </w:div>
    <w:div w:id="519395929">
      <w:bodyDiv w:val="1"/>
      <w:marLeft w:val="0"/>
      <w:marRight w:val="0"/>
      <w:marTop w:val="0"/>
      <w:marBottom w:val="0"/>
      <w:divBdr>
        <w:top w:val="none" w:sz="0" w:space="0" w:color="auto"/>
        <w:left w:val="none" w:sz="0" w:space="0" w:color="auto"/>
        <w:bottom w:val="none" w:sz="0" w:space="0" w:color="auto"/>
        <w:right w:val="none" w:sz="0" w:space="0" w:color="auto"/>
      </w:divBdr>
    </w:div>
    <w:div w:id="520971836">
      <w:bodyDiv w:val="1"/>
      <w:marLeft w:val="0"/>
      <w:marRight w:val="0"/>
      <w:marTop w:val="0"/>
      <w:marBottom w:val="0"/>
      <w:divBdr>
        <w:top w:val="none" w:sz="0" w:space="0" w:color="auto"/>
        <w:left w:val="none" w:sz="0" w:space="0" w:color="auto"/>
        <w:bottom w:val="none" w:sz="0" w:space="0" w:color="auto"/>
        <w:right w:val="none" w:sz="0" w:space="0" w:color="auto"/>
      </w:divBdr>
    </w:div>
    <w:div w:id="522786557">
      <w:bodyDiv w:val="1"/>
      <w:marLeft w:val="0"/>
      <w:marRight w:val="0"/>
      <w:marTop w:val="0"/>
      <w:marBottom w:val="0"/>
      <w:divBdr>
        <w:top w:val="none" w:sz="0" w:space="0" w:color="auto"/>
        <w:left w:val="none" w:sz="0" w:space="0" w:color="auto"/>
        <w:bottom w:val="none" w:sz="0" w:space="0" w:color="auto"/>
        <w:right w:val="none" w:sz="0" w:space="0" w:color="auto"/>
      </w:divBdr>
    </w:div>
    <w:div w:id="522984992">
      <w:bodyDiv w:val="1"/>
      <w:marLeft w:val="0"/>
      <w:marRight w:val="0"/>
      <w:marTop w:val="0"/>
      <w:marBottom w:val="0"/>
      <w:divBdr>
        <w:top w:val="none" w:sz="0" w:space="0" w:color="auto"/>
        <w:left w:val="none" w:sz="0" w:space="0" w:color="auto"/>
        <w:bottom w:val="none" w:sz="0" w:space="0" w:color="auto"/>
        <w:right w:val="none" w:sz="0" w:space="0" w:color="auto"/>
      </w:divBdr>
    </w:div>
    <w:div w:id="524366361">
      <w:bodyDiv w:val="1"/>
      <w:marLeft w:val="0"/>
      <w:marRight w:val="0"/>
      <w:marTop w:val="0"/>
      <w:marBottom w:val="0"/>
      <w:divBdr>
        <w:top w:val="none" w:sz="0" w:space="0" w:color="auto"/>
        <w:left w:val="none" w:sz="0" w:space="0" w:color="auto"/>
        <w:bottom w:val="none" w:sz="0" w:space="0" w:color="auto"/>
        <w:right w:val="none" w:sz="0" w:space="0" w:color="auto"/>
      </w:divBdr>
    </w:div>
    <w:div w:id="525169459">
      <w:bodyDiv w:val="1"/>
      <w:marLeft w:val="0"/>
      <w:marRight w:val="0"/>
      <w:marTop w:val="0"/>
      <w:marBottom w:val="0"/>
      <w:divBdr>
        <w:top w:val="none" w:sz="0" w:space="0" w:color="auto"/>
        <w:left w:val="none" w:sz="0" w:space="0" w:color="auto"/>
        <w:bottom w:val="none" w:sz="0" w:space="0" w:color="auto"/>
        <w:right w:val="none" w:sz="0" w:space="0" w:color="auto"/>
      </w:divBdr>
    </w:div>
    <w:div w:id="528180980">
      <w:bodyDiv w:val="1"/>
      <w:marLeft w:val="0"/>
      <w:marRight w:val="0"/>
      <w:marTop w:val="0"/>
      <w:marBottom w:val="0"/>
      <w:divBdr>
        <w:top w:val="none" w:sz="0" w:space="0" w:color="auto"/>
        <w:left w:val="none" w:sz="0" w:space="0" w:color="auto"/>
        <w:bottom w:val="none" w:sz="0" w:space="0" w:color="auto"/>
        <w:right w:val="none" w:sz="0" w:space="0" w:color="auto"/>
      </w:divBdr>
    </w:div>
    <w:div w:id="528639711">
      <w:bodyDiv w:val="1"/>
      <w:marLeft w:val="0"/>
      <w:marRight w:val="0"/>
      <w:marTop w:val="0"/>
      <w:marBottom w:val="0"/>
      <w:divBdr>
        <w:top w:val="none" w:sz="0" w:space="0" w:color="auto"/>
        <w:left w:val="none" w:sz="0" w:space="0" w:color="auto"/>
        <w:bottom w:val="none" w:sz="0" w:space="0" w:color="auto"/>
        <w:right w:val="none" w:sz="0" w:space="0" w:color="auto"/>
      </w:divBdr>
    </w:div>
    <w:div w:id="530993576">
      <w:bodyDiv w:val="1"/>
      <w:marLeft w:val="0"/>
      <w:marRight w:val="0"/>
      <w:marTop w:val="0"/>
      <w:marBottom w:val="0"/>
      <w:divBdr>
        <w:top w:val="none" w:sz="0" w:space="0" w:color="auto"/>
        <w:left w:val="none" w:sz="0" w:space="0" w:color="auto"/>
        <w:bottom w:val="none" w:sz="0" w:space="0" w:color="auto"/>
        <w:right w:val="none" w:sz="0" w:space="0" w:color="auto"/>
      </w:divBdr>
    </w:div>
    <w:div w:id="531726229">
      <w:bodyDiv w:val="1"/>
      <w:marLeft w:val="0"/>
      <w:marRight w:val="0"/>
      <w:marTop w:val="0"/>
      <w:marBottom w:val="0"/>
      <w:divBdr>
        <w:top w:val="none" w:sz="0" w:space="0" w:color="auto"/>
        <w:left w:val="none" w:sz="0" w:space="0" w:color="auto"/>
        <w:bottom w:val="none" w:sz="0" w:space="0" w:color="auto"/>
        <w:right w:val="none" w:sz="0" w:space="0" w:color="auto"/>
      </w:divBdr>
    </w:div>
    <w:div w:id="53315722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779188">
      <w:bodyDiv w:val="1"/>
      <w:marLeft w:val="0"/>
      <w:marRight w:val="0"/>
      <w:marTop w:val="0"/>
      <w:marBottom w:val="0"/>
      <w:divBdr>
        <w:top w:val="none" w:sz="0" w:space="0" w:color="auto"/>
        <w:left w:val="none" w:sz="0" w:space="0" w:color="auto"/>
        <w:bottom w:val="none" w:sz="0" w:space="0" w:color="auto"/>
        <w:right w:val="none" w:sz="0" w:space="0" w:color="auto"/>
      </w:divBdr>
    </w:div>
    <w:div w:id="536816730">
      <w:bodyDiv w:val="1"/>
      <w:marLeft w:val="0"/>
      <w:marRight w:val="0"/>
      <w:marTop w:val="0"/>
      <w:marBottom w:val="0"/>
      <w:divBdr>
        <w:top w:val="none" w:sz="0" w:space="0" w:color="auto"/>
        <w:left w:val="none" w:sz="0" w:space="0" w:color="auto"/>
        <w:bottom w:val="none" w:sz="0" w:space="0" w:color="auto"/>
        <w:right w:val="none" w:sz="0" w:space="0" w:color="auto"/>
      </w:divBdr>
    </w:div>
    <w:div w:id="544491034">
      <w:bodyDiv w:val="1"/>
      <w:marLeft w:val="0"/>
      <w:marRight w:val="0"/>
      <w:marTop w:val="0"/>
      <w:marBottom w:val="0"/>
      <w:divBdr>
        <w:top w:val="none" w:sz="0" w:space="0" w:color="auto"/>
        <w:left w:val="none" w:sz="0" w:space="0" w:color="auto"/>
        <w:bottom w:val="none" w:sz="0" w:space="0" w:color="auto"/>
        <w:right w:val="none" w:sz="0" w:space="0" w:color="auto"/>
      </w:divBdr>
    </w:div>
    <w:div w:id="554388981">
      <w:bodyDiv w:val="1"/>
      <w:marLeft w:val="0"/>
      <w:marRight w:val="0"/>
      <w:marTop w:val="0"/>
      <w:marBottom w:val="0"/>
      <w:divBdr>
        <w:top w:val="none" w:sz="0" w:space="0" w:color="auto"/>
        <w:left w:val="none" w:sz="0" w:space="0" w:color="auto"/>
        <w:bottom w:val="none" w:sz="0" w:space="0" w:color="auto"/>
        <w:right w:val="none" w:sz="0" w:space="0" w:color="auto"/>
      </w:divBdr>
    </w:div>
    <w:div w:id="555050174">
      <w:bodyDiv w:val="1"/>
      <w:marLeft w:val="0"/>
      <w:marRight w:val="0"/>
      <w:marTop w:val="0"/>
      <w:marBottom w:val="0"/>
      <w:divBdr>
        <w:top w:val="none" w:sz="0" w:space="0" w:color="auto"/>
        <w:left w:val="none" w:sz="0" w:space="0" w:color="auto"/>
        <w:bottom w:val="none" w:sz="0" w:space="0" w:color="auto"/>
        <w:right w:val="none" w:sz="0" w:space="0" w:color="auto"/>
      </w:divBdr>
    </w:div>
    <w:div w:id="555822785">
      <w:bodyDiv w:val="1"/>
      <w:marLeft w:val="0"/>
      <w:marRight w:val="0"/>
      <w:marTop w:val="0"/>
      <w:marBottom w:val="0"/>
      <w:divBdr>
        <w:top w:val="none" w:sz="0" w:space="0" w:color="auto"/>
        <w:left w:val="none" w:sz="0" w:space="0" w:color="auto"/>
        <w:bottom w:val="none" w:sz="0" w:space="0" w:color="auto"/>
        <w:right w:val="none" w:sz="0" w:space="0" w:color="auto"/>
      </w:divBdr>
    </w:div>
    <w:div w:id="556404384">
      <w:bodyDiv w:val="1"/>
      <w:marLeft w:val="0"/>
      <w:marRight w:val="0"/>
      <w:marTop w:val="0"/>
      <w:marBottom w:val="0"/>
      <w:divBdr>
        <w:top w:val="none" w:sz="0" w:space="0" w:color="auto"/>
        <w:left w:val="none" w:sz="0" w:space="0" w:color="auto"/>
        <w:bottom w:val="none" w:sz="0" w:space="0" w:color="auto"/>
        <w:right w:val="none" w:sz="0" w:space="0" w:color="auto"/>
      </w:divBdr>
    </w:div>
    <w:div w:id="560022298">
      <w:bodyDiv w:val="1"/>
      <w:marLeft w:val="0"/>
      <w:marRight w:val="0"/>
      <w:marTop w:val="0"/>
      <w:marBottom w:val="0"/>
      <w:divBdr>
        <w:top w:val="none" w:sz="0" w:space="0" w:color="auto"/>
        <w:left w:val="none" w:sz="0" w:space="0" w:color="auto"/>
        <w:bottom w:val="none" w:sz="0" w:space="0" w:color="auto"/>
        <w:right w:val="none" w:sz="0" w:space="0" w:color="auto"/>
      </w:divBdr>
    </w:div>
    <w:div w:id="561717609">
      <w:bodyDiv w:val="1"/>
      <w:marLeft w:val="0"/>
      <w:marRight w:val="0"/>
      <w:marTop w:val="0"/>
      <w:marBottom w:val="0"/>
      <w:divBdr>
        <w:top w:val="none" w:sz="0" w:space="0" w:color="auto"/>
        <w:left w:val="none" w:sz="0" w:space="0" w:color="auto"/>
        <w:bottom w:val="none" w:sz="0" w:space="0" w:color="auto"/>
        <w:right w:val="none" w:sz="0" w:space="0" w:color="auto"/>
      </w:divBdr>
    </w:div>
    <w:div w:id="565073401">
      <w:bodyDiv w:val="1"/>
      <w:marLeft w:val="0"/>
      <w:marRight w:val="0"/>
      <w:marTop w:val="0"/>
      <w:marBottom w:val="0"/>
      <w:divBdr>
        <w:top w:val="none" w:sz="0" w:space="0" w:color="auto"/>
        <w:left w:val="none" w:sz="0" w:space="0" w:color="auto"/>
        <w:bottom w:val="none" w:sz="0" w:space="0" w:color="auto"/>
        <w:right w:val="none" w:sz="0" w:space="0" w:color="auto"/>
      </w:divBdr>
    </w:div>
    <w:div w:id="567492855">
      <w:bodyDiv w:val="1"/>
      <w:marLeft w:val="0"/>
      <w:marRight w:val="0"/>
      <w:marTop w:val="0"/>
      <w:marBottom w:val="0"/>
      <w:divBdr>
        <w:top w:val="none" w:sz="0" w:space="0" w:color="auto"/>
        <w:left w:val="none" w:sz="0" w:space="0" w:color="auto"/>
        <w:bottom w:val="none" w:sz="0" w:space="0" w:color="auto"/>
        <w:right w:val="none" w:sz="0" w:space="0" w:color="auto"/>
      </w:divBdr>
    </w:div>
    <w:div w:id="573319792">
      <w:bodyDiv w:val="1"/>
      <w:marLeft w:val="0"/>
      <w:marRight w:val="0"/>
      <w:marTop w:val="0"/>
      <w:marBottom w:val="0"/>
      <w:divBdr>
        <w:top w:val="none" w:sz="0" w:space="0" w:color="auto"/>
        <w:left w:val="none" w:sz="0" w:space="0" w:color="auto"/>
        <w:bottom w:val="none" w:sz="0" w:space="0" w:color="auto"/>
        <w:right w:val="none" w:sz="0" w:space="0" w:color="auto"/>
      </w:divBdr>
    </w:div>
    <w:div w:id="574704884">
      <w:bodyDiv w:val="1"/>
      <w:marLeft w:val="0"/>
      <w:marRight w:val="0"/>
      <w:marTop w:val="0"/>
      <w:marBottom w:val="0"/>
      <w:divBdr>
        <w:top w:val="none" w:sz="0" w:space="0" w:color="auto"/>
        <w:left w:val="none" w:sz="0" w:space="0" w:color="auto"/>
        <w:bottom w:val="none" w:sz="0" w:space="0" w:color="auto"/>
        <w:right w:val="none" w:sz="0" w:space="0" w:color="auto"/>
      </w:divBdr>
    </w:div>
    <w:div w:id="578292584">
      <w:bodyDiv w:val="1"/>
      <w:marLeft w:val="0"/>
      <w:marRight w:val="0"/>
      <w:marTop w:val="0"/>
      <w:marBottom w:val="0"/>
      <w:divBdr>
        <w:top w:val="none" w:sz="0" w:space="0" w:color="auto"/>
        <w:left w:val="none" w:sz="0" w:space="0" w:color="auto"/>
        <w:bottom w:val="none" w:sz="0" w:space="0" w:color="auto"/>
        <w:right w:val="none" w:sz="0" w:space="0" w:color="auto"/>
      </w:divBdr>
    </w:div>
    <w:div w:id="582420529">
      <w:bodyDiv w:val="1"/>
      <w:marLeft w:val="0"/>
      <w:marRight w:val="0"/>
      <w:marTop w:val="0"/>
      <w:marBottom w:val="0"/>
      <w:divBdr>
        <w:top w:val="none" w:sz="0" w:space="0" w:color="auto"/>
        <w:left w:val="none" w:sz="0" w:space="0" w:color="auto"/>
        <w:bottom w:val="none" w:sz="0" w:space="0" w:color="auto"/>
        <w:right w:val="none" w:sz="0" w:space="0" w:color="auto"/>
      </w:divBdr>
    </w:div>
    <w:div w:id="582644147">
      <w:bodyDiv w:val="1"/>
      <w:marLeft w:val="0"/>
      <w:marRight w:val="0"/>
      <w:marTop w:val="0"/>
      <w:marBottom w:val="0"/>
      <w:divBdr>
        <w:top w:val="none" w:sz="0" w:space="0" w:color="auto"/>
        <w:left w:val="none" w:sz="0" w:space="0" w:color="auto"/>
        <w:bottom w:val="none" w:sz="0" w:space="0" w:color="auto"/>
        <w:right w:val="none" w:sz="0" w:space="0" w:color="auto"/>
      </w:divBdr>
    </w:div>
    <w:div w:id="587353781">
      <w:bodyDiv w:val="1"/>
      <w:marLeft w:val="0"/>
      <w:marRight w:val="0"/>
      <w:marTop w:val="0"/>
      <w:marBottom w:val="0"/>
      <w:divBdr>
        <w:top w:val="none" w:sz="0" w:space="0" w:color="auto"/>
        <w:left w:val="none" w:sz="0" w:space="0" w:color="auto"/>
        <w:bottom w:val="none" w:sz="0" w:space="0" w:color="auto"/>
        <w:right w:val="none" w:sz="0" w:space="0" w:color="auto"/>
      </w:divBdr>
    </w:div>
    <w:div w:id="592326998">
      <w:bodyDiv w:val="1"/>
      <w:marLeft w:val="0"/>
      <w:marRight w:val="0"/>
      <w:marTop w:val="0"/>
      <w:marBottom w:val="0"/>
      <w:divBdr>
        <w:top w:val="none" w:sz="0" w:space="0" w:color="auto"/>
        <w:left w:val="none" w:sz="0" w:space="0" w:color="auto"/>
        <w:bottom w:val="none" w:sz="0" w:space="0" w:color="auto"/>
        <w:right w:val="none" w:sz="0" w:space="0" w:color="auto"/>
      </w:divBdr>
    </w:div>
    <w:div w:id="593170848">
      <w:bodyDiv w:val="1"/>
      <w:marLeft w:val="0"/>
      <w:marRight w:val="0"/>
      <w:marTop w:val="0"/>
      <w:marBottom w:val="0"/>
      <w:divBdr>
        <w:top w:val="none" w:sz="0" w:space="0" w:color="auto"/>
        <w:left w:val="none" w:sz="0" w:space="0" w:color="auto"/>
        <w:bottom w:val="none" w:sz="0" w:space="0" w:color="auto"/>
        <w:right w:val="none" w:sz="0" w:space="0" w:color="auto"/>
      </w:divBdr>
    </w:div>
    <w:div w:id="596133489">
      <w:bodyDiv w:val="1"/>
      <w:marLeft w:val="0"/>
      <w:marRight w:val="0"/>
      <w:marTop w:val="0"/>
      <w:marBottom w:val="0"/>
      <w:divBdr>
        <w:top w:val="none" w:sz="0" w:space="0" w:color="auto"/>
        <w:left w:val="none" w:sz="0" w:space="0" w:color="auto"/>
        <w:bottom w:val="none" w:sz="0" w:space="0" w:color="auto"/>
        <w:right w:val="none" w:sz="0" w:space="0" w:color="auto"/>
      </w:divBdr>
    </w:div>
    <w:div w:id="598684573">
      <w:bodyDiv w:val="1"/>
      <w:marLeft w:val="0"/>
      <w:marRight w:val="0"/>
      <w:marTop w:val="0"/>
      <w:marBottom w:val="0"/>
      <w:divBdr>
        <w:top w:val="none" w:sz="0" w:space="0" w:color="auto"/>
        <w:left w:val="none" w:sz="0" w:space="0" w:color="auto"/>
        <w:bottom w:val="none" w:sz="0" w:space="0" w:color="auto"/>
        <w:right w:val="none" w:sz="0" w:space="0" w:color="auto"/>
      </w:divBdr>
    </w:div>
    <w:div w:id="601185942">
      <w:bodyDiv w:val="1"/>
      <w:marLeft w:val="0"/>
      <w:marRight w:val="0"/>
      <w:marTop w:val="0"/>
      <w:marBottom w:val="0"/>
      <w:divBdr>
        <w:top w:val="none" w:sz="0" w:space="0" w:color="auto"/>
        <w:left w:val="none" w:sz="0" w:space="0" w:color="auto"/>
        <w:bottom w:val="none" w:sz="0" w:space="0" w:color="auto"/>
        <w:right w:val="none" w:sz="0" w:space="0" w:color="auto"/>
      </w:divBdr>
    </w:div>
    <w:div w:id="602079898">
      <w:bodyDiv w:val="1"/>
      <w:marLeft w:val="0"/>
      <w:marRight w:val="0"/>
      <w:marTop w:val="0"/>
      <w:marBottom w:val="0"/>
      <w:divBdr>
        <w:top w:val="none" w:sz="0" w:space="0" w:color="auto"/>
        <w:left w:val="none" w:sz="0" w:space="0" w:color="auto"/>
        <w:bottom w:val="none" w:sz="0" w:space="0" w:color="auto"/>
        <w:right w:val="none" w:sz="0" w:space="0" w:color="auto"/>
      </w:divBdr>
    </w:div>
    <w:div w:id="606236527">
      <w:bodyDiv w:val="1"/>
      <w:marLeft w:val="0"/>
      <w:marRight w:val="0"/>
      <w:marTop w:val="0"/>
      <w:marBottom w:val="0"/>
      <w:divBdr>
        <w:top w:val="none" w:sz="0" w:space="0" w:color="auto"/>
        <w:left w:val="none" w:sz="0" w:space="0" w:color="auto"/>
        <w:bottom w:val="none" w:sz="0" w:space="0" w:color="auto"/>
        <w:right w:val="none" w:sz="0" w:space="0" w:color="auto"/>
      </w:divBdr>
    </w:div>
    <w:div w:id="608051271">
      <w:bodyDiv w:val="1"/>
      <w:marLeft w:val="0"/>
      <w:marRight w:val="0"/>
      <w:marTop w:val="0"/>
      <w:marBottom w:val="0"/>
      <w:divBdr>
        <w:top w:val="none" w:sz="0" w:space="0" w:color="auto"/>
        <w:left w:val="none" w:sz="0" w:space="0" w:color="auto"/>
        <w:bottom w:val="none" w:sz="0" w:space="0" w:color="auto"/>
        <w:right w:val="none" w:sz="0" w:space="0" w:color="auto"/>
      </w:divBdr>
    </w:div>
    <w:div w:id="615527944">
      <w:bodyDiv w:val="1"/>
      <w:marLeft w:val="0"/>
      <w:marRight w:val="0"/>
      <w:marTop w:val="0"/>
      <w:marBottom w:val="0"/>
      <w:divBdr>
        <w:top w:val="none" w:sz="0" w:space="0" w:color="auto"/>
        <w:left w:val="none" w:sz="0" w:space="0" w:color="auto"/>
        <w:bottom w:val="none" w:sz="0" w:space="0" w:color="auto"/>
        <w:right w:val="none" w:sz="0" w:space="0" w:color="auto"/>
      </w:divBdr>
    </w:div>
    <w:div w:id="622075638">
      <w:bodyDiv w:val="1"/>
      <w:marLeft w:val="0"/>
      <w:marRight w:val="0"/>
      <w:marTop w:val="0"/>
      <w:marBottom w:val="0"/>
      <w:divBdr>
        <w:top w:val="none" w:sz="0" w:space="0" w:color="auto"/>
        <w:left w:val="none" w:sz="0" w:space="0" w:color="auto"/>
        <w:bottom w:val="none" w:sz="0" w:space="0" w:color="auto"/>
        <w:right w:val="none" w:sz="0" w:space="0" w:color="auto"/>
      </w:divBdr>
    </w:div>
    <w:div w:id="623851017">
      <w:bodyDiv w:val="1"/>
      <w:marLeft w:val="0"/>
      <w:marRight w:val="0"/>
      <w:marTop w:val="0"/>
      <w:marBottom w:val="0"/>
      <w:divBdr>
        <w:top w:val="none" w:sz="0" w:space="0" w:color="auto"/>
        <w:left w:val="none" w:sz="0" w:space="0" w:color="auto"/>
        <w:bottom w:val="none" w:sz="0" w:space="0" w:color="auto"/>
        <w:right w:val="none" w:sz="0" w:space="0" w:color="auto"/>
      </w:divBdr>
    </w:div>
    <w:div w:id="624583597">
      <w:bodyDiv w:val="1"/>
      <w:marLeft w:val="0"/>
      <w:marRight w:val="0"/>
      <w:marTop w:val="0"/>
      <w:marBottom w:val="0"/>
      <w:divBdr>
        <w:top w:val="none" w:sz="0" w:space="0" w:color="auto"/>
        <w:left w:val="none" w:sz="0" w:space="0" w:color="auto"/>
        <w:bottom w:val="none" w:sz="0" w:space="0" w:color="auto"/>
        <w:right w:val="none" w:sz="0" w:space="0" w:color="auto"/>
      </w:divBdr>
    </w:div>
    <w:div w:id="626861611">
      <w:bodyDiv w:val="1"/>
      <w:marLeft w:val="0"/>
      <w:marRight w:val="0"/>
      <w:marTop w:val="0"/>
      <w:marBottom w:val="0"/>
      <w:divBdr>
        <w:top w:val="none" w:sz="0" w:space="0" w:color="auto"/>
        <w:left w:val="none" w:sz="0" w:space="0" w:color="auto"/>
        <w:bottom w:val="none" w:sz="0" w:space="0" w:color="auto"/>
        <w:right w:val="none" w:sz="0" w:space="0" w:color="auto"/>
      </w:divBdr>
    </w:div>
    <w:div w:id="626934290">
      <w:bodyDiv w:val="1"/>
      <w:marLeft w:val="0"/>
      <w:marRight w:val="0"/>
      <w:marTop w:val="0"/>
      <w:marBottom w:val="0"/>
      <w:divBdr>
        <w:top w:val="none" w:sz="0" w:space="0" w:color="auto"/>
        <w:left w:val="none" w:sz="0" w:space="0" w:color="auto"/>
        <w:bottom w:val="none" w:sz="0" w:space="0" w:color="auto"/>
        <w:right w:val="none" w:sz="0" w:space="0" w:color="auto"/>
      </w:divBdr>
    </w:div>
    <w:div w:id="629938742">
      <w:bodyDiv w:val="1"/>
      <w:marLeft w:val="0"/>
      <w:marRight w:val="0"/>
      <w:marTop w:val="0"/>
      <w:marBottom w:val="0"/>
      <w:divBdr>
        <w:top w:val="none" w:sz="0" w:space="0" w:color="auto"/>
        <w:left w:val="none" w:sz="0" w:space="0" w:color="auto"/>
        <w:bottom w:val="none" w:sz="0" w:space="0" w:color="auto"/>
        <w:right w:val="none" w:sz="0" w:space="0" w:color="auto"/>
      </w:divBdr>
    </w:div>
    <w:div w:id="629941774">
      <w:bodyDiv w:val="1"/>
      <w:marLeft w:val="0"/>
      <w:marRight w:val="0"/>
      <w:marTop w:val="0"/>
      <w:marBottom w:val="0"/>
      <w:divBdr>
        <w:top w:val="none" w:sz="0" w:space="0" w:color="auto"/>
        <w:left w:val="none" w:sz="0" w:space="0" w:color="auto"/>
        <w:bottom w:val="none" w:sz="0" w:space="0" w:color="auto"/>
        <w:right w:val="none" w:sz="0" w:space="0" w:color="auto"/>
      </w:divBdr>
    </w:div>
    <w:div w:id="630481674">
      <w:bodyDiv w:val="1"/>
      <w:marLeft w:val="0"/>
      <w:marRight w:val="0"/>
      <w:marTop w:val="0"/>
      <w:marBottom w:val="0"/>
      <w:divBdr>
        <w:top w:val="none" w:sz="0" w:space="0" w:color="auto"/>
        <w:left w:val="none" w:sz="0" w:space="0" w:color="auto"/>
        <w:bottom w:val="none" w:sz="0" w:space="0" w:color="auto"/>
        <w:right w:val="none" w:sz="0" w:space="0" w:color="auto"/>
      </w:divBdr>
    </w:div>
    <w:div w:id="630865021">
      <w:bodyDiv w:val="1"/>
      <w:marLeft w:val="0"/>
      <w:marRight w:val="0"/>
      <w:marTop w:val="0"/>
      <w:marBottom w:val="0"/>
      <w:divBdr>
        <w:top w:val="none" w:sz="0" w:space="0" w:color="auto"/>
        <w:left w:val="none" w:sz="0" w:space="0" w:color="auto"/>
        <w:bottom w:val="none" w:sz="0" w:space="0" w:color="auto"/>
        <w:right w:val="none" w:sz="0" w:space="0" w:color="auto"/>
      </w:divBdr>
    </w:div>
    <w:div w:id="633946556">
      <w:bodyDiv w:val="1"/>
      <w:marLeft w:val="0"/>
      <w:marRight w:val="0"/>
      <w:marTop w:val="0"/>
      <w:marBottom w:val="0"/>
      <w:divBdr>
        <w:top w:val="none" w:sz="0" w:space="0" w:color="auto"/>
        <w:left w:val="none" w:sz="0" w:space="0" w:color="auto"/>
        <w:bottom w:val="none" w:sz="0" w:space="0" w:color="auto"/>
        <w:right w:val="none" w:sz="0" w:space="0" w:color="auto"/>
      </w:divBdr>
    </w:div>
    <w:div w:id="643244538">
      <w:bodyDiv w:val="1"/>
      <w:marLeft w:val="0"/>
      <w:marRight w:val="0"/>
      <w:marTop w:val="0"/>
      <w:marBottom w:val="0"/>
      <w:divBdr>
        <w:top w:val="none" w:sz="0" w:space="0" w:color="auto"/>
        <w:left w:val="none" w:sz="0" w:space="0" w:color="auto"/>
        <w:bottom w:val="none" w:sz="0" w:space="0" w:color="auto"/>
        <w:right w:val="none" w:sz="0" w:space="0" w:color="auto"/>
      </w:divBdr>
    </w:div>
    <w:div w:id="644629339">
      <w:bodyDiv w:val="1"/>
      <w:marLeft w:val="0"/>
      <w:marRight w:val="0"/>
      <w:marTop w:val="0"/>
      <w:marBottom w:val="0"/>
      <w:divBdr>
        <w:top w:val="none" w:sz="0" w:space="0" w:color="auto"/>
        <w:left w:val="none" w:sz="0" w:space="0" w:color="auto"/>
        <w:bottom w:val="none" w:sz="0" w:space="0" w:color="auto"/>
        <w:right w:val="none" w:sz="0" w:space="0" w:color="auto"/>
      </w:divBdr>
    </w:div>
    <w:div w:id="647975940">
      <w:bodyDiv w:val="1"/>
      <w:marLeft w:val="0"/>
      <w:marRight w:val="0"/>
      <w:marTop w:val="0"/>
      <w:marBottom w:val="0"/>
      <w:divBdr>
        <w:top w:val="none" w:sz="0" w:space="0" w:color="auto"/>
        <w:left w:val="none" w:sz="0" w:space="0" w:color="auto"/>
        <w:bottom w:val="none" w:sz="0" w:space="0" w:color="auto"/>
        <w:right w:val="none" w:sz="0" w:space="0" w:color="auto"/>
      </w:divBdr>
    </w:div>
    <w:div w:id="649022161">
      <w:bodyDiv w:val="1"/>
      <w:marLeft w:val="0"/>
      <w:marRight w:val="0"/>
      <w:marTop w:val="0"/>
      <w:marBottom w:val="0"/>
      <w:divBdr>
        <w:top w:val="none" w:sz="0" w:space="0" w:color="auto"/>
        <w:left w:val="none" w:sz="0" w:space="0" w:color="auto"/>
        <w:bottom w:val="none" w:sz="0" w:space="0" w:color="auto"/>
        <w:right w:val="none" w:sz="0" w:space="0" w:color="auto"/>
      </w:divBdr>
    </w:div>
    <w:div w:id="653880078">
      <w:bodyDiv w:val="1"/>
      <w:marLeft w:val="0"/>
      <w:marRight w:val="0"/>
      <w:marTop w:val="0"/>
      <w:marBottom w:val="0"/>
      <w:divBdr>
        <w:top w:val="none" w:sz="0" w:space="0" w:color="auto"/>
        <w:left w:val="none" w:sz="0" w:space="0" w:color="auto"/>
        <w:bottom w:val="none" w:sz="0" w:space="0" w:color="auto"/>
        <w:right w:val="none" w:sz="0" w:space="0" w:color="auto"/>
      </w:divBdr>
    </w:div>
    <w:div w:id="655572427">
      <w:bodyDiv w:val="1"/>
      <w:marLeft w:val="0"/>
      <w:marRight w:val="0"/>
      <w:marTop w:val="0"/>
      <w:marBottom w:val="0"/>
      <w:divBdr>
        <w:top w:val="none" w:sz="0" w:space="0" w:color="auto"/>
        <w:left w:val="none" w:sz="0" w:space="0" w:color="auto"/>
        <w:bottom w:val="none" w:sz="0" w:space="0" w:color="auto"/>
        <w:right w:val="none" w:sz="0" w:space="0" w:color="auto"/>
      </w:divBdr>
    </w:div>
    <w:div w:id="655769215">
      <w:bodyDiv w:val="1"/>
      <w:marLeft w:val="0"/>
      <w:marRight w:val="0"/>
      <w:marTop w:val="0"/>
      <w:marBottom w:val="0"/>
      <w:divBdr>
        <w:top w:val="none" w:sz="0" w:space="0" w:color="auto"/>
        <w:left w:val="none" w:sz="0" w:space="0" w:color="auto"/>
        <w:bottom w:val="none" w:sz="0" w:space="0" w:color="auto"/>
        <w:right w:val="none" w:sz="0" w:space="0" w:color="auto"/>
      </w:divBdr>
    </w:div>
    <w:div w:id="656766912">
      <w:bodyDiv w:val="1"/>
      <w:marLeft w:val="0"/>
      <w:marRight w:val="0"/>
      <w:marTop w:val="0"/>
      <w:marBottom w:val="0"/>
      <w:divBdr>
        <w:top w:val="none" w:sz="0" w:space="0" w:color="auto"/>
        <w:left w:val="none" w:sz="0" w:space="0" w:color="auto"/>
        <w:bottom w:val="none" w:sz="0" w:space="0" w:color="auto"/>
        <w:right w:val="none" w:sz="0" w:space="0" w:color="auto"/>
      </w:divBdr>
    </w:div>
    <w:div w:id="656807602">
      <w:bodyDiv w:val="1"/>
      <w:marLeft w:val="0"/>
      <w:marRight w:val="0"/>
      <w:marTop w:val="0"/>
      <w:marBottom w:val="0"/>
      <w:divBdr>
        <w:top w:val="none" w:sz="0" w:space="0" w:color="auto"/>
        <w:left w:val="none" w:sz="0" w:space="0" w:color="auto"/>
        <w:bottom w:val="none" w:sz="0" w:space="0" w:color="auto"/>
        <w:right w:val="none" w:sz="0" w:space="0" w:color="auto"/>
      </w:divBdr>
    </w:div>
    <w:div w:id="656811445">
      <w:bodyDiv w:val="1"/>
      <w:marLeft w:val="0"/>
      <w:marRight w:val="0"/>
      <w:marTop w:val="0"/>
      <w:marBottom w:val="0"/>
      <w:divBdr>
        <w:top w:val="none" w:sz="0" w:space="0" w:color="auto"/>
        <w:left w:val="none" w:sz="0" w:space="0" w:color="auto"/>
        <w:bottom w:val="none" w:sz="0" w:space="0" w:color="auto"/>
        <w:right w:val="none" w:sz="0" w:space="0" w:color="auto"/>
      </w:divBdr>
    </w:div>
    <w:div w:id="659771423">
      <w:bodyDiv w:val="1"/>
      <w:marLeft w:val="0"/>
      <w:marRight w:val="0"/>
      <w:marTop w:val="0"/>
      <w:marBottom w:val="0"/>
      <w:divBdr>
        <w:top w:val="none" w:sz="0" w:space="0" w:color="auto"/>
        <w:left w:val="none" w:sz="0" w:space="0" w:color="auto"/>
        <w:bottom w:val="none" w:sz="0" w:space="0" w:color="auto"/>
        <w:right w:val="none" w:sz="0" w:space="0" w:color="auto"/>
      </w:divBdr>
    </w:div>
    <w:div w:id="666054553">
      <w:bodyDiv w:val="1"/>
      <w:marLeft w:val="0"/>
      <w:marRight w:val="0"/>
      <w:marTop w:val="0"/>
      <w:marBottom w:val="0"/>
      <w:divBdr>
        <w:top w:val="none" w:sz="0" w:space="0" w:color="auto"/>
        <w:left w:val="none" w:sz="0" w:space="0" w:color="auto"/>
        <w:bottom w:val="none" w:sz="0" w:space="0" w:color="auto"/>
        <w:right w:val="none" w:sz="0" w:space="0" w:color="auto"/>
      </w:divBdr>
    </w:div>
    <w:div w:id="669455015">
      <w:bodyDiv w:val="1"/>
      <w:marLeft w:val="0"/>
      <w:marRight w:val="0"/>
      <w:marTop w:val="0"/>
      <w:marBottom w:val="0"/>
      <w:divBdr>
        <w:top w:val="none" w:sz="0" w:space="0" w:color="auto"/>
        <w:left w:val="none" w:sz="0" w:space="0" w:color="auto"/>
        <w:bottom w:val="none" w:sz="0" w:space="0" w:color="auto"/>
        <w:right w:val="none" w:sz="0" w:space="0" w:color="auto"/>
      </w:divBdr>
    </w:div>
    <w:div w:id="670530050">
      <w:bodyDiv w:val="1"/>
      <w:marLeft w:val="0"/>
      <w:marRight w:val="0"/>
      <w:marTop w:val="0"/>
      <w:marBottom w:val="0"/>
      <w:divBdr>
        <w:top w:val="none" w:sz="0" w:space="0" w:color="auto"/>
        <w:left w:val="none" w:sz="0" w:space="0" w:color="auto"/>
        <w:bottom w:val="none" w:sz="0" w:space="0" w:color="auto"/>
        <w:right w:val="none" w:sz="0" w:space="0" w:color="auto"/>
      </w:divBdr>
    </w:div>
    <w:div w:id="682392161">
      <w:bodyDiv w:val="1"/>
      <w:marLeft w:val="0"/>
      <w:marRight w:val="0"/>
      <w:marTop w:val="0"/>
      <w:marBottom w:val="0"/>
      <w:divBdr>
        <w:top w:val="none" w:sz="0" w:space="0" w:color="auto"/>
        <w:left w:val="none" w:sz="0" w:space="0" w:color="auto"/>
        <w:bottom w:val="none" w:sz="0" w:space="0" w:color="auto"/>
        <w:right w:val="none" w:sz="0" w:space="0" w:color="auto"/>
      </w:divBdr>
    </w:div>
    <w:div w:id="684748938">
      <w:bodyDiv w:val="1"/>
      <w:marLeft w:val="0"/>
      <w:marRight w:val="0"/>
      <w:marTop w:val="0"/>
      <w:marBottom w:val="0"/>
      <w:divBdr>
        <w:top w:val="none" w:sz="0" w:space="0" w:color="auto"/>
        <w:left w:val="none" w:sz="0" w:space="0" w:color="auto"/>
        <w:bottom w:val="none" w:sz="0" w:space="0" w:color="auto"/>
        <w:right w:val="none" w:sz="0" w:space="0" w:color="auto"/>
      </w:divBdr>
    </w:div>
    <w:div w:id="686057891">
      <w:bodyDiv w:val="1"/>
      <w:marLeft w:val="0"/>
      <w:marRight w:val="0"/>
      <w:marTop w:val="0"/>
      <w:marBottom w:val="0"/>
      <w:divBdr>
        <w:top w:val="none" w:sz="0" w:space="0" w:color="auto"/>
        <w:left w:val="none" w:sz="0" w:space="0" w:color="auto"/>
        <w:bottom w:val="none" w:sz="0" w:space="0" w:color="auto"/>
        <w:right w:val="none" w:sz="0" w:space="0" w:color="auto"/>
      </w:divBdr>
    </w:div>
    <w:div w:id="686634090">
      <w:bodyDiv w:val="1"/>
      <w:marLeft w:val="0"/>
      <w:marRight w:val="0"/>
      <w:marTop w:val="0"/>
      <w:marBottom w:val="0"/>
      <w:divBdr>
        <w:top w:val="none" w:sz="0" w:space="0" w:color="auto"/>
        <w:left w:val="none" w:sz="0" w:space="0" w:color="auto"/>
        <w:bottom w:val="none" w:sz="0" w:space="0" w:color="auto"/>
        <w:right w:val="none" w:sz="0" w:space="0" w:color="auto"/>
      </w:divBdr>
    </w:div>
    <w:div w:id="687677668">
      <w:bodyDiv w:val="1"/>
      <w:marLeft w:val="0"/>
      <w:marRight w:val="0"/>
      <w:marTop w:val="0"/>
      <w:marBottom w:val="0"/>
      <w:divBdr>
        <w:top w:val="none" w:sz="0" w:space="0" w:color="auto"/>
        <w:left w:val="none" w:sz="0" w:space="0" w:color="auto"/>
        <w:bottom w:val="none" w:sz="0" w:space="0" w:color="auto"/>
        <w:right w:val="none" w:sz="0" w:space="0" w:color="auto"/>
      </w:divBdr>
    </w:div>
    <w:div w:id="689259385">
      <w:bodyDiv w:val="1"/>
      <w:marLeft w:val="0"/>
      <w:marRight w:val="0"/>
      <w:marTop w:val="0"/>
      <w:marBottom w:val="0"/>
      <w:divBdr>
        <w:top w:val="none" w:sz="0" w:space="0" w:color="auto"/>
        <w:left w:val="none" w:sz="0" w:space="0" w:color="auto"/>
        <w:bottom w:val="none" w:sz="0" w:space="0" w:color="auto"/>
        <w:right w:val="none" w:sz="0" w:space="0" w:color="auto"/>
      </w:divBdr>
    </w:div>
    <w:div w:id="689646489">
      <w:bodyDiv w:val="1"/>
      <w:marLeft w:val="0"/>
      <w:marRight w:val="0"/>
      <w:marTop w:val="0"/>
      <w:marBottom w:val="0"/>
      <w:divBdr>
        <w:top w:val="none" w:sz="0" w:space="0" w:color="auto"/>
        <w:left w:val="none" w:sz="0" w:space="0" w:color="auto"/>
        <w:bottom w:val="none" w:sz="0" w:space="0" w:color="auto"/>
        <w:right w:val="none" w:sz="0" w:space="0" w:color="auto"/>
      </w:divBdr>
    </w:div>
    <w:div w:id="695891664">
      <w:bodyDiv w:val="1"/>
      <w:marLeft w:val="0"/>
      <w:marRight w:val="0"/>
      <w:marTop w:val="0"/>
      <w:marBottom w:val="0"/>
      <w:divBdr>
        <w:top w:val="none" w:sz="0" w:space="0" w:color="auto"/>
        <w:left w:val="none" w:sz="0" w:space="0" w:color="auto"/>
        <w:bottom w:val="none" w:sz="0" w:space="0" w:color="auto"/>
        <w:right w:val="none" w:sz="0" w:space="0" w:color="auto"/>
      </w:divBdr>
    </w:div>
    <w:div w:id="698238076">
      <w:bodyDiv w:val="1"/>
      <w:marLeft w:val="0"/>
      <w:marRight w:val="0"/>
      <w:marTop w:val="0"/>
      <w:marBottom w:val="0"/>
      <w:divBdr>
        <w:top w:val="none" w:sz="0" w:space="0" w:color="auto"/>
        <w:left w:val="none" w:sz="0" w:space="0" w:color="auto"/>
        <w:bottom w:val="none" w:sz="0" w:space="0" w:color="auto"/>
        <w:right w:val="none" w:sz="0" w:space="0" w:color="auto"/>
      </w:divBdr>
    </w:div>
    <w:div w:id="699091899">
      <w:bodyDiv w:val="1"/>
      <w:marLeft w:val="0"/>
      <w:marRight w:val="0"/>
      <w:marTop w:val="0"/>
      <w:marBottom w:val="0"/>
      <w:divBdr>
        <w:top w:val="none" w:sz="0" w:space="0" w:color="auto"/>
        <w:left w:val="none" w:sz="0" w:space="0" w:color="auto"/>
        <w:bottom w:val="none" w:sz="0" w:space="0" w:color="auto"/>
        <w:right w:val="none" w:sz="0" w:space="0" w:color="auto"/>
      </w:divBdr>
    </w:div>
    <w:div w:id="702747112">
      <w:bodyDiv w:val="1"/>
      <w:marLeft w:val="0"/>
      <w:marRight w:val="0"/>
      <w:marTop w:val="0"/>
      <w:marBottom w:val="0"/>
      <w:divBdr>
        <w:top w:val="none" w:sz="0" w:space="0" w:color="auto"/>
        <w:left w:val="none" w:sz="0" w:space="0" w:color="auto"/>
        <w:bottom w:val="none" w:sz="0" w:space="0" w:color="auto"/>
        <w:right w:val="none" w:sz="0" w:space="0" w:color="auto"/>
      </w:divBdr>
    </w:div>
    <w:div w:id="703138737">
      <w:bodyDiv w:val="1"/>
      <w:marLeft w:val="0"/>
      <w:marRight w:val="0"/>
      <w:marTop w:val="0"/>
      <w:marBottom w:val="0"/>
      <w:divBdr>
        <w:top w:val="none" w:sz="0" w:space="0" w:color="auto"/>
        <w:left w:val="none" w:sz="0" w:space="0" w:color="auto"/>
        <w:bottom w:val="none" w:sz="0" w:space="0" w:color="auto"/>
        <w:right w:val="none" w:sz="0" w:space="0" w:color="auto"/>
      </w:divBdr>
    </w:div>
    <w:div w:id="710233202">
      <w:bodyDiv w:val="1"/>
      <w:marLeft w:val="0"/>
      <w:marRight w:val="0"/>
      <w:marTop w:val="0"/>
      <w:marBottom w:val="0"/>
      <w:divBdr>
        <w:top w:val="none" w:sz="0" w:space="0" w:color="auto"/>
        <w:left w:val="none" w:sz="0" w:space="0" w:color="auto"/>
        <w:bottom w:val="none" w:sz="0" w:space="0" w:color="auto"/>
        <w:right w:val="none" w:sz="0" w:space="0" w:color="auto"/>
      </w:divBdr>
    </w:div>
    <w:div w:id="713580876">
      <w:bodyDiv w:val="1"/>
      <w:marLeft w:val="0"/>
      <w:marRight w:val="0"/>
      <w:marTop w:val="0"/>
      <w:marBottom w:val="0"/>
      <w:divBdr>
        <w:top w:val="none" w:sz="0" w:space="0" w:color="auto"/>
        <w:left w:val="none" w:sz="0" w:space="0" w:color="auto"/>
        <w:bottom w:val="none" w:sz="0" w:space="0" w:color="auto"/>
        <w:right w:val="none" w:sz="0" w:space="0" w:color="auto"/>
      </w:divBdr>
    </w:div>
    <w:div w:id="716129162">
      <w:bodyDiv w:val="1"/>
      <w:marLeft w:val="0"/>
      <w:marRight w:val="0"/>
      <w:marTop w:val="0"/>
      <w:marBottom w:val="0"/>
      <w:divBdr>
        <w:top w:val="none" w:sz="0" w:space="0" w:color="auto"/>
        <w:left w:val="none" w:sz="0" w:space="0" w:color="auto"/>
        <w:bottom w:val="none" w:sz="0" w:space="0" w:color="auto"/>
        <w:right w:val="none" w:sz="0" w:space="0" w:color="auto"/>
      </w:divBdr>
    </w:div>
    <w:div w:id="719673912">
      <w:bodyDiv w:val="1"/>
      <w:marLeft w:val="0"/>
      <w:marRight w:val="0"/>
      <w:marTop w:val="0"/>
      <w:marBottom w:val="0"/>
      <w:divBdr>
        <w:top w:val="none" w:sz="0" w:space="0" w:color="auto"/>
        <w:left w:val="none" w:sz="0" w:space="0" w:color="auto"/>
        <w:bottom w:val="none" w:sz="0" w:space="0" w:color="auto"/>
        <w:right w:val="none" w:sz="0" w:space="0" w:color="auto"/>
      </w:divBdr>
    </w:div>
    <w:div w:id="719936009">
      <w:bodyDiv w:val="1"/>
      <w:marLeft w:val="0"/>
      <w:marRight w:val="0"/>
      <w:marTop w:val="0"/>
      <w:marBottom w:val="0"/>
      <w:divBdr>
        <w:top w:val="none" w:sz="0" w:space="0" w:color="auto"/>
        <w:left w:val="none" w:sz="0" w:space="0" w:color="auto"/>
        <w:bottom w:val="none" w:sz="0" w:space="0" w:color="auto"/>
        <w:right w:val="none" w:sz="0" w:space="0" w:color="auto"/>
      </w:divBdr>
    </w:div>
    <w:div w:id="720593073">
      <w:bodyDiv w:val="1"/>
      <w:marLeft w:val="0"/>
      <w:marRight w:val="0"/>
      <w:marTop w:val="0"/>
      <w:marBottom w:val="0"/>
      <w:divBdr>
        <w:top w:val="none" w:sz="0" w:space="0" w:color="auto"/>
        <w:left w:val="none" w:sz="0" w:space="0" w:color="auto"/>
        <w:bottom w:val="none" w:sz="0" w:space="0" w:color="auto"/>
        <w:right w:val="none" w:sz="0" w:space="0" w:color="auto"/>
      </w:divBdr>
    </w:div>
    <w:div w:id="720787372">
      <w:bodyDiv w:val="1"/>
      <w:marLeft w:val="0"/>
      <w:marRight w:val="0"/>
      <w:marTop w:val="0"/>
      <w:marBottom w:val="0"/>
      <w:divBdr>
        <w:top w:val="none" w:sz="0" w:space="0" w:color="auto"/>
        <w:left w:val="none" w:sz="0" w:space="0" w:color="auto"/>
        <w:bottom w:val="none" w:sz="0" w:space="0" w:color="auto"/>
        <w:right w:val="none" w:sz="0" w:space="0" w:color="auto"/>
      </w:divBdr>
    </w:div>
    <w:div w:id="722020859">
      <w:bodyDiv w:val="1"/>
      <w:marLeft w:val="0"/>
      <w:marRight w:val="0"/>
      <w:marTop w:val="0"/>
      <w:marBottom w:val="0"/>
      <w:divBdr>
        <w:top w:val="none" w:sz="0" w:space="0" w:color="auto"/>
        <w:left w:val="none" w:sz="0" w:space="0" w:color="auto"/>
        <w:bottom w:val="none" w:sz="0" w:space="0" w:color="auto"/>
        <w:right w:val="none" w:sz="0" w:space="0" w:color="auto"/>
      </w:divBdr>
    </w:div>
    <w:div w:id="722295311">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5564666">
      <w:bodyDiv w:val="1"/>
      <w:marLeft w:val="0"/>
      <w:marRight w:val="0"/>
      <w:marTop w:val="0"/>
      <w:marBottom w:val="0"/>
      <w:divBdr>
        <w:top w:val="none" w:sz="0" w:space="0" w:color="auto"/>
        <w:left w:val="none" w:sz="0" w:space="0" w:color="auto"/>
        <w:bottom w:val="none" w:sz="0" w:space="0" w:color="auto"/>
        <w:right w:val="none" w:sz="0" w:space="0" w:color="auto"/>
      </w:divBdr>
    </w:div>
    <w:div w:id="726222129">
      <w:bodyDiv w:val="1"/>
      <w:marLeft w:val="0"/>
      <w:marRight w:val="0"/>
      <w:marTop w:val="0"/>
      <w:marBottom w:val="0"/>
      <w:divBdr>
        <w:top w:val="none" w:sz="0" w:space="0" w:color="auto"/>
        <w:left w:val="none" w:sz="0" w:space="0" w:color="auto"/>
        <w:bottom w:val="none" w:sz="0" w:space="0" w:color="auto"/>
        <w:right w:val="none" w:sz="0" w:space="0" w:color="auto"/>
      </w:divBdr>
    </w:div>
    <w:div w:id="726878467">
      <w:bodyDiv w:val="1"/>
      <w:marLeft w:val="0"/>
      <w:marRight w:val="0"/>
      <w:marTop w:val="0"/>
      <w:marBottom w:val="0"/>
      <w:divBdr>
        <w:top w:val="none" w:sz="0" w:space="0" w:color="auto"/>
        <w:left w:val="none" w:sz="0" w:space="0" w:color="auto"/>
        <w:bottom w:val="none" w:sz="0" w:space="0" w:color="auto"/>
        <w:right w:val="none" w:sz="0" w:space="0" w:color="auto"/>
      </w:divBdr>
    </w:div>
    <w:div w:id="729763991">
      <w:bodyDiv w:val="1"/>
      <w:marLeft w:val="0"/>
      <w:marRight w:val="0"/>
      <w:marTop w:val="0"/>
      <w:marBottom w:val="0"/>
      <w:divBdr>
        <w:top w:val="none" w:sz="0" w:space="0" w:color="auto"/>
        <w:left w:val="none" w:sz="0" w:space="0" w:color="auto"/>
        <w:bottom w:val="none" w:sz="0" w:space="0" w:color="auto"/>
        <w:right w:val="none" w:sz="0" w:space="0" w:color="auto"/>
      </w:divBdr>
    </w:div>
    <w:div w:id="732703130">
      <w:bodyDiv w:val="1"/>
      <w:marLeft w:val="0"/>
      <w:marRight w:val="0"/>
      <w:marTop w:val="0"/>
      <w:marBottom w:val="0"/>
      <w:divBdr>
        <w:top w:val="none" w:sz="0" w:space="0" w:color="auto"/>
        <w:left w:val="none" w:sz="0" w:space="0" w:color="auto"/>
        <w:bottom w:val="none" w:sz="0" w:space="0" w:color="auto"/>
        <w:right w:val="none" w:sz="0" w:space="0" w:color="auto"/>
      </w:divBdr>
    </w:div>
    <w:div w:id="734813937">
      <w:bodyDiv w:val="1"/>
      <w:marLeft w:val="0"/>
      <w:marRight w:val="0"/>
      <w:marTop w:val="0"/>
      <w:marBottom w:val="0"/>
      <w:divBdr>
        <w:top w:val="none" w:sz="0" w:space="0" w:color="auto"/>
        <w:left w:val="none" w:sz="0" w:space="0" w:color="auto"/>
        <w:bottom w:val="none" w:sz="0" w:space="0" w:color="auto"/>
        <w:right w:val="none" w:sz="0" w:space="0" w:color="auto"/>
      </w:divBdr>
    </w:div>
    <w:div w:id="738746514">
      <w:bodyDiv w:val="1"/>
      <w:marLeft w:val="0"/>
      <w:marRight w:val="0"/>
      <w:marTop w:val="0"/>
      <w:marBottom w:val="0"/>
      <w:divBdr>
        <w:top w:val="none" w:sz="0" w:space="0" w:color="auto"/>
        <w:left w:val="none" w:sz="0" w:space="0" w:color="auto"/>
        <w:bottom w:val="none" w:sz="0" w:space="0" w:color="auto"/>
        <w:right w:val="none" w:sz="0" w:space="0" w:color="auto"/>
      </w:divBdr>
    </w:div>
    <w:div w:id="739057682">
      <w:bodyDiv w:val="1"/>
      <w:marLeft w:val="0"/>
      <w:marRight w:val="0"/>
      <w:marTop w:val="0"/>
      <w:marBottom w:val="0"/>
      <w:divBdr>
        <w:top w:val="none" w:sz="0" w:space="0" w:color="auto"/>
        <w:left w:val="none" w:sz="0" w:space="0" w:color="auto"/>
        <w:bottom w:val="none" w:sz="0" w:space="0" w:color="auto"/>
        <w:right w:val="none" w:sz="0" w:space="0" w:color="auto"/>
      </w:divBdr>
    </w:div>
    <w:div w:id="741681026">
      <w:bodyDiv w:val="1"/>
      <w:marLeft w:val="0"/>
      <w:marRight w:val="0"/>
      <w:marTop w:val="0"/>
      <w:marBottom w:val="0"/>
      <w:divBdr>
        <w:top w:val="none" w:sz="0" w:space="0" w:color="auto"/>
        <w:left w:val="none" w:sz="0" w:space="0" w:color="auto"/>
        <w:bottom w:val="none" w:sz="0" w:space="0" w:color="auto"/>
        <w:right w:val="none" w:sz="0" w:space="0" w:color="auto"/>
      </w:divBdr>
    </w:div>
    <w:div w:id="741758617">
      <w:bodyDiv w:val="1"/>
      <w:marLeft w:val="0"/>
      <w:marRight w:val="0"/>
      <w:marTop w:val="0"/>
      <w:marBottom w:val="0"/>
      <w:divBdr>
        <w:top w:val="none" w:sz="0" w:space="0" w:color="auto"/>
        <w:left w:val="none" w:sz="0" w:space="0" w:color="auto"/>
        <w:bottom w:val="none" w:sz="0" w:space="0" w:color="auto"/>
        <w:right w:val="none" w:sz="0" w:space="0" w:color="auto"/>
      </w:divBdr>
    </w:div>
    <w:div w:id="742415303">
      <w:bodyDiv w:val="1"/>
      <w:marLeft w:val="0"/>
      <w:marRight w:val="0"/>
      <w:marTop w:val="0"/>
      <w:marBottom w:val="0"/>
      <w:divBdr>
        <w:top w:val="none" w:sz="0" w:space="0" w:color="auto"/>
        <w:left w:val="none" w:sz="0" w:space="0" w:color="auto"/>
        <w:bottom w:val="none" w:sz="0" w:space="0" w:color="auto"/>
        <w:right w:val="none" w:sz="0" w:space="0" w:color="auto"/>
      </w:divBdr>
    </w:div>
    <w:div w:id="743575300">
      <w:bodyDiv w:val="1"/>
      <w:marLeft w:val="0"/>
      <w:marRight w:val="0"/>
      <w:marTop w:val="0"/>
      <w:marBottom w:val="0"/>
      <w:divBdr>
        <w:top w:val="none" w:sz="0" w:space="0" w:color="auto"/>
        <w:left w:val="none" w:sz="0" w:space="0" w:color="auto"/>
        <w:bottom w:val="none" w:sz="0" w:space="0" w:color="auto"/>
        <w:right w:val="none" w:sz="0" w:space="0" w:color="auto"/>
      </w:divBdr>
    </w:div>
    <w:div w:id="746801606">
      <w:bodyDiv w:val="1"/>
      <w:marLeft w:val="0"/>
      <w:marRight w:val="0"/>
      <w:marTop w:val="0"/>
      <w:marBottom w:val="0"/>
      <w:divBdr>
        <w:top w:val="none" w:sz="0" w:space="0" w:color="auto"/>
        <w:left w:val="none" w:sz="0" w:space="0" w:color="auto"/>
        <w:bottom w:val="none" w:sz="0" w:space="0" w:color="auto"/>
        <w:right w:val="none" w:sz="0" w:space="0" w:color="auto"/>
      </w:divBdr>
    </w:div>
    <w:div w:id="749544839">
      <w:bodyDiv w:val="1"/>
      <w:marLeft w:val="0"/>
      <w:marRight w:val="0"/>
      <w:marTop w:val="0"/>
      <w:marBottom w:val="0"/>
      <w:divBdr>
        <w:top w:val="none" w:sz="0" w:space="0" w:color="auto"/>
        <w:left w:val="none" w:sz="0" w:space="0" w:color="auto"/>
        <w:bottom w:val="none" w:sz="0" w:space="0" w:color="auto"/>
        <w:right w:val="none" w:sz="0" w:space="0" w:color="auto"/>
      </w:divBdr>
    </w:div>
    <w:div w:id="755975801">
      <w:bodyDiv w:val="1"/>
      <w:marLeft w:val="0"/>
      <w:marRight w:val="0"/>
      <w:marTop w:val="0"/>
      <w:marBottom w:val="0"/>
      <w:divBdr>
        <w:top w:val="none" w:sz="0" w:space="0" w:color="auto"/>
        <w:left w:val="none" w:sz="0" w:space="0" w:color="auto"/>
        <w:bottom w:val="none" w:sz="0" w:space="0" w:color="auto"/>
        <w:right w:val="none" w:sz="0" w:space="0" w:color="auto"/>
      </w:divBdr>
    </w:div>
    <w:div w:id="756370767">
      <w:bodyDiv w:val="1"/>
      <w:marLeft w:val="0"/>
      <w:marRight w:val="0"/>
      <w:marTop w:val="0"/>
      <w:marBottom w:val="0"/>
      <w:divBdr>
        <w:top w:val="none" w:sz="0" w:space="0" w:color="auto"/>
        <w:left w:val="none" w:sz="0" w:space="0" w:color="auto"/>
        <w:bottom w:val="none" w:sz="0" w:space="0" w:color="auto"/>
        <w:right w:val="none" w:sz="0" w:space="0" w:color="auto"/>
      </w:divBdr>
    </w:div>
    <w:div w:id="756487674">
      <w:bodyDiv w:val="1"/>
      <w:marLeft w:val="0"/>
      <w:marRight w:val="0"/>
      <w:marTop w:val="0"/>
      <w:marBottom w:val="0"/>
      <w:divBdr>
        <w:top w:val="none" w:sz="0" w:space="0" w:color="auto"/>
        <w:left w:val="none" w:sz="0" w:space="0" w:color="auto"/>
        <w:bottom w:val="none" w:sz="0" w:space="0" w:color="auto"/>
        <w:right w:val="none" w:sz="0" w:space="0" w:color="auto"/>
      </w:divBdr>
    </w:div>
    <w:div w:id="758016795">
      <w:bodyDiv w:val="1"/>
      <w:marLeft w:val="0"/>
      <w:marRight w:val="0"/>
      <w:marTop w:val="0"/>
      <w:marBottom w:val="0"/>
      <w:divBdr>
        <w:top w:val="none" w:sz="0" w:space="0" w:color="auto"/>
        <w:left w:val="none" w:sz="0" w:space="0" w:color="auto"/>
        <w:bottom w:val="none" w:sz="0" w:space="0" w:color="auto"/>
        <w:right w:val="none" w:sz="0" w:space="0" w:color="auto"/>
      </w:divBdr>
    </w:div>
    <w:div w:id="758479585">
      <w:bodyDiv w:val="1"/>
      <w:marLeft w:val="0"/>
      <w:marRight w:val="0"/>
      <w:marTop w:val="0"/>
      <w:marBottom w:val="0"/>
      <w:divBdr>
        <w:top w:val="none" w:sz="0" w:space="0" w:color="auto"/>
        <w:left w:val="none" w:sz="0" w:space="0" w:color="auto"/>
        <w:bottom w:val="none" w:sz="0" w:space="0" w:color="auto"/>
        <w:right w:val="none" w:sz="0" w:space="0" w:color="auto"/>
      </w:divBdr>
    </w:div>
    <w:div w:id="760570838">
      <w:bodyDiv w:val="1"/>
      <w:marLeft w:val="0"/>
      <w:marRight w:val="0"/>
      <w:marTop w:val="0"/>
      <w:marBottom w:val="0"/>
      <w:divBdr>
        <w:top w:val="none" w:sz="0" w:space="0" w:color="auto"/>
        <w:left w:val="none" w:sz="0" w:space="0" w:color="auto"/>
        <w:bottom w:val="none" w:sz="0" w:space="0" w:color="auto"/>
        <w:right w:val="none" w:sz="0" w:space="0" w:color="auto"/>
      </w:divBdr>
    </w:div>
    <w:div w:id="760611991">
      <w:bodyDiv w:val="1"/>
      <w:marLeft w:val="0"/>
      <w:marRight w:val="0"/>
      <w:marTop w:val="0"/>
      <w:marBottom w:val="0"/>
      <w:divBdr>
        <w:top w:val="none" w:sz="0" w:space="0" w:color="auto"/>
        <w:left w:val="none" w:sz="0" w:space="0" w:color="auto"/>
        <w:bottom w:val="none" w:sz="0" w:space="0" w:color="auto"/>
        <w:right w:val="none" w:sz="0" w:space="0" w:color="auto"/>
      </w:divBdr>
    </w:div>
    <w:div w:id="768234429">
      <w:bodyDiv w:val="1"/>
      <w:marLeft w:val="0"/>
      <w:marRight w:val="0"/>
      <w:marTop w:val="0"/>
      <w:marBottom w:val="0"/>
      <w:divBdr>
        <w:top w:val="none" w:sz="0" w:space="0" w:color="auto"/>
        <w:left w:val="none" w:sz="0" w:space="0" w:color="auto"/>
        <w:bottom w:val="none" w:sz="0" w:space="0" w:color="auto"/>
        <w:right w:val="none" w:sz="0" w:space="0" w:color="auto"/>
      </w:divBdr>
    </w:div>
    <w:div w:id="769275703">
      <w:bodyDiv w:val="1"/>
      <w:marLeft w:val="0"/>
      <w:marRight w:val="0"/>
      <w:marTop w:val="0"/>
      <w:marBottom w:val="0"/>
      <w:divBdr>
        <w:top w:val="none" w:sz="0" w:space="0" w:color="auto"/>
        <w:left w:val="none" w:sz="0" w:space="0" w:color="auto"/>
        <w:bottom w:val="none" w:sz="0" w:space="0" w:color="auto"/>
        <w:right w:val="none" w:sz="0" w:space="0" w:color="auto"/>
      </w:divBdr>
    </w:div>
    <w:div w:id="772673861">
      <w:bodyDiv w:val="1"/>
      <w:marLeft w:val="0"/>
      <w:marRight w:val="0"/>
      <w:marTop w:val="0"/>
      <w:marBottom w:val="0"/>
      <w:divBdr>
        <w:top w:val="none" w:sz="0" w:space="0" w:color="auto"/>
        <w:left w:val="none" w:sz="0" w:space="0" w:color="auto"/>
        <w:bottom w:val="none" w:sz="0" w:space="0" w:color="auto"/>
        <w:right w:val="none" w:sz="0" w:space="0" w:color="auto"/>
      </w:divBdr>
    </w:div>
    <w:div w:id="787159969">
      <w:bodyDiv w:val="1"/>
      <w:marLeft w:val="0"/>
      <w:marRight w:val="0"/>
      <w:marTop w:val="0"/>
      <w:marBottom w:val="0"/>
      <w:divBdr>
        <w:top w:val="none" w:sz="0" w:space="0" w:color="auto"/>
        <w:left w:val="none" w:sz="0" w:space="0" w:color="auto"/>
        <w:bottom w:val="none" w:sz="0" w:space="0" w:color="auto"/>
        <w:right w:val="none" w:sz="0" w:space="0" w:color="auto"/>
      </w:divBdr>
    </w:div>
    <w:div w:id="787506191">
      <w:bodyDiv w:val="1"/>
      <w:marLeft w:val="0"/>
      <w:marRight w:val="0"/>
      <w:marTop w:val="0"/>
      <w:marBottom w:val="0"/>
      <w:divBdr>
        <w:top w:val="none" w:sz="0" w:space="0" w:color="auto"/>
        <w:left w:val="none" w:sz="0" w:space="0" w:color="auto"/>
        <w:bottom w:val="none" w:sz="0" w:space="0" w:color="auto"/>
        <w:right w:val="none" w:sz="0" w:space="0" w:color="auto"/>
      </w:divBdr>
    </w:div>
    <w:div w:id="787819477">
      <w:bodyDiv w:val="1"/>
      <w:marLeft w:val="0"/>
      <w:marRight w:val="0"/>
      <w:marTop w:val="0"/>
      <w:marBottom w:val="0"/>
      <w:divBdr>
        <w:top w:val="none" w:sz="0" w:space="0" w:color="auto"/>
        <w:left w:val="none" w:sz="0" w:space="0" w:color="auto"/>
        <w:bottom w:val="none" w:sz="0" w:space="0" w:color="auto"/>
        <w:right w:val="none" w:sz="0" w:space="0" w:color="auto"/>
      </w:divBdr>
    </w:div>
    <w:div w:id="790513010">
      <w:bodyDiv w:val="1"/>
      <w:marLeft w:val="0"/>
      <w:marRight w:val="0"/>
      <w:marTop w:val="0"/>
      <w:marBottom w:val="0"/>
      <w:divBdr>
        <w:top w:val="none" w:sz="0" w:space="0" w:color="auto"/>
        <w:left w:val="none" w:sz="0" w:space="0" w:color="auto"/>
        <w:bottom w:val="none" w:sz="0" w:space="0" w:color="auto"/>
        <w:right w:val="none" w:sz="0" w:space="0" w:color="auto"/>
      </w:divBdr>
    </w:div>
    <w:div w:id="793909991">
      <w:bodyDiv w:val="1"/>
      <w:marLeft w:val="0"/>
      <w:marRight w:val="0"/>
      <w:marTop w:val="0"/>
      <w:marBottom w:val="0"/>
      <w:divBdr>
        <w:top w:val="none" w:sz="0" w:space="0" w:color="auto"/>
        <w:left w:val="none" w:sz="0" w:space="0" w:color="auto"/>
        <w:bottom w:val="none" w:sz="0" w:space="0" w:color="auto"/>
        <w:right w:val="none" w:sz="0" w:space="0" w:color="auto"/>
      </w:divBdr>
    </w:div>
    <w:div w:id="794375354">
      <w:bodyDiv w:val="1"/>
      <w:marLeft w:val="0"/>
      <w:marRight w:val="0"/>
      <w:marTop w:val="0"/>
      <w:marBottom w:val="0"/>
      <w:divBdr>
        <w:top w:val="none" w:sz="0" w:space="0" w:color="auto"/>
        <w:left w:val="none" w:sz="0" w:space="0" w:color="auto"/>
        <w:bottom w:val="none" w:sz="0" w:space="0" w:color="auto"/>
        <w:right w:val="none" w:sz="0" w:space="0" w:color="auto"/>
      </w:divBdr>
    </w:div>
    <w:div w:id="799147400">
      <w:bodyDiv w:val="1"/>
      <w:marLeft w:val="0"/>
      <w:marRight w:val="0"/>
      <w:marTop w:val="0"/>
      <w:marBottom w:val="0"/>
      <w:divBdr>
        <w:top w:val="none" w:sz="0" w:space="0" w:color="auto"/>
        <w:left w:val="none" w:sz="0" w:space="0" w:color="auto"/>
        <w:bottom w:val="none" w:sz="0" w:space="0" w:color="auto"/>
        <w:right w:val="none" w:sz="0" w:space="0" w:color="auto"/>
      </w:divBdr>
    </w:div>
    <w:div w:id="799611443">
      <w:bodyDiv w:val="1"/>
      <w:marLeft w:val="0"/>
      <w:marRight w:val="0"/>
      <w:marTop w:val="0"/>
      <w:marBottom w:val="0"/>
      <w:divBdr>
        <w:top w:val="none" w:sz="0" w:space="0" w:color="auto"/>
        <w:left w:val="none" w:sz="0" w:space="0" w:color="auto"/>
        <w:bottom w:val="none" w:sz="0" w:space="0" w:color="auto"/>
        <w:right w:val="none" w:sz="0" w:space="0" w:color="auto"/>
      </w:divBdr>
    </w:div>
    <w:div w:id="806779133">
      <w:bodyDiv w:val="1"/>
      <w:marLeft w:val="0"/>
      <w:marRight w:val="0"/>
      <w:marTop w:val="0"/>
      <w:marBottom w:val="0"/>
      <w:divBdr>
        <w:top w:val="none" w:sz="0" w:space="0" w:color="auto"/>
        <w:left w:val="none" w:sz="0" w:space="0" w:color="auto"/>
        <w:bottom w:val="none" w:sz="0" w:space="0" w:color="auto"/>
        <w:right w:val="none" w:sz="0" w:space="0" w:color="auto"/>
      </w:divBdr>
    </w:div>
    <w:div w:id="807162205">
      <w:bodyDiv w:val="1"/>
      <w:marLeft w:val="0"/>
      <w:marRight w:val="0"/>
      <w:marTop w:val="0"/>
      <w:marBottom w:val="0"/>
      <w:divBdr>
        <w:top w:val="none" w:sz="0" w:space="0" w:color="auto"/>
        <w:left w:val="none" w:sz="0" w:space="0" w:color="auto"/>
        <w:bottom w:val="none" w:sz="0" w:space="0" w:color="auto"/>
        <w:right w:val="none" w:sz="0" w:space="0" w:color="auto"/>
      </w:divBdr>
    </w:div>
    <w:div w:id="811364054">
      <w:bodyDiv w:val="1"/>
      <w:marLeft w:val="0"/>
      <w:marRight w:val="0"/>
      <w:marTop w:val="0"/>
      <w:marBottom w:val="0"/>
      <w:divBdr>
        <w:top w:val="none" w:sz="0" w:space="0" w:color="auto"/>
        <w:left w:val="none" w:sz="0" w:space="0" w:color="auto"/>
        <w:bottom w:val="none" w:sz="0" w:space="0" w:color="auto"/>
        <w:right w:val="none" w:sz="0" w:space="0" w:color="auto"/>
      </w:divBdr>
    </w:div>
    <w:div w:id="812603177">
      <w:bodyDiv w:val="1"/>
      <w:marLeft w:val="0"/>
      <w:marRight w:val="0"/>
      <w:marTop w:val="0"/>
      <w:marBottom w:val="0"/>
      <w:divBdr>
        <w:top w:val="none" w:sz="0" w:space="0" w:color="auto"/>
        <w:left w:val="none" w:sz="0" w:space="0" w:color="auto"/>
        <w:bottom w:val="none" w:sz="0" w:space="0" w:color="auto"/>
        <w:right w:val="none" w:sz="0" w:space="0" w:color="auto"/>
      </w:divBdr>
    </w:div>
    <w:div w:id="814644251">
      <w:bodyDiv w:val="1"/>
      <w:marLeft w:val="0"/>
      <w:marRight w:val="0"/>
      <w:marTop w:val="0"/>
      <w:marBottom w:val="0"/>
      <w:divBdr>
        <w:top w:val="none" w:sz="0" w:space="0" w:color="auto"/>
        <w:left w:val="none" w:sz="0" w:space="0" w:color="auto"/>
        <w:bottom w:val="none" w:sz="0" w:space="0" w:color="auto"/>
        <w:right w:val="none" w:sz="0" w:space="0" w:color="auto"/>
      </w:divBdr>
    </w:div>
    <w:div w:id="815103161">
      <w:bodyDiv w:val="1"/>
      <w:marLeft w:val="0"/>
      <w:marRight w:val="0"/>
      <w:marTop w:val="0"/>
      <w:marBottom w:val="0"/>
      <w:divBdr>
        <w:top w:val="none" w:sz="0" w:space="0" w:color="auto"/>
        <w:left w:val="none" w:sz="0" w:space="0" w:color="auto"/>
        <w:bottom w:val="none" w:sz="0" w:space="0" w:color="auto"/>
        <w:right w:val="none" w:sz="0" w:space="0" w:color="auto"/>
      </w:divBdr>
    </w:div>
    <w:div w:id="818112996">
      <w:bodyDiv w:val="1"/>
      <w:marLeft w:val="0"/>
      <w:marRight w:val="0"/>
      <w:marTop w:val="0"/>
      <w:marBottom w:val="0"/>
      <w:divBdr>
        <w:top w:val="none" w:sz="0" w:space="0" w:color="auto"/>
        <w:left w:val="none" w:sz="0" w:space="0" w:color="auto"/>
        <w:bottom w:val="none" w:sz="0" w:space="0" w:color="auto"/>
        <w:right w:val="none" w:sz="0" w:space="0" w:color="auto"/>
      </w:divBdr>
    </w:div>
    <w:div w:id="818687982">
      <w:bodyDiv w:val="1"/>
      <w:marLeft w:val="0"/>
      <w:marRight w:val="0"/>
      <w:marTop w:val="0"/>
      <w:marBottom w:val="0"/>
      <w:divBdr>
        <w:top w:val="none" w:sz="0" w:space="0" w:color="auto"/>
        <w:left w:val="none" w:sz="0" w:space="0" w:color="auto"/>
        <w:bottom w:val="none" w:sz="0" w:space="0" w:color="auto"/>
        <w:right w:val="none" w:sz="0" w:space="0" w:color="auto"/>
      </w:divBdr>
    </w:div>
    <w:div w:id="819544275">
      <w:bodyDiv w:val="1"/>
      <w:marLeft w:val="0"/>
      <w:marRight w:val="0"/>
      <w:marTop w:val="0"/>
      <w:marBottom w:val="0"/>
      <w:divBdr>
        <w:top w:val="none" w:sz="0" w:space="0" w:color="auto"/>
        <w:left w:val="none" w:sz="0" w:space="0" w:color="auto"/>
        <w:bottom w:val="none" w:sz="0" w:space="0" w:color="auto"/>
        <w:right w:val="none" w:sz="0" w:space="0" w:color="auto"/>
      </w:divBdr>
    </w:div>
    <w:div w:id="822506988">
      <w:bodyDiv w:val="1"/>
      <w:marLeft w:val="0"/>
      <w:marRight w:val="0"/>
      <w:marTop w:val="0"/>
      <w:marBottom w:val="0"/>
      <w:divBdr>
        <w:top w:val="none" w:sz="0" w:space="0" w:color="auto"/>
        <w:left w:val="none" w:sz="0" w:space="0" w:color="auto"/>
        <w:bottom w:val="none" w:sz="0" w:space="0" w:color="auto"/>
        <w:right w:val="none" w:sz="0" w:space="0" w:color="auto"/>
      </w:divBdr>
    </w:div>
    <w:div w:id="823668691">
      <w:bodyDiv w:val="1"/>
      <w:marLeft w:val="0"/>
      <w:marRight w:val="0"/>
      <w:marTop w:val="0"/>
      <w:marBottom w:val="0"/>
      <w:divBdr>
        <w:top w:val="none" w:sz="0" w:space="0" w:color="auto"/>
        <w:left w:val="none" w:sz="0" w:space="0" w:color="auto"/>
        <w:bottom w:val="none" w:sz="0" w:space="0" w:color="auto"/>
        <w:right w:val="none" w:sz="0" w:space="0" w:color="auto"/>
      </w:divBdr>
    </w:div>
    <w:div w:id="825123888">
      <w:bodyDiv w:val="1"/>
      <w:marLeft w:val="0"/>
      <w:marRight w:val="0"/>
      <w:marTop w:val="0"/>
      <w:marBottom w:val="0"/>
      <w:divBdr>
        <w:top w:val="none" w:sz="0" w:space="0" w:color="auto"/>
        <w:left w:val="none" w:sz="0" w:space="0" w:color="auto"/>
        <w:bottom w:val="none" w:sz="0" w:space="0" w:color="auto"/>
        <w:right w:val="none" w:sz="0" w:space="0" w:color="auto"/>
      </w:divBdr>
    </w:div>
    <w:div w:id="828325557">
      <w:bodyDiv w:val="1"/>
      <w:marLeft w:val="0"/>
      <w:marRight w:val="0"/>
      <w:marTop w:val="0"/>
      <w:marBottom w:val="0"/>
      <w:divBdr>
        <w:top w:val="none" w:sz="0" w:space="0" w:color="auto"/>
        <w:left w:val="none" w:sz="0" w:space="0" w:color="auto"/>
        <w:bottom w:val="none" w:sz="0" w:space="0" w:color="auto"/>
        <w:right w:val="none" w:sz="0" w:space="0" w:color="auto"/>
      </w:divBdr>
    </w:div>
    <w:div w:id="830145729">
      <w:bodyDiv w:val="1"/>
      <w:marLeft w:val="0"/>
      <w:marRight w:val="0"/>
      <w:marTop w:val="0"/>
      <w:marBottom w:val="0"/>
      <w:divBdr>
        <w:top w:val="none" w:sz="0" w:space="0" w:color="auto"/>
        <w:left w:val="none" w:sz="0" w:space="0" w:color="auto"/>
        <w:bottom w:val="none" w:sz="0" w:space="0" w:color="auto"/>
        <w:right w:val="none" w:sz="0" w:space="0" w:color="auto"/>
      </w:divBdr>
    </w:div>
    <w:div w:id="831138237">
      <w:bodyDiv w:val="1"/>
      <w:marLeft w:val="0"/>
      <w:marRight w:val="0"/>
      <w:marTop w:val="0"/>
      <w:marBottom w:val="0"/>
      <w:divBdr>
        <w:top w:val="none" w:sz="0" w:space="0" w:color="auto"/>
        <w:left w:val="none" w:sz="0" w:space="0" w:color="auto"/>
        <w:bottom w:val="none" w:sz="0" w:space="0" w:color="auto"/>
        <w:right w:val="none" w:sz="0" w:space="0" w:color="auto"/>
      </w:divBdr>
    </w:div>
    <w:div w:id="832720414">
      <w:bodyDiv w:val="1"/>
      <w:marLeft w:val="0"/>
      <w:marRight w:val="0"/>
      <w:marTop w:val="0"/>
      <w:marBottom w:val="0"/>
      <w:divBdr>
        <w:top w:val="none" w:sz="0" w:space="0" w:color="auto"/>
        <w:left w:val="none" w:sz="0" w:space="0" w:color="auto"/>
        <w:bottom w:val="none" w:sz="0" w:space="0" w:color="auto"/>
        <w:right w:val="none" w:sz="0" w:space="0" w:color="auto"/>
      </w:divBdr>
    </w:div>
    <w:div w:id="834950757">
      <w:bodyDiv w:val="1"/>
      <w:marLeft w:val="0"/>
      <w:marRight w:val="0"/>
      <w:marTop w:val="0"/>
      <w:marBottom w:val="0"/>
      <w:divBdr>
        <w:top w:val="none" w:sz="0" w:space="0" w:color="auto"/>
        <w:left w:val="none" w:sz="0" w:space="0" w:color="auto"/>
        <w:bottom w:val="none" w:sz="0" w:space="0" w:color="auto"/>
        <w:right w:val="none" w:sz="0" w:space="0" w:color="auto"/>
      </w:divBdr>
    </w:div>
    <w:div w:id="835341370">
      <w:bodyDiv w:val="1"/>
      <w:marLeft w:val="0"/>
      <w:marRight w:val="0"/>
      <w:marTop w:val="0"/>
      <w:marBottom w:val="0"/>
      <w:divBdr>
        <w:top w:val="none" w:sz="0" w:space="0" w:color="auto"/>
        <w:left w:val="none" w:sz="0" w:space="0" w:color="auto"/>
        <w:bottom w:val="none" w:sz="0" w:space="0" w:color="auto"/>
        <w:right w:val="none" w:sz="0" w:space="0" w:color="auto"/>
      </w:divBdr>
    </w:div>
    <w:div w:id="839083155">
      <w:bodyDiv w:val="1"/>
      <w:marLeft w:val="0"/>
      <w:marRight w:val="0"/>
      <w:marTop w:val="0"/>
      <w:marBottom w:val="0"/>
      <w:divBdr>
        <w:top w:val="none" w:sz="0" w:space="0" w:color="auto"/>
        <w:left w:val="none" w:sz="0" w:space="0" w:color="auto"/>
        <w:bottom w:val="none" w:sz="0" w:space="0" w:color="auto"/>
        <w:right w:val="none" w:sz="0" w:space="0" w:color="auto"/>
      </w:divBdr>
    </w:div>
    <w:div w:id="846098616">
      <w:bodyDiv w:val="1"/>
      <w:marLeft w:val="0"/>
      <w:marRight w:val="0"/>
      <w:marTop w:val="0"/>
      <w:marBottom w:val="0"/>
      <w:divBdr>
        <w:top w:val="none" w:sz="0" w:space="0" w:color="auto"/>
        <w:left w:val="none" w:sz="0" w:space="0" w:color="auto"/>
        <w:bottom w:val="none" w:sz="0" w:space="0" w:color="auto"/>
        <w:right w:val="none" w:sz="0" w:space="0" w:color="auto"/>
      </w:divBdr>
    </w:div>
    <w:div w:id="847251510">
      <w:bodyDiv w:val="1"/>
      <w:marLeft w:val="0"/>
      <w:marRight w:val="0"/>
      <w:marTop w:val="0"/>
      <w:marBottom w:val="0"/>
      <w:divBdr>
        <w:top w:val="none" w:sz="0" w:space="0" w:color="auto"/>
        <w:left w:val="none" w:sz="0" w:space="0" w:color="auto"/>
        <w:bottom w:val="none" w:sz="0" w:space="0" w:color="auto"/>
        <w:right w:val="none" w:sz="0" w:space="0" w:color="auto"/>
      </w:divBdr>
    </w:div>
    <w:div w:id="847913500">
      <w:bodyDiv w:val="1"/>
      <w:marLeft w:val="0"/>
      <w:marRight w:val="0"/>
      <w:marTop w:val="0"/>
      <w:marBottom w:val="0"/>
      <w:divBdr>
        <w:top w:val="none" w:sz="0" w:space="0" w:color="auto"/>
        <w:left w:val="none" w:sz="0" w:space="0" w:color="auto"/>
        <w:bottom w:val="none" w:sz="0" w:space="0" w:color="auto"/>
        <w:right w:val="none" w:sz="0" w:space="0" w:color="auto"/>
      </w:divBdr>
    </w:div>
    <w:div w:id="848259175">
      <w:bodyDiv w:val="1"/>
      <w:marLeft w:val="0"/>
      <w:marRight w:val="0"/>
      <w:marTop w:val="0"/>
      <w:marBottom w:val="0"/>
      <w:divBdr>
        <w:top w:val="none" w:sz="0" w:space="0" w:color="auto"/>
        <w:left w:val="none" w:sz="0" w:space="0" w:color="auto"/>
        <w:bottom w:val="none" w:sz="0" w:space="0" w:color="auto"/>
        <w:right w:val="none" w:sz="0" w:space="0" w:color="auto"/>
      </w:divBdr>
    </w:div>
    <w:div w:id="849372239">
      <w:bodyDiv w:val="1"/>
      <w:marLeft w:val="0"/>
      <w:marRight w:val="0"/>
      <w:marTop w:val="0"/>
      <w:marBottom w:val="0"/>
      <w:divBdr>
        <w:top w:val="none" w:sz="0" w:space="0" w:color="auto"/>
        <w:left w:val="none" w:sz="0" w:space="0" w:color="auto"/>
        <w:bottom w:val="none" w:sz="0" w:space="0" w:color="auto"/>
        <w:right w:val="none" w:sz="0" w:space="0" w:color="auto"/>
      </w:divBdr>
    </w:div>
    <w:div w:id="852306161">
      <w:bodyDiv w:val="1"/>
      <w:marLeft w:val="0"/>
      <w:marRight w:val="0"/>
      <w:marTop w:val="0"/>
      <w:marBottom w:val="0"/>
      <w:divBdr>
        <w:top w:val="none" w:sz="0" w:space="0" w:color="auto"/>
        <w:left w:val="none" w:sz="0" w:space="0" w:color="auto"/>
        <w:bottom w:val="none" w:sz="0" w:space="0" w:color="auto"/>
        <w:right w:val="none" w:sz="0" w:space="0" w:color="auto"/>
      </w:divBdr>
    </w:div>
    <w:div w:id="853886755">
      <w:bodyDiv w:val="1"/>
      <w:marLeft w:val="0"/>
      <w:marRight w:val="0"/>
      <w:marTop w:val="0"/>
      <w:marBottom w:val="0"/>
      <w:divBdr>
        <w:top w:val="none" w:sz="0" w:space="0" w:color="auto"/>
        <w:left w:val="none" w:sz="0" w:space="0" w:color="auto"/>
        <w:bottom w:val="none" w:sz="0" w:space="0" w:color="auto"/>
        <w:right w:val="none" w:sz="0" w:space="0" w:color="auto"/>
      </w:divBdr>
    </w:div>
    <w:div w:id="867571733">
      <w:bodyDiv w:val="1"/>
      <w:marLeft w:val="0"/>
      <w:marRight w:val="0"/>
      <w:marTop w:val="0"/>
      <w:marBottom w:val="0"/>
      <w:divBdr>
        <w:top w:val="none" w:sz="0" w:space="0" w:color="auto"/>
        <w:left w:val="none" w:sz="0" w:space="0" w:color="auto"/>
        <w:bottom w:val="none" w:sz="0" w:space="0" w:color="auto"/>
        <w:right w:val="none" w:sz="0" w:space="0" w:color="auto"/>
      </w:divBdr>
    </w:div>
    <w:div w:id="869344539">
      <w:bodyDiv w:val="1"/>
      <w:marLeft w:val="0"/>
      <w:marRight w:val="0"/>
      <w:marTop w:val="0"/>
      <w:marBottom w:val="0"/>
      <w:divBdr>
        <w:top w:val="none" w:sz="0" w:space="0" w:color="auto"/>
        <w:left w:val="none" w:sz="0" w:space="0" w:color="auto"/>
        <w:bottom w:val="none" w:sz="0" w:space="0" w:color="auto"/>
        <w:right w:val="none" w:sz="0" w:space="0" w:color="auto"/>
      </w:divBdr>
    </w:div>
    <w:div w:id="870534022">
      <w:bodyDiv w:val="1"/>
      <w:marLeft w:val="0"/>
      <w:marRight w:val="0"/>
      <w:marTop w:val="0"/>
      <w:marBottom w:val="0"/>
      <w:divBdr>
        <w:top w:val="none" w:sz="0" w:space="0" w:color="auto"/>
        <w:left w:val="none" w:sz="0" w:space="0" w:color="auto"/>
        <w:bottom w:val="none" w:sz="0" w:space="0" w:color="auto"/>
        <w:right w:val="none" w:sz="0" w:space="0" w:color="auto"/>
      </w:divBdr>
    </w:div>
    <w:div w:id="871306504">
      <w:bodyDiv w:val="1"/>
      <w:marLeft w:val="0"/>
      <w:marRight w:val="0"/>
      <w:marTop w:val="0"/>
      <w:marBottom w:val="0"/>
      <w:divBdr>
        <w:top w:val="none" w:sz="0" w:space="0" w:color="auto"/>
        <w:left w:val="none" w:sz="0" w:space="0" w:color="auto"/>
        <w:bottom w:val="none" w:sz="0" w:space="0" w:color="auto"/>
        <w:right w:val="none" w:sz="0" w:space="0" w:color="auto"/>
      </w:divBdr>
    </w:div>
    <w:div w:id="881132006">
      <w:bodyDiv w:val="1"/>
      <w:marLeft w:val="0"/>
      <w:marRight w:val="0"/>
      <w:marTop w:val="0"/>
      <w:marBottom w:val="0"/>
      <w:divBdr>
        <w:top w:val="none" w:sz="0" w:space="0" w:color="auto"/>
        <w:left w:val="none" w:sz="0" w:space="0" w:color="auto"/>
        <w:bottom w:val="none" w:sz="0" w:space="0" w:color="auto"/>
        <w:right w:val="none" w:sz="0" w:space="0" w:color="auto"/>
      </w:divBdr>
    </w:div>
    <w:div w:id="886798974">
      <w:bodyDiv w:val="1"/>
      <w:marLeft w:val="0"/>
      <w:marRight w:val="0"/>
      <w:marTop w:val="0"/>
      <w:marBottom w:val="0"/>
      <w:divBdr>
        <w:top w:val="none" w:sz="0" w:space="0" w:color="auto"/>
        <w:left w:val="none" w:sz="0" w:space="0" w:color="auto"/>
        <w:bottom w:val="none" w:sz="0" w:space="0" w:color="auto"/>
        <w:right w:val="none" w:sz="0" w:space="0" w:color="auto"/>
      </w:divBdr>
    </w:div>
    <w:div w:id="889535057">
      <w:bodyDiv w:val="1"/>
      <w:marLeft w:val="0"/>
      <w:marRight w:val="0"/>
      <w:marTop w:val="0"/>
      <w:marBottom w:val="0"/>
      <w:divBdr>
        <w:top w:val="none" w:sz="0" w:space="0" w:color="auto"/>
        <w:left w:val="none" w:sz="0" w:space="0" w:color="auto"/>
        <w:bottom w:val="none" w:sz="0" w:space="0" w:color="auto"/>
        <w:right w:val="none" w:sz="0" w:space="0" w:color="auto"/>
      </w:divBdr>
    </w:div>
    <w:div w:id="893277876">
      <w:bodyDiv w:val="1"/>
      <w:marLeft w:val="0"/>
      <w:marRight w:val="0"/>
      <w:marTop w:val="0"/>
      <w:marBottom w:val="0"/>
      <w:divBdr>
        <w:top w:val="none" w:sz="0" w:space="0" w:color="auto"/>
        <w:left w:val="none" w:sz="0" w:space="0" w:color="auto"/>
        <w:bottom w:val="none" w:sz="0" w:space="0" w:color="auto"/>
        <w:right w:val="none" w:sz="0" w:space="0" w:color="auto"/>
      </w:divBdr>
    </w:div>
    <w:div w:id="895433786">
      <w:bodyDiv w:val="1"/>
      <w:marLeft w:val="0"/>
      <w:marRight w:val="0"/>
      <w:marTop w:val="0"/>
      <w:marBottom w:val="0"/>
      <w:divBdr>
        <w:top w:val="none" w:sz="0" w:space="0" w:color="auto"/>
        <w:left w:val="none" w:sz="0" w:space="0" w:color="auto"/>
        <w:bottom w:val="none" w:sz="0" w:space="0" w:color="auto"/>
        <w:right w:val="none" w:sz="0" w:space="0" w:color="auto"/>
      </w:divBdr>
    </w:div>
    <w:div w:id="896546398">
      <w:bodyDiv w:val="1"/>
      <w:marLeft w:val="0"/>
      <w:marRight w:val="0"/>
      <w:marTop w:val="0"/>
      <w:marBottom w:val="0"/>
      <w:divBdr>
        <w:top w:val="none" w:sz="0" w:space="0" w:color="auto"/>
        <w:left w:val="none" w:sz="0" w:space="0" w:color="auto"/>
        <w:bottom w:val="none" w:sz="0" w:space="0" w:color="auto"/>
        <w:right w:val="none" w:sz="0" w:space="0" w:color="auto"/>
      </w:divBdr>
    </w:div>
    <w:div w:id="896669341">
      <w:bodyDiv w:val="1"/>
      <w:marLeft w:val="0"/>
      <w:marRight w:val="0"/>
      <w:marTop w:val="0"/>
      <w:marBottom w:val="0"/>
      <w:divBdr>
        <w:top w:val="none" w:sz="0" w:space="0" w:color="auto"/>
        <w:left w:val="none" w:sz="0" w:space="0" w:color="auto"/>
        <w:bottom w:val="none" w:sz="0" w:space="0" w:color="auto"/>
        <w:right w:val="none" w:sz="0" w:space="0" w:color="auto"/>
      </w:divBdr>
    </w:div>
    <w:div w:id="897975287">
      <w:bodyDiv w:val="1"/>
      <w:marLeft w:val="0"/>
      <w:marRight w:val="0"/>
      <w:marTop w:val="0"/>
      <w:marBottom w:val="0"/>
      <w:divBdr>
        <w:top w:val="none" w:sz="0" w:space="0" w:color="auto"/>
        <w:left w:val="none" w:sz="0" w:space="0" w:color="auto"/>
        <w:bottom w:val="none" w:sz="0" w:space="0" w:color="auto"/>
        <w:right w:val="none" w:sz="0" w:space="0" w:color="auto"/>
      </w:divBdr>
    </w:div>
    <w:div w:id="898128665">
      <w:bodyDiv w:val="1"/>
      <w:marLeft w:val="0"/>
      <w:marRight w:val="0"/>
      <w:marTop w:val="0"/>
      <w:marBottom w:val="0"/>
      <w:divBdr>
        <w:top w:val="none" w:sz="0" w:space="0" w:color="auto"/>
        <w:left w:val="none" w:sz="0" w:space="0" w:color="auto"/>
        <w:bottom w:val="none" w:sz="0" w:space="0" w:color="auto"/>
        <w:right w:val="none" w:sz="0" w:space="0" w:color="auto"/>
      </w:divBdr>
    </w:div>
    <w:div w:id="898369483">
      <w:bodyDiv w:val="1"/>
      <w:marLeft w:val="0"/>
      <w:marRight w:val="0"/>
      <w:marTop w:val="0"/>
      <w:marBottom w:val="0"/>
      <w:divBdr>
        <w:top w:val="none" w:sz="0" w:space="0" w:color="auto"/>
        <w:left w:val="none" w:sz="0" w:space="0" w:color="auto"/>
        <w:bottom w:val="none" w:sz="0" w:space="0" w:color="auto"/>
        <w:right w:val="none" w:sz="0" w:space="0" w:color="auto"/>
      </w:divBdr>
    </w:div>
    <w:div w:id="900216619">
      <w:bodyDiv w:val="1"/>
      <w:marLeft w:val="0"/>
      <w:marRight w:val="0"/>
      <w:marTop w:val="0"/>
      <w:marBottom w:val="0"/>
      <w:divBdr>
        <w:top w:val="none" w:sz="0" w:space="0" w:color="auto"/>
        <w:left w:val="none" w:sz="0" w:space="0" w:color="auto"/>
        <w:bottom w:val="none" w:sz="0" w:space="0" w:color="auto"/>
        <w:right w:val="none" w:sz="0" w:space="0" w:color="auto"/>
      </w:divBdr>
    </w:div>
    <w:div w:id="900940340">
      <w:bodyDiv w:val="1"/>
      <w:marLeft w:val="0"/>
      <w:marRight w:val="0"/>
      <w:marTop w:val="0"/>
      <w:marBottom w:val="0"/>
      <w:divBdr>
        <w:top w:val="none" w:sz="0" w:space="0" w:color="auto"/>
        <w:left w:val="none" w:sz="0" w:space="0" w:color="auto"/>
        <w:bottom w:val="none" w:sz="0" w:space="0" w:color="auto"/>
        <w:right w:val="none" w:sz="0" w:space="0" w:color="auto"/>
      </w:divBdr>
    </w:div>
    <w:div w:id="901477989">
      <w:bodyDiv w:val="1"/>
      <w:marLeft w:val="0"/>
      <w:marRight w:val="0"/>
      <w:marTop w:val="0"/>
      <w:marBottom w:val="0"/>
      <w:divBdr>
        <w:top w:val="none" w:sz="0" w:space="0" w:color="auto"/>
        <w:left w:val="none" w:sz="0" w:space="0" w:color="auto"/>
        <w:bottom w:val="none" w:sz="0" w:space="0" w:color="auto"/>
        <w:right w:val="none" w:sz="0" w:space="0" w:color="auto"/>
      </w:divBdr>
    </w:div>
    <w:div w:id="904414409">
      <w:bodyDiv w:val="1"/>
      <w:marLeft w:val="0"/>
      <w:marRight w:val="0"/>
      <w:marTop w:val="0"/>
      <w:marBottom w:val="0"/>
      <w:divBdr>
        <w:top w:val="none" w:sz="0" w:space="0" w:color="auto"/>
        <w:left w:val="none" w:sz="0" w:space="0" w:color="auto"/>
        <w:bottom w:val="none" w:sz="0" w:space="0" w:color="auto"/>
        <w:right w:val="none" w:sz="0" w:space="0" w:color="auto"/>
      </w:divBdr>
    </w:div>
    <w:div w:id="908687938">
      <w:bodyDiv w:val="1"/>
      <w:marLeft w:val="0"/>
      <w:marRight w:val="0"/>
      <w:marTop w:val="0"/>
      <w:marBottom w:val="0"/>
      <w:divBdr>
        <w:top w:val="none" w:sz="0" w:space="0" w:color="auto"/>
        <w:left w:val="none" w:sz="0" w:space="0" w:color="auto"/>
        <w:bottom w:val="none" w:sz="0" w:space="0" w:color="auto"/>
        <w:right w:val="none" w:sz="0" w:space="0" w:color="auto"/>
      </w:divBdr>
    </w:div>
    <w:div w:id="910774978">
      <w:bodyDiv w:val="1"/>
      <w:marLeft w:val="0"/>
      <w:marRight w:val="0"/>
      <w:marTop w:val="0"/>
      <w:marBottom w:val="0"/>
      <w:divBdr>
        <w:top w:val="none" w:sz="0" w:space="0" w:color="auto"/>
        <w:left w:val="none" w:sz="0" w:space="0" w:color="auto"/>
        <w:bottom w:val="none" w:sz="0" w:space="0" w:color="auto"/>
        <w:right w:val="none" w:sz="0" w:space="0" w:color="auto"/>
      </w:divBdr>
    </w:div>
    <w:div w:id="911231511">
      <w:bodyDiv w:val="1"/>
      <w:marLeft w:val="0"/>
      <w:marRight w:val="0"/>
      <w:marTop w:val="0"/>
      <w:marBottom w:val="0"/>
      <w:divBdr>
        <w:top w:val="none" w:sz="0" w:space="0" w:color="auto"/>
        <w:left w:val="none" w:sz="0" w:space="0" w:color="auto"/>
        <w:bottom w:val="none" w:sz="0" w:space="0" w:color="auto"/>
        <w:right w:val="none" w:sz="0" w:space="0" w:color="auto"/>
      </w:divBdr>
    </w:div>
    <w:div w:id="912158252">
      <w:bodyDiv w:val="1"/>
      <w:marLeft w:val="0"/>
      <w:marRight w:val="0"/>
      <w:marTop w:val="0"/>
      <w:marBottom w:val="0"/>
      <w:divBdr>
        <w:top w:val="none" w:sz="0" w:space="0" w:color="auto"/>
        <w:left w:val="none" w:sz="0" w:space="0" w:color="auto"/>
        <w:bottom w:val="none" w:sz="0" w:space="0" w:color="auto"/>
        <w:right w:val="none" w:sz="0" w:space="0" w:color="auto"/>
      </w:divBdr>
    </w:div>
    <w:div w:id="912816171">
      <w:bodyDiv w:val="1"/>
      <w:marLeft w:val="0"/>
      <w:marRight w:val="0"/>
      <w:marTop w:val="0"/>
      <w:marBottom w:val="0"/>
      <w:divBdr>
        <w:top w:val="none" w:sz="0" w:space="0" w:color="auto"/>
        <w:left w:val="none" w:sz="0" w:space="0" w:color="auto"/>
        <w:bottom w:val="none" w:sz="0" w:space="0" w:color="auto"/>
        <w:right w:val="none" w:sz="0" w:space="0" w:color="auto"/>
      </w:divBdr>
    </w:div>
    <w:div w:id="918370909">
      <w:bodyDiv w:val="1"/>
      <w:marLeft w:val="0"/>
      <w:marRight w:val="0"/>
      <w:marTop w:val="0"/>
      <w:marBottom w:val="0"/>
      <w:divBdr>
        <w:top w:val="none" w:sz="0" w:space="0" w:color="auto"/>
        <w:left w:val="none" w:sz="0" w:space="0" w:color="auto"/>
        <w:bottom w:val="none" w:sz="0" w:space="0" w:color="auto"/>
        <w:right w:val="none" w:sz="0" w:space="0" w:color="auto"/>
      </w:divBdr>
    </w:div>
    <w:div w:id="919364631">
      <w:bodyDiv w:val="1"/>
      <w:marLeft w:val="0"/>
      <w:marRight w:val="0"/>
      <w:marTop w:val="0"/>
      <w:marBottom w:val="0"/>
      <w:divBdr>
        <w:top w:val="none" w:sz="0" w:space="0" w:color="auto"/>
        <w:left w:val="none" w:sz="0" w:space="0" w:color="auto"/>
        <w:bottom w:val="none" w:sz="0" w:space="0" w:color="auto"/>
        <w:right w:val="none" w:sz="0" w:space="0" w:color="auto"/>
      </w:divBdr>
    </w:div>
    <w:div w:id="920404506">
      <w:bodyDiv w:val="1"/>
      <w:marLeft w:val="0"/>
      <w:marRight w:val="0"/>
      <w:marTop w:val="0"/>
      <w:marBottom w:val="0"/>
      <w:divBdr>
        <w:top w:val="none" w:sz="0" w:space="0" w:color="auto"/>
        <w:left w:val="none" w:sz="0" w:space="0" w:color="auto"/>
        <w:bottom w:val="none" w:sz="0" w:space="0" w:color="auto"/>
        <w:right w:val="none" w:sz="0" w:space="0" w:color="auto"/>
      </w:divBdr>
    </w:div>
    <w:div w:id="922956514">
      <w:bodyDiv w:val="1"/>
      <w:marLeft w:val="0"/>
      <w:marRight w:val="0"/>
      <w:marTop w:val="0"/>
      <w:marBottom w:val="0"/>
      <w:divBdr>
        <w:top w:val="none" w:sz="0" w:space="0" w:color="auto"/>
        <w:left w:val="none" w:sz="0" w:space="0" w:color="auto"/>
        <w:bottom w:val="none" w:sz="0" w:space="0" w:color="auto"/>
        <w:right w:val="none" w:sz="0" w:space="0" w:color="auto"/>
      </w:divBdr>
    </w:div>
    <w:div w:id="923415867">
      <w:bodyDiv w:val="1"/>
      <w:marLeft w:val="0"/>
      <w:marRight w:val="0"/>
      <w:marTop w:val="0"/>
      <w:marBottom w:val="0"/>
      <w:divBdr>
        <w:top w:val="none" w:sz="0" w:space="0" w:color="auto"/>
        <w:left w:val="none" w:sz="0" w:space="0" w:color="auto"/>
        <w:bottom w:val="none" w:sz="0" w:space="0" w:color="auto"/>
        <w:right w:val="none" w:sz="0" w:space="0" w:color="auto"/>
      </w:divBdr>
    </w:div>
    <w:div w:id="925840217">
      <w:bodyDiv w:val="1"/>
      <w:marLeft w:val="0"/>
      <w:marRight w:val="0"/>
      <w:marTop w:val="0"/>
      <w:marBottom w:val="0"/>
      <w:divBdr>
        <w:top w:val="none" w:sz="0" w:space="0" w:color="auto"/>
        <w:left w:val="none" w:sz="0" w:space="0" w:color="auto"/>
        <w:bottom w:val="none" w:sz="0" w:space="0" w:color="auto"/>
        <w:right w:val="none" w:sz="0" w:space="0" w:color="auto"/>
      </w:divBdr>
    </w:div>
    <w:div w:id="927926326">
      <w:bodyDiv w:val="1"/>
      <w:marLeft w:val="0"/>
      <w:marRight w:val="0"/>
      <w:marTop w:val="0"/>
      <w:marBottom w:val="0"/>
      <w:divBdr>
        <w:top w:val="none" w:sz="0" w:space="0" w:color="auto"/>
        <w:left w:val="none" w:sz="0" w:space="0" w:color="auto"/>
        <w:bottom w:val="none" w:sz="0" w:space="0" w:color="auto"/>
        <w:right w:val="none" w:sz="0" w:space="0" w:color="auto"/>
      </w:divBdr>
    </w:div>
    <w:div w:id="928126314">
      <w:bodyDiv w:val="1"/>
      <w:marLeft w:val="0"/>
      <w:marRight w:val="0"/>
      <w:marTop w:val="0"/>
      <w:marBottom w:val="0"/>
      <w:divBdr>
        <w:top w:val="none" w:sz="0" w:space="0" w:color="auto"/>
        <w:left w:val="none" w:sz="0" w:space="0" w:color="auto"/>
        <w:bottom w:val="none" w:sz="0" w:space="0" w:color="auto"/>
        <w:right w:val="none" w:sz="0" w:space="0" w:color="auto"/>
      </w:divBdr>
    </w:div>
    <w:div w:id="929318097">
      <w:bodyDiv w:val="1"/>
      <w:marLeft w:val="0"/>
      <w:marRight w:val="0"/>
      <w:marTop w:val="0"/>
      <w:marBottom w:val="0"/>
      <w:divBdr>
        <w:top w:val="none" w:sz="0" w:space="0" w:color="auto"/>
        <w:left w:val="none" w:sz="0" w:space="0" w:color="auto"/>
        <w:bottom w:val="none" w:sz="0" w:space="0" w:color="auto"/>
        <w:right w:val="none" w:sz="0" w:space="0" w:color="auto"/>
      </w:divBdr>
    </w:div>
    <w:div w:id="933632451">
      <w:bodyDiv w:val="1"/>
      <w:marLeft w:val="0"/>
      <w:marRight w:val="0"/>
      <w:marTop w:val="0"/>
      <w:marBottom w:val="0"/>
      <w:divBdr>
        <w:top w:val="none" w:sz="0" w:space="0" w:color="auto"/>
        <w:left w:val="none" w:sz="0" w:space="0" w:color="auto"/>
        <w:bottom w:val="none" w:sz="0" w:space="0" w:color="auto"/>
        <w:right w:val="none" w:sz="0" w:space="0" w:color="auto"/>
      </w:divBdr>
    </w:div>
    <w:div w:id="935601315">
      <w:bodyDiv w:val="1"/>
      <w:marLeft w:val="0"/>
      <w:marRight w:val="0"/>
      <w:marTop w:val="0"/>
      <w:marBottom w:val="0"/>
      <w:divBdr>
        <w:top w:val="none" w:sz="0" w:space="0" w:color="auto"/>
        <w:left w:val="none" w:sz="0" w:space="0" w:color="auto"/>
        <w:bottom w:val="none" w:sz="0" w:space="0" w:color="auto"/>
        <w:right w:val="none" w:sz="0" w:space="0" w:color="auto"/>
      </w:divBdr>
    </w:div>
    <w:div w:id="938760506">
      <w:bodyDiv w:val="1"/>
      <w:marLeft w:val="0"/>
      <w:marRight w:val="0"/>
      <w:marTop w:val="0"/>
      <w:marBottom w:val="0"/>
      <w:divBdr>
        <w:top w:val="none" w:sz="0" w:space="0" w:color="auto"/>
        <w:left w:val="none" w:sz="0" w:space="0" w:color="auto"/>
        <w:bottom w:val="none" w:sz="0" w:space="0" w:color="auto"/>
        <w:right w:val="none" w:sz="0" w:space="0" w:color="auto"/>
      </w:divBdr>
    </w:div>
    <w:div w:id="943609723">
      <w:bodyDiv w:val="1"/>
      <w:marLeft w:val="0"/>
      <w:marRight w:val="0"/>
      <w:marTop w:val="0"/>
      <w:marBottom w:val="0"/>
      <w:divBdr>
        <w:top w:val="none" w:sz="0" w:space="0" w:color="auto"/>
        <w:left w:val="none" w:sz="0" w:space="0" w:color="auto"/>
        <w:bottom w:val="none" w:sz="0" w:space="0" w:color="auto"/>
        <w:right w:val="none" w:sz="0" w:space="0" w:color="auto"/>
      </w:divBdr>
    </w:div>
    <w:div w:id="944775820">
      <w:bodyDiv w:val="1"/>
      <w:marLeft w:val="0"/>
      <w:marRight w:val="0"/>
      <w:marTop w:val="0"/>
      <w:marBottom w:val="0"/>
      <w:divBdr>
        <w:top w:val="none" w:sz="0" w:space="0" w:color="auto"/>
        <w:left w:val="none" w:sz="0" w:space="0" w:color="auto"/>
        <w:bottom w:val="none" w:sz="0" w:space="0" w:color="auto"/>
        <w:right w:val="none" w:sz="0" w:space="0" w:color="auto"/>
      </w:divBdr>
    </w:div>
    <w:div w:id="945163137">
      <w:bodyDiv w:val="1"/>
      <w:marLeft w:val="0"/>
      <w:marRight w:val="0"/>
      <w:marTop w:val="0"/>
      <w:marBottom w:val="0"/>
      <w:divBdr>
        <w:top w:val="none" w:sz="0" w:space="0" w:color="auto"/>
        <w:left w:val="none" w:sz="0" w:space="0" w:color="auto"/>
        <w:bottom w:val="none" w:sz="0" w:space="0" w:color="auto"/>
        <w:right w:val="none" w:sz="0" w:space="0" w:color="auto"/>
      </w:divBdr>
    </w:div>
    <w:div w:id="945621636">
      <w:bodyDiv w:val="1"/>
      <w:marLeft w:val="0"/>
      <w:marRight w:val="0"/>
      <w:marTop w:val="0"/>
      <w:marBottom w:val="0"/>
      <w:divBdr>
        <w:top w:val="none" w:sz="0" w:space="0" w:color="auto"/>
        <w:left w:val="none" w:sz="0" w:space="0" w:color="auto"/>
        <w:bottom w:val="none" w:sz="0" w:space="0" w:color="auto"/>
        <w:right w:val="none" w:sz="0" w:space="0" w:color="auto"/>
      </w:divBdr>
    </w:div>
    <w:div w:id="948010617">
      <w:bodyDiv w:val="1"/>
      <w:marLeft w:val="0"/>
      <w:marRight w:val="0"/>
      <w:marTop w:val="0"/>
      <w:marBottom w:val="0"/>
      <w:divBdr>
        <w:top w:val="none" w:sz="0" w:space="0" w:color="auto"/>
        <w:left w:val="none" w:sz="0" w:space="0" w:color="auto"/>
        <w:bottom w:val="none" w:sz="0" w:space="0" w:color="auto"/>
        <w:right w:val="none" w:sz="0" w:space="0" w:color="auto"/>
      </w:divBdr>
    </w:div>
    <w:div w:id="949431721">
      <w:bodyDiv w:val="1"/>
      <w:marLeft w:val="0"/>
      <w:marRight w:val="0"/>
      <w:marTop w:val="0"/>
      <w:marBottom w:val="0"/>
      <w:divBdr>
        <w:top w:val="none" w:sz="0" w:space="0" w:color="auto"/>
        <w:left w:val="none" w:sz="0" w:space="0" w:color="auto"/>
        <w:bottom w:val="none" w:sz="0" w:space="0" w:color="auto"/>
        <w:right w:val="none" w:sz="0" w:space="0" w:color="auto"/>
      </w:divBdr>
    </w:div>
    <w:div w:id="950940609">
      <w:bodyDiv w:val="1"/>
      <w:marLeft w:val="0"/>
      <w:marRight w:val="0"/>
      <w:marTop w:val="0"/>
      <w:marBottom w:val="0"/>
      <w:divBdr>
        <w:top w:val="none" w:sz="0" w:space="0" w:color="auto"/>
        <w:left w:val="none" w:sz="0" w:space="0" w:color="auto"/>
        <w:bottom w:val="none" w:sz="0" w:space="0" w:color="auto"/>
        <w:right w:val="none" w:sz="0" w:space="0" w:color="auto"/>
      </w:divBdr>
    </w:div>
    <w:div w:id="952326781">
      <w:bodyDiv w:val="1"/>
      <w:marLeft w:val="0"/>
      <w:marRight w:val="0"/>
      <w:marTop w:val="0"/>
      <w:marBottom w:val="0"/>
      <w:divBdr>
        <w:top w:val="none" w:sz="0" w:space="0" w:color="auto"/>
        <w:left w:val="none" w:sz="0" w:space="0" w:color="auto"/>
        <w:bottom w:val="none" w:sz="0" w:space="0" w:color="auto"/>
        <w:right w:val="none" w:sz="0" w:space="0" w:color="auto"/>
      </w:divBdr>
    </w:div>
    <w:div w:id="953249488">
      <w:bodyDiv w:val="1"/>
      <w:marLeft w:val="0"/>
      <w:marRight w:val="0"/>
      <w:marTop w:val="0"/>
      <w:marBottom w:val="0"/>
      <w:divBdr>
        <w:top w:val="none" w:sz="0" w:space="0" w:color="auto"/>
        <w:left w:val="none" w:sz="0" w:space="0" w:color="auto"/>
        <w:bottom w:val="none" w:sz="0" w:space="0" w:color="auto"/>
        <w:right w:val="none" w:sz="0" w:space="0" w:color="auto"/>
      </w:divBdr>
    </w:div>
    <w:div w:id="956333731">
      <w:bodyDiv w:val="1"/>
      <w:marLeft w:val="0"/>
      <w:marRight w:val="0"/>
      <w:marTop w:val="0"/>
      <w:marBottom w:val="0"/>
      <w:divBdr>
        <w:top w:val="none" w:sz="0" w:space="0" w:color="auto"/>
        <w:left w:val="none" w:sz="0" w:space="0" w:color="auto"/>
        <w:bottom w:val="none" w:sz="0" w:space="0" w:color="auto"/>
        <w:right w:val="none" w:sz="0" w:space="0" w:color="auto"/>
      </w:divBdr>
    </w:div>
    <w:div w:id="956569406">
      <w:bodyDiv w:val="1"/>
      <w:marLeft w:val="0"/>
      <w:marRight w:val="0"/>
      <w:marTop w:val="0"/>
      <w:marBottom w:val="0"/>
      <w:divBdr>
        <w:top w:val="none" w:sz="0" w:space="0" w:color="auto"/>
        <w:left w:val="none" w:sz="0" w:space="0" w:color="auto"/>
        <w:bottom w:val="none" w:sz="0" w:space="0" w:color="auto"/>
        <w:right w:val="none" w:sz="0" w:space="0" w:color="auto"/>
      </w:divBdr>
    </w:div>
    <w:div w:id="961225259">
      <w:bodyDiv w:val="1"/>
      <w:marLeft w:val="0"/>
      <w:marRight w:val="0"/>
      <w:marTop w:val="0"/>
      <w:marBottom w:val="0"/>
      <w:divBdr>
        <w:top w:val="none" w:sz="0" w:space="0" w:color="auto"/>
        <w:left w:val="none" w:sz="0" w:space="0" w:color="auto"/>
        <w:bottom w:val="none" w:sz="0" w:space="0" w:color="auto"/>
        <w:right w:val="none" w:sz="0" w:space="0" w:color="auto"/>
      </w:divBdr>
    </w:div>
    <w:div w:id="964040943">
      <w:bodyDiv w:val="1"/>
      <w:marLeft w:val="0"/>
      <w:marRight w:val="0"/>
      <w:marTop w:val="0"/>
      <w:marBottom w:val="0"/>
      <w:divBdr>
        <w:top w:val="none" w:sz="0" w:space="0" w:color="auto"/>
        <w:left w:val="none" w:sz="0" w:space="0" w:color="auto"/>
        <w:bottom w:val="none" w:sz="0" w:space="0" w:color="auto"/>
        <w:right w:val="none" w:sz="0" w:space="0" w:color="auto"/>
      </w:divBdr>
    </w:div>
    <w:div w:id="964307419">
      <w:bodyDiv w:val="1"/>
      <w:marLeft w:val="0"/>
      <w:marRight w:val="0"/>
      <w:marTop w:val="0"/>
      <w:marBottom w:val="0"/>
      <w:divBdr>
        <w:top w:val="none" w:sz="0" w:space="0" w:color="auto"/>
        <w:left w:val="none" w:sz="0" w:space="0" w:color="auto"/>
        <w:bottom w:val="none" w:sz="0" w:space="0" w:color="auto"/>
        <w:right w:val="none" w:sz="0" w:space="0" w:color="auto"/>
      </w:divBdr>
    </w:div>
    <w:div w:id="964506370">
      <w:bodyDiv w:val="1"/>
      <w:marLeft w:val="0"/>
      <w:marRight w:val="0"/>
      <w:marTop w:val="0"/>
      <w:marBottom w:val="0"/>
      <w:divBdr>
        <w:top w:val="none" w:sz="0" w:space="0" w:color="auto"/>
        <w:left w:val="none" w:sz="0" w:space="0" w:color="auto"/>
        <w:bottom w:val="none" w:sz="0" w:space="0" w:color="auto"/>
        <w:right w:val="none" w:sz="0" w:space="0" w:color="auto"/>
      </w:divBdr>
    </w:div>
    <w:div w:id="965353455">
      <w:bodyDiv w:val="1"/>
      <w:marLeft w:val="0"/>
      <w:marRight w:val="0"/>
      <w:marTop w:val="0"/>
      <w:marBottom w:val="0"/>
      <w:divBdr>
        <w:top w:val="none" w:sz="0" w:space="0" w:color="auto"/>
        <w:left w:val="none" w:sz="0" w:space="0" w:color="auto"/>
        <w:bottom w:val="none" w:sz="0" w:space="0" w:color="auto"/>
        <w:right w:val="none" w:sz="0" w:space="0" w:color="auto"/>
      </w:divBdr>
    </w:div>
    <w:div w:id="966353045">
      <w:bodyDiv w:val="1"/>
      <w:marLeft w:val="0"/>
      <w:marRight w:val="0"/>
      <w:marTop w:val="0"/>
      <w:marBottom w:val="0"/>
      <w:divBdr>
        <w:top w:val="none" w:sz="0" w:space="0" w:color="auto"/>
        <w:left w:val="none" w:sz="0" w:space="0" w:color="auto"/>
        <w:bottom w:val="none" w:sz="0" w:space="0" w:color="auto"/>
        <w:right w:val="none" w:sz="0" w:space="0" w:color="auto"/>
      </w:divBdr>
    </w:div>
    <w:div w:id="968782191">
      <w:bodyDiv w:val="1"/>
      <w:marLeft w:val="0"/>
      <w:marRight w:val="0"/>
      <w:marTop w:val="0"/>
      <w:marBottom w:val="0"/>
      <w:divBdr>
        <w:top w:val="none" w:sz="0" w:space="0" w:color="auto"/>
        <w:left w:val="none" w:sz="0" w:space="0" w:color="auto"/>
        <w:bottom w:val="none" w:sz="0" w:space="0" w:color="auto"/>
        <w:right w:val="none" w:sz="0" w:space="0" w:color="auto"/>
      </w:divBdr>
    </w:div>
    <w:div w:id="97106022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33303">
      <w:bodyDiv w:val="1"/>
      <w:marLeft w:val="0"/>
      <w:marRight w:val="0"/>
      <w:marTop w:val="0"/>
      <w:marBottom w:val="0"/>
      <w:divBdr>
        <w:top w:val="none" w:sz="0" w:space="0" w:color="auto"/>
        <w:left w:val="none" w:sz="0" w:space="0" w:color="auto"/>
        <w:bottom w:val="none" w:sz="0" w:space="0" w:color="auto"/>
        <w:right w:val="none" w:sz="0" w:space="0" w:color="auto"/>
      </w:divBdr>
    </w:div>
    <w:div w:id="974406338">
      <w:bodyDiv w:val="1"/>
      <w:marLeft w:val="0"/>
      <w:marRight w:val="0"/>
      <w:marTop w:val="0"/>
      <w:marBottom w:val="0"/>
      <w:divBdr>
        <w:top w:val="none" w:sz="0" w:space="0" w:color="auto"/>
        <w:left w:val="none" w:sz="0" w:space="0" w:color="auto"/>
        <w:bottom w:val="none" w:sz="0" w:space="0" w:color="auto"/>
        <w:right w:val="none" w:sz="0" w:space="0" w:color="auto"/>
      </w:divBdr>
    </w:div>
    <w:div w:id="976446638">
      <w:bodyDiv w:val="1"/>
      <w:marLeft w:val="0"/>
      <w:marRight w:val="0"/>
      <w:marTop w:val="0"/>
      <w:marBottom w:val="0"/>
      <w:divBdr>
        <w:top w:val="none" w:sz="0" w:space="0" w:color="auto"/>
        <w:left w:val="none" w:sz="0" w:space="0" w:color="auto"/>
        <w:bottom w:val="none" w:sz="0" w:space="0" w:color="auto"/>
        <w:right w:val="none" w:sz="0" w:space="0" w:color="auto"/>
      </w:divBdr>
    </w:div>
    <w:div w:id="977341562">
      <w:bodyDiv w:val="1"/>
      <w:marLeft w:val="0"/>
      <w:marRight w:val="0"/>
      <w:marTop w:val="0"/>
      <w:marBottom w:val="0"/>
      <w:divBdr>
        <w:top w:val="none" w:sz="0" w:space="0" w:color="auto"/>
        <w:left w:val="none" w:sz="0" w:space="0" w:color="auto"/>
        <w:bottom w:val="none" w:sz="0" w:space="0" w:color="auto"/>
        <w:right w:val="none" w:sz="0" w:space="0" w:color="auto"/>
      </w:divBdr>
    </w:div>
    <w:div w:id="978388638">
      <w:bodyDiv w:val="1"/>
      <w:marLeft w:val="0"/>
      <w:marRight w:val="0"/>
      <w:marTop w:val="0"/>
      <w:marBottom w:val="0"/>
      <w:divBdr>
        <w:top w:val="none" w:sz="0" w:space="0" w:color="auto"/>
        <w:left w:val="none" w:sz="0" w:space="0" w:color="auto"/>
        <w:bottom w:val="none" w:sz="0" w:space="0" w:color="auto"/>
        <w:right w:val="none" w:sz="0" w:space="0" w:color="auto"/>
      </w:divBdr>
    </w:div>
    <w:div w:id="978458227">
      <w:bodyDiv w:val="1"/>
      <w:marLeft w:val="0"/>
      <w:marRight w:val="0"/>
      <w:marTop w:val="0"/>
      <w:marBottom w:val="0"/>
      <w:divBdr>
        <w:top w:val="none" w:sz="0" w:space="0" w:color="auto"/>
        <w:left w:val="none" w:sz="0" w:space="0" w:color="auto"/>
        <w:bottom w:val="none" w:sz="0" w:space="0" w:color="auto"/>
        <w:right w:val="none" w:sz="0" w:space="0" w:color="auto"/>
      </w:divBdr>
    </w:div>
    <w:div w:id="980575599">
      <w:bodyDiv w:val="1"/>
      <w:marLeft w:val="0"/>
      <w:marRight w:val="0"/>
      <w:marTop w:val="0"/>
      <w:marBottom w:val="0"/>
      <w:divBdr>
        <w:top w:val="none" w:sz="0" w:space="0" w:color="auto"/>
        <w:left w:val="none" w:sz="0" w:space="0" w:color="auto"/>
        <w:bottom w:val="none" w:sz="0" w:space="0" w:color="auto"/>
        <w:right w:val="none" w:sz="0" w:space="0" w:color="auto"/>
      </w:divBdr>
    </w:div>
    <w:div w:id="980692783">
      <w:bodyDiv w:val="1"/>
      <w:marLeft w:val="0"/>
      <w:marRight w:val="0"/>
      <w:marTop w:val="0"/>
      <w:marBottom w:val="0"/>
      <w:divBdr>
        <w:top w:val="none" w:sz="0" w:space="0" w:color="auto"/>
        <w:left w:val="none" w:sz="0" w:space="0" w:color="auto"/>
        <w:bottom w:val="none" w:sz="0" w:space="0" w:color="auto"/>
        <w:right w:val="none" w:sz="0" w:space="0" w:color="auto"/>
      </w:divBdr>
    </w:div>
    <w:div w:id="980843721">
      <w:bodyDiv w:val="1"/>
      <w:marLeft w:val="0"/>
      <w:marRight w:val="0"/>
      <w:marTop w:val="0"/>
      <w:marBottom w:val="0"/>
      <w:divBdr>
        <w:top w:val="none" w:sz="0" w:space="0" w:color="auto"/>
        <w:left w:val="none" w:sz="0" w:space="0" w:color="auto"/>
        <w:bottom w:val="none" w:sz="0" w:space="0" w:color="auto"/>
        <w:right w:val="none" w:sz="0" w:space="0" w:color="auto"/>
      </w:divBdr>
    </w:div>
    <w:div w:id="982349157">
      <w:bodyDiv w:val="1"/>
      <w:marLeft w:val="0"/>
      <w:marRight w:val="0"/>
      <w:marTop w:val="0"/>
      <w:marBottom w:val="0"/>
      <w:divBdr>
        <w:top w:val="none" w:sz="0" w:space="0" w:color="auto"/>
        <w:left w:val="none" w:sz="0" w:space="0" w:color="auto"/>
        <w:bottom w:val="none" w:sz="0" w:space="0" w:color="auto"/>
        <w:right w:val="none" w:sz="0" w:space="0" w:color="auto"/>
      </w:divBdr>
    </w:div>
    <w:div w:id="987975855">
      <w:bodyDiv w:val="1"/>
      <w:marLeft w:val="0"/>
      <w:marRight w:val="0"/>
      <w:marTop w:val="0"/>
      <w:marBottom w:val="0"/>
      <w:divBdr>
        <w:top w:val="none" w:sz="0" w:space="0" w:color="auto"/>
        <w:left w:val="none" w:sz="0" w:space="0" w:color="auto"/>
        <w:bottom w:val="none" w:sz="0" w:space="0" w:color="auto"/>
        <w:right w:val="none" w:sz="0" w:space="0" w:color="auto"/>
      </w:divBdr>
    </w:div>
    <w:div w:id="998846314">
      <w:bodyDiv w:val="1"/>
      <w:marLeft w:val="0"/>
      <w:marRight w:val="0"/>
      <w:marTop w:val="0"/>
      <w:marBottom w:val="0"/>
      <w:divBdr>
        <w:top w:val="none" w:sz="0" w:space="0" w:color="auto"/>
        <w:left w:val="none" w:sz="0" w:space="0" w:color="auto"/>
        <w:bottom w:val="none" w:sz="0" w:space="0" w:color="auto"/>
        <w:right w:val="none" w:sz="0" w:space="0" w:color="auto"/>
      </w:divBdr>
    </w:div>
    <w:div w:id="1001397885">
      <w:bodyDiv w:val="1"/>
      <w:marLeft w:val="0"/>
      <w:marRight w:val="0"/>
      <w:marTop w:val="0"/>
      <w:marBottom w:val="0"/>
      <w:divBdr>
        <w:top w:val="none" w:sz="0" w:space="0" w:color="auto"/>
        <w:left w:val="none" w:sz="0" w:space="0" w:color="auto"/>
        <w:bottom w:val="none" w:sz="0" w:space="0" w:color="auto"/>
        <w:right w:val="none" w:sz="0" w:space="0" w:color="auto"/>
      </w:divBdr>
    </w:div>
    <w:div w:id="1002121584">
      <w:bodyDiv w:val="1"/>
      <w:marLeft w:val="0"/>
      <w:marRight w:val="0"/>
      <w:marTop w:val="0"/>
      <w:marBottom w:val="0"/>
      <w:divBdr>
        <w:top w:val="none" w:sz="0" w:space="0" w:color="auto"/>
        <w:left w:val="none" w:sz="0" w:space="0" w:color="auto"/>
        <w:bottom w:val="none" w:sz="0" w:space="0" w:color="auto"/>
        <w:right w:val="none" w:sz="0" w:space="0" w:color="auto"/>
      </w:divBdr>
    </w:div>
    <w:div w:id="1003972662">
      <w:bodyDiv w:val="1"/>
      <w:marLeft w:val="0"/>
      <w:marRight w:val="0"/>
      <w:marTop w:val="0"/>
      <w:marBottom w:val="0"/>
      <w:divBdr>
        <w:top w:val="none" w:sz="0" w:space="0" w:color="auto"/>
        <w:left w:val="none" w:sz="0" w:space="0" w:color="auto"/>
        <w:bottom w:val="none" w:sz="0" w:space="0" w:color="auto"/>
        <w:right w:val="none" w:sz="0" w:space="0" w:color="auto"/>
      </w:divBdr>
    </w:div>
    <w:div w:id="1008169968">
      <w:bodyDiv w:val="1"/>
      <w:marLeft w:val="0"/>
      <w:marRight w:val="0"/>
      <w:marTop w:val="0"/>
      <w:marBottom w:val="0"/>
      <w:divBdr>
        <w:top w:val="none" w:sz="0" w:space="0" w:color="auto"/>
        <w:left w:val="none" w:sz="0" w:space="0" w:color="auto"/>
        <w:bottom w:val="none" w:sz="0" w:space="0" w:color="auto"/>
        <w:right w:val="none" w:sz="0" w:space="0" w:color="auto"/>
      </w:divBdr>
    </w:div>
    <w:div w:id="1008562003">
      <w:bodyDiv w:val="1"/>
      <w:marLeft w:val="0"/>
      <w:marRight w:val="0"/>
      <w:marTop w:val="0"/>
      <w:marBottom w:val="0"/>
      <w:divBdr>
        <w:top w:val="none" w:sz="0" w:space="0" w:color="auto"/>
        <w:left w:val="none" w:sz="0" w:space="0" w:color="auto"/>
        <w:bottom w:val="none" w:sz="0" w:space="0" w:color="auto"/>
        <w:right w:val="none" w:sz="0" w:space="0" w:color="auto"/>
      </w:divBdr>
    </w:div>
    <w:div w:id="1008748049">
      <w:bodyDiv w:val="1"/>
      <w:marLeft w:val="0"/>
      <w:marRight w:val="0"/>
      <w:marTop w:val="0"/>
      <w:marBottom w:val="0"/>
      <w:divBdr>
        <w:top w:val="none" w:sz="0" w:space="0" w:color="auto"/>
        <w:left w:val="none" w:sz="0" w:space="0" w:color="auto"/>
        <w:bottom w:val="none" w:sz="0" w:space="0" w:color="auto"/>
        <w:right w:val="none" w:sz="0" w:space="0" w:color="auto"/>
      </w:divBdr>
    </w:div>
    <w:div w:id="1009673861">
      <w:bodyDiv w:val="1"/>
      <w:marLeft w:val="0"/>
      <w:marRight w:val="0"/>
      <w:marTop w:val="0"/>
      <w:marBottom w:val="0"/>
      <w:divBdr>
        <w:top w:val="none" w:sz="0" w:space="0" w:color="auto"/>
        <w:left w:val="none" w:sz="0" w:space="0" w:color="auto"/>
        <w:bottom w:val="none" w:sz="0" w:space="0" w:color="auto"/>
        <w:right w:val="none" w:sz="0" w:space="0" w:color="auto"/>
      </w:divBdr>
    </w:div>
    <w:div w:id="1015034247">
      <w:bodyDiv w:val="1"/>
      <w:marLeft w:val="0"/>
      <w:marRight w:val="0"/>
      <w:marTop w:val="0"/>
      <w:marBottom w:val="0"/>
      <w:divBdr>
        <w:top w:val="none" w:sz="0" w:space="0" w:color="auto"/>
        <w:left w:val="none" w:sz="0" w:space="0" w:color="auto"/>
        <w:bottom w:val="none" w:sz="0" w:space="0" w:color="auto"/>
        <w:right w:val="none" w:sz="0" w:space="0" w:color="auto"/>
      </w:divBdr>
    </w:div>
    <w:div w:id="1015152730">
      <w:bodyDiv w:val="1"/>
      <w:marLeft w:val="0"/>
      <w:marRight w:val="0"/>
      <w:marTop w:val="0"/>
      <w:marBottom w:val="0"/>
      <w:divBdr>
        <w:top w:val="none" w:sz="0" w:space="0" w:color="auto"/>
        <w:left w:val="none" w:sz="0" w:space="0" w:color="auto"/>
        <w:bottom w:val="none" w:sz="0" w:space="0" w:color="auto"/>
        <w:right w:val="none" w:sz="0" w:space="0" w:color="auto"/>
      </w:divBdr>
    </w:div>
    <w:div w:id="1016615564">
      <w:bodyDiv w:val="1"/>
      <w:marLeft w:val="0"/>
      <w:marRight w:val="0"/>
      <w:marTop w:val="0"/>
      <w:marBottom w:val="0"/>
      <w:divBdr>
        <w:top w:val="none" w:sz="0" w:space="0" w:color="auto"/>
        <w:left w:val="none" w:sz="0" w:space="0" w:color="auto"/>
        <w:bottom w:val="none" w:sz="0" w:space="0" w:color="auto"/>
        <w:right w:val="none" w:sz="0" w:space="0" w:color="auto"/>
      </w:divBdr>
    </w:div>
    <w:div w:id="1018387231">
      <w:bodyDiv w:val="1"/>
      <w:marLeft w:val="0"/>
      <w:marRight w:val="0"/>
      <w:marTop w:val="0"/>
      <w:marBottom w:val="0"/>
      <w:divBdr>
        <w:top w:val="none" w:sz="0" w:space="0" w:color="auto"/>
        <w:left w:val="none" w:sz="0" w:space="0" w:color="auto"/>
        <w:bottom w:val="none" w:sz="0" w:space="0" w:color="auto"/>
        <w:right w:val="none" w:sz="0" w:space="0" w:color="auto"/>
      </w:divBdr>
    </w:div>
    <w:div w:id="1020163363">
      <w:bodyDiv w:val="1"/>
      <w:marLeft w:val="0"/>
      <w:marRight w:val="0"/>
      <w:marTop w:val="0"/>
      <w:marBottom w:val="0"/>
      <w:divBdr>
        <w:top w:val="none" w:sz="0" w:space="0" w:color="auto"/>
        <w:left w:val="none" w:sz="0" w:space="0" w:color="auto"/>
        <w:bottom w:val="none" w:sz="0" w:space="0" w:color="auto"/>
        <w:right w:val="none" w:sz="0" w:space="0" w:color="auto"/>
      </w:divBdr>
    </w:div>
    <w:div w:id="1021584786">
      <w:bodyDiv w:val="1"/>
      <w:marLeft w:val="0"/>
      <w:marRight w:val="0"/>
      <w:marTop w:val="0"/>
      <w:marBottom w:val="0"/>
      <w:divBdr>
        <w:top w:val="none" w:sz="0" w:space="0" w:color="auto"/>
        <w:left w:val="none" w:sz="0" w:space="0" w:color="auto"/>
        <w:bottom w:val="none" w:sz="0" w:space="0" w:color="auto"/>
        <w:right w:val="none" w:sz="0" w:space="0" w:color="auto"/>
      </w:divBdr>
    </w:div>
    <w:div w:id="1022898951">
      <w:bodyDiv w:val="1"/>
      <w:marLeft w:val="0"/>
      <w:marRight w:val="0"/>
      <w:marTop w:val="0"/>
      <w:marBottom w:val="0"/>
      <w:divBdr>
        <w:top w:val="none" w:sz="0" w:space="0" w:color="auto"/>
        <w:left w:val="none" w:sz="0" w:space="0" w:color="auto"/>
        <w:bottom w:val="none" w:sz="0" w:space="0" w:color="auto"/>
        <w:right w:val="none" w:sz="0" w:space="0" w:color="auto"/>
      </w:divBdr>
    </w:div>
    <w:div w:id="1023897667">
      <w:bodyDiv w:val="1"/>
      <w:marLeft w:val="0"/>
      <w:marRight w:val="0"/>
      <w:marTop w:val="0"/>
      <w:marBottom w:val="0"/>
      <w:divBdr>
        <w:top w:val="none" w:sz="0" w:space="0" w:color="auto"/>
        <w:left w:val="none" w:sz="0" w:space="0" w:color="auto"/>
        <w:bottom w:val="none" w:sz="0" w:space="0" w:color="auto"/>
        <w:right w:val="none" w:sz="0" w:space="0" w:color="auto"/>
      </w:divBdr>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
    <w:div w:id="1028682971">
      <w:bodyDiv w:val="1"/>
      <w:marLeft w:val="0"/>
      <w:marRight w:val="0"/>
      <w:marTop w:val="0"/>
      <w:marBottom w:val="0"/>
      <w:divBdr>
        <w:top w:val="none" w:sz="0" w:space="0" w:color="auto"/>
        <w:left w:val="none" w:sz="0" w:space="0" w:color="auto"/>
        <w:bottom w:val="none" w:sz="0" w:space="0" w:color="auto"/>
        <w:right w:val="none" w:sz="0" w:space="0" w:color="auto"/>
      </w:divBdr>
    </w:div>
    <w:div w:id="1029455869">
      <w:bodyDiv w:val="1"/>
      <w:marLeft w:val="0"/>
      <w:marRight w:val="0"/>
      <w:marTop w:val="0"/>
      <w:marBottom w:val="0"/>
      <w:divBdr>
        <w:top w:val="none" w:sz="0" w:space="0" w:color="auto"/>
        <w:left w:val="none" w:sz="0" w:space="0" w:color="auto"/>
        <w:bottom w:val="none" w:sz="0" w:space="0" w:color="auto"/>
        <w:right w:val="none" w:sz="0" w:space="0" w:color="auto"/>
      </w:divBdr>
    </w:div>
    <w:div w:id="1034503736">
      <w:bodyDiv w:val="1"/>
      <w:marLeft w:val="0"/>
      <w:marRight w:val="0"/>
      <w:marTop w:val="0"/>
      <w:marBottom w:val="0"/>
      <w:divBdr>
        <w:top w:val="none" w:sz="0" w:space="0" w:color="auto"/>
        <w:left w:val="none" w:sz="0" w:space="0" w:color="auto"/>
        <w:bottom w:val="none" w:sz="0" w:space="0" w:color="auto"/>
        <w:right w:val="none" w:sz="0" w:space="0" w:color="auto"/>
      </w:divBdr>
    </w:div>
    <w:div w:id="1035158194">
      <w:bodyDiv w:val="1"/>
      <w:marLeft w:val="0"/>
      <w:marRight w:val="0"/>
      <w:marTop w:val="0"/>
      <w:marBottom w:val="0"/>
      <w:divBdr>
        <w:top w:val="none" w:sz="0" w:space="0" w:color="auto"/>
        <w:left w:val="none" w:sz="0" w:space="0" w:color="auto"/>
        <w:bottom w:val="none" w:sz="0" w:space="0" w:color="auto"/>
        <w:right w:val="none" w:sz="0" w:space="0" w:color="auto"/>
      </w:divBdr>
    </w:div>
    <w:div w:id="1036198093">
      <w:bodyDiv w:val="1"/>
      <w:marLeft w:val="0"/>
      <w:marRight w:val="0"/>
      <w:marTop w:val="0"/>
      <w:marBottom w:val="0"/>
      <w:divBdr>
        <w:top w:val="none" w:sz="0" w:space="0" w:color="auto"/>
        <w:left w:val="none" w:sz="0" w:space="0" w:color="auto"/>
        <w:bottom w:val="none" w:sz="0" w:space="0" w:color="auto"/>
        <w:right w:val="none" w:sz="0" w:space="0" w:color="auto"/>
      </w:divBdr>
    </w:div>
    <w:div w:id="1038091976">
      <w:bodyDiv w:val="1"/>
      <w:marLeft w:val="0"/>
      <w:marRight w:val="0"/>
      <w:marTop w:val="0"/>
      <w:marBottom w:val="0"/>
      <w:divBdr>
        <w:top w:val="none" w:sz="0" w:space="0" w:color="auto"/>
        <w:left w:val="none" w:sz="0" w:space="0" w:color="auto"/>
        <w:bottom w:val="none" w:sz="0" w:space="0" w:color="auto"/>
        <w:right w:val="none" w:sz="0" w:space="0" w:color="auto"/>
      </w:divBdr>
    </w:div>
    <w:div w:id="1038316392">
      <w:bodyDiv w:val="1"/>
      <w:marLeft w:val="0"/>
      <w:marRight w:val="0"/>
      <w:marTop w:val="0"/>
      <w:marBottom w:val="0"/>
      <w:divBdr>
        <w:top w:val="none" w:sz="0" w:space="0" w:color="auto"/>
        <w:left w:val="none" w:sz="0" w:space="0" w:color="auto"/>
        <w:bottom w:val="none" w:sz="0" w:space="0" w:color="auto"/>
        <w:right w:val="none" w:sz="0" w:space="0" w:color="auto"/>
      </w:divBdr>
    </w:div>
    <w:div w:id="1042170685">
      <w:bodyDiv w:val="1"/>
      <w:marLeft w:val="0"/>
      <w:marRight w:val="0"/>
      <w:marTop w:val="0"/>
      <w:marBottom w:val="0"/>
      <w:divBdr>
        <w:top w:val="none" w:sz="0" w:space="0" w:color="auto"/>
        <w:left w:val="none" w:sz="0" w:space="0" w:color="auto"/>
        <w:bottom w:val="none" w:sz="0" w:space="0" w:color="auto"/>
        <w:right w:val="none" w:sz="0" w:space="0" w:color="auto"/>
      </w:divBdr>
    </w:div>
    <w:div w:id="1043363195">
      <w:bodyDiv w:val="1"/>
      <w:marLeft w:val="0"/>
      <w:marRight w:val="0"/>
      <w:marTop w:val="0"/>
      <w:marBottom w:val="0"/>
      <w:divBdr>
        <w:top w:val="none" w:sz="0" w:space="0" w:color="auto"/>
        <w:left w:val="none" w:sz="0" w:space="0" w:color="auto"/>
        <w:bottom w:val="none" w:sz="0" w:space="0" w:color="auto"/>
        <w:right w:val="none" w:sz="0" w:space="0" w:color="auto"/>
      </w:divBdr>
    </w:div>
    <w:div w:id="1046099900">
      <w:bodyDiv w:val="1"/>
      <w:marLeft w:val="0"/>
      <w:marRight w:val="0"/>
      <w:marTop w:val="0"/>
      <w:marBottom w:val="0"/>
      <w:divBdr>
        <w:top w:val="none" w:sz="0" w:space="0" w:color="auto"/>
        <w:left w:val="none" w:sz="0" w:space="0" w:color="auto"/>
        <w:bottom w:val="none" w:sz="0" w:space="0" w:color="auto"/>
        <w:right w:val="none" w:sz="0" w:space="0" w:color="auto"/>
      </w:divBdr>
    </w:div>
    <w:div w:id="1046948605">
      <w:bodyDiv w:val="1"/>
      <w:marLeft w:val="0"/>
      <w:marRight w:val="0"/>
      <w:marTop w:val="0"/>
      <w:marBottom w:val="0"/>
      <w:divBdr>
        <w:top w:val="none" w:sz="0" w:space="0" w:color="auto"/>
        <w:left w:val="none" w:sz="0" w:space="0" w:color="auto"/>
        <w:bottom w:val="none" w:sz="0" w:space="0" w:color="auto"/>
        <w:right w:val="none" w:sz="0" w:space="0" w:color="auto"/>
      </w:divBdr>
    </w:div>
    <w:div w:id="1049836635">
      <w:bodyDiv w:val="1"/>
      <w:marLeft w:val="0"/>
      <w:marRight w:val="0"/>
      <w:marTop w:val="0"/>
      <w:marBottom w:val="0"/>
      <w:divBdr>
        <w:top w:val="none" w:sz="0" w:space="0" w:color="auto"/>
        <w:left w:val="none" w:sz="0" w:space="0" w:color="auto"/>
        <w:bottom w:val="none" w:sz="0" w:space="0" w:color="auto"/>
        <w:right w:val="none" w:sz="0" w:space="0" w:color="auto"/>
      </w:divBdr>
    </w:div>
    <w:div w:id="1052266211">
      <w:bodyDiv w:val="1"/>
      <w:marLeft w:val="0"/>
      <w:marRight w:val="0"/>
      <w:marTop w:val="0"/>
      <w:marBottom w:val="0"/>
      <w:divBdr>
        <w:top w:val="none" w:sz="0" w:space="0" w:color="auto"/>
        <w:left w:val="none" w:sz="0" w:space="0" w:color="auto"/>
        <w:bottom w:val="none" w:sz="0" w:space="0" w:color="auto"/>
        <w:right w:val="none" w:sz="0" w:space="0" w:color="auto"/>
      </w:divBdr>
    </w:div>
    <w:div w:id="1054236038">
      <w:bodyDiv w:val="1"/>
      <w:marLeft w:val="0"/>
      <w:marRight w:val="0"/>
      <w:marTop w:val="0"/>
      <w:marBottom w:val="0"/>
      <w:divBdr>
        <w:top w:val="none" w:sz="0" w:space="0" w:color="auto"/>
        <w:left w:val="none" w:sz="0" w:space="0" w:color="auto"/>
        <w:bottom w:val="none" w:sz="0" w:space="0" w:color="auto"/>
        <w:right w:val="none" w:sz="0" w:space="0" w:color="auto"/>
      </w:divBdr>
    </w:div>
    <w:div w:id="1055196481">
      <w:bodyDiv w:val="1"/>
      <w:marLeft w:val="0"/>
      <w:marRight w:val="0"/>
      <w:marTop w:val="0"/>
      <w:marBottom w:val="0"/>
      <w:divBdr>
        <w:top w:val="none" w:sz="0" w:space="0" w:color="auto"/>
        <w:left w:val="none" w:sz="0" w:space="0" w:color="auto"/>
        <w:bottom w:val="none" w:sz="0" w:space="0" w:color="auto"/>
        <w:right w:val="none" w:sz="0" w:space="0" w:color="auto"/>
      </w:divBdr>
    </w:div>
    <w:div w:id="1057167634">
      <w:bodyDiv w:val="1"/>
      <w:marLeft w:val="0"/>
      <w:marRight w:val="0"/>
      <w:marTop w:val="0"/>
      <w:marBottom w:val="0"/>
      <w:divBdr>
        <w:top w:val="none" w:sz="0" w:space="0" w:color="auto"/>
        <w:left w:val="none" w:sz="0" w:space="0" w:color="auto"/>
        <w:bottom w:val="none" w:sz="0" w:space="0" w:color="auto"/>
        <w:right w:val="none" w:sz="0" w:space="0" w:color="auto"/>
      </w:divBdr>
    </w:div>
    <w:div w:id="1057364418">
      <w:bodyDiv w:val="1"/>
      <w:marLeft w:val="0"/>
      <w:marRight w:val="0"/>
      <w:marTop w:val="0"/>
      <w:marBottom w:val="0"/>
      <w:divBdr>
        <w:top w:val="none" w:sz="0" w:space="0" w:color="auto"/>
        <w:left w:val="none" w:sz="0" w:space="0" w:color="auto"/>
        <w:bottom w:val="none" w:sz="0" w:space="0" w:color="auto"/>
        <w:right w:val="none" w:sz="0" w:space="0" w:color="auto"/>
      </w:divBdr>
    </w:div>
    <w:div w:id="1061709199">
      <w:bodyDiv w:val="1"/>
      <w:marLeft w:val="0"/>
      <w:marRight w:val="0"/>
      <w:marTop w:val="0"/>
      <w:marBottom w:val="0"/>
      <w:divBdr>
        <w:top w:val="none" w:sz="0" w:space="0" w:color="auto"/>
        <w:left w:val="none" w:sz="0" w:space="0" w:color="auto"/>
        <w:bottom w:val="none" w:sz="0" w:space="0" w:color="auto"/>
        <w:right w:val="none" w:sz="0" w:space="0" w:color="auto"/>
      </w:divBdr>
    </w:div>
    <w:div w:id="1062023749">
      <w:bodyDiv w:val="1"/>
      <w:marLeft w:val="0"/>
      <w:marRight w:val="0"/>
      <w:marTop w:val="0"/>
      <w:marBottom w:val="0"/>
      <w:divBdr>
        <w:top w:val="none" w:sz="0" w:space="0" w:color="auto"/>
        <w:left w:val="none" w:sz="0" w:space="0" w:color="auto"/>
        <w:bottom w:val="none" w:sz="0" w:space="0" w:color="auto"/>
        <w:right w:val="none" w:sz="0" w:space="0" w:color="auto"/>
      </w:divBdr>
    </w:div>
    <w:div w:id="1062606035">
      <w:bodyDiv w:val="1"/>
      <w:marLeft w:val="0"/>
      <w:marRight w:val="0"/>
      <w:marTop w:val="0"/>
      <w:marBottom w:val="0"/>
      <w:divBdr>
        <w:top w:val="none" w:sz="0" w:space="0" w:color="auto"/>
        <w:left w:val="none" w:sz="0" w:space="0" w:color="auto"/>
        <w:bottom w:val="none" w:sz="0" w:space="0" w:color="auto"/>
        <w:right w:val="none" w:sz="0" w:space="0" w:color="auto"/>
      </w:divBdr>
    </w:div>
    <w:div w:id="1064179826">
      <w:bodyDiv w:val="1"/>
      <w:marLeft w:val="0"/>
      <w:marRight w:val="0"/>
      <w:marTop w:val="0"/>
      <w:marBottom w:val="0"/>
      <w:divBdr>
        <w:top w:val="none" w:sz="0" w:space="0" w:color="auto"/>
        <w:left w:val="none" w:sz="0" w:space="0" w:color="auto"/>
        <w:bottom w:val="none" w:sz="0" w:space="0" w:color="auto"/>
        <w:right w:val="none" w:sz="0" w:space="0" w:color="auto"/>
      </w:divBdr>
    </w:div>
    <w:div w:id="1068771468">
      <w:bodyDiv w:val="1"/>
      <w:marLeft w:val="0"/>
      <w:marRight w:val="0"/>
      <w:marTop w:val="0"/>
      <w:marBottom w:val="0"/>
      <w:divBdr>
        <w:top w:val="none" w:sz="0" w:space="0" w:color="auto"/>
        <w:left w:val="none" w:sz="0" w:space="0" w:color="auto"/>
        <w:bottom w:val="none" w:sz="0" w:space="0" w:color="auto"/>
        <w:right w:val="none" w:sz="0" w:space="0" w:color="auto"/>
      </w:divBdr>
    </w:div>
    <w:div w:id="1071390191">
      <w:bodyDiv w:val="1"/>
      <w:marLeft w:val="0"/>
      <w:marRight w:val="0"/>
      <w:marTop w:val="0"/>
      <w:marBottom w:val="0"/>
      <w:divBdr>
        <w:top w:val="none" w:sz="0" w:space="0" w:color="auto"/>
        <w:left w:val="none" w:sz="0" w:space="0" w:color="auto"/>
        <w:bottom w:val="none" w:sz="0" w:space="0" w:color="auto"/>
        <w:right w:val="none" w:sz="0" w:space="0" w:color="auto"/>
      </w:divBdr>
    </w:div>
    <w:div w:id="1072120966">
      <w:bodyDiv w:val="1"/>
      <w:marLeft w:val="0"/>
      <w:marRight w:val="0"/>
      <w:marTop w:val="0"/>
      <w:marBottom w:val="0"/>
      <w:divBdr>
        <w:top w:val="none" w:sz="0" w:space="0" w:color="auto"/>
        <w:left w:val="none" w:sz="0" w:space="0" w:color="auto"/>
        <w:bottom w:val="none" w:sz="0" w:space="0" w:color="auto"/>
        <w:right w:val="none" w:sz="0" w:space="0" w:color="auto"/>
      </w:divBdr>
    </w:div>
    <w:div w:id="1072199238">
      <w:bodyDiv w:val="1"/>
      <w:marLeft w:val="0"/>
      <w:marRight w:val="0"/>
      <w:marTop w:val="0"/>
      <w:marBottom w:val="0"/>
      <w:divBdr>
        <w:top w:val="none" w:sz="0" w:space="0" w:color="auto"/>
        <w:left w:val="none" w:sz="0" w:space="0" w:color="auto"/>
        <w:bottom w:val="none" w:sz="0" w:space="0" w:color="auto"/>
        <w:right w:val="none" w:sz="0" w:space="0" w:color="auto"/>
      </w:divBdr>
    </w:div>
    <w:div w:id="1074164282">
      <w:bodyDiv w:val="1"/>
      <w:marLeft w:val="0"/>
      <w:marRight w:val="0"/>
      <w:marTop w:val="0"/>
      <w:marBottom w:val="0"/>
      <w:divBdr>
        <w:top w:val="none" w:sz="0" w:space="0" w:color="auto"/>
        <w:left w:val="none" w:sz="0" w:space="0" w:color="auto"/>
        <w:bottom w:val="none" w:sz="0" w:space="0" w:color="auto"/>
        <w:right w:val="none" w:sz="0" w:space="0" w:color="auto"/>
      </w:divBdr>
    </w:div>
    <w:div w:id="1079328398">
      <w:bodyDiv w:val="1"/>
      <w:marLeft w:val="0"/>
      <w:marRight w:val="0"/>
      <w:marTop w:val="0"/>
      <w:marBottom w:val="0"/>
      <w:divBdr>
        <w:top w:val="none" w:sz="0" w:space="0" w:color="auto"/>
        <w:left w:val="none" w:sz="0" w:space="0" w:color="auto"/>
        <w:bottom w:val="none" w:sz="0" w:space="0" w:color="auto"/>
        <w:right w:val="none" w:sz="0" w:space="0" w:color="auto"/>
      </w:divBdr>
    </w:div>
    <w:div w:id="1080951642">
      <w:bodyDiv w:val="1"/>
      <w:marLeft w:val="0"/>
      <w:marRight w:val="0"/>
      <w:marTop w:val="0"/>
      <w:marBottom w:val="0"/>
      <w:divBdr>
        <w:top w:val="none" w:sz="0" w:space="0" w:color="auto"/>
        <w:left w:val="none" w:sz="0" w:space="0" w:color="auto"/>
        <w:bottom w:val="none" w:sz="0" w:space="0" w:color="auto"/>
        <w:right w:val="none" w:sz="0" w:space="0" w:color="auto"/>
      </w:divBdr>
    </w:div>
    <w:div w:id="1088845525">
      <w:bodyDiv w:val="1"/>
      <w:marLeft w:val="0"/>
      <w:marRight w:val="0"/>
      <w:marTop w:val="0"/>
      <w:marBottom w:val="0"/>
      <w:divBdr>
        <w:top w:val="none" w:sz="0" w:space="0" w:color="auto"/>
        <w:left w:val="none" w:sz="0" w:space="0" w:color="auto"/>
        <w:bottom w:val="none" w:sz="0" w:space="0" w:color="auto"/>
        <w:right w:val="none" w:sz="0" w:space="0" w:color="auto"/>
      </w:divBdr>
    </w:div>
    <w:div w:id="1090201360">
      <w:bodyDiv w:val="1"/>
      <w:marLeft w:val="0"/>
      <w:marRight w:val="0"/>
      <w:marTop w:val="0"/>
      <w:marBottom w:val="0"/>
      <w:divBdr>
        <w:top w:val="none" w:sz="0" w:space="0" w:color="auto"/>
        <w:left w:val="none" w:sz="0" w:space="0" w:color="auto"/>
        <w:bottom w:val="none" w:sz="0" w:space="0" w:color="auto"/>
        <w:right w:val="none" w:sz="0" w:space="0" w:color="auto"/>
      </w:divBdr>
    </w:div>
    <w:div w:id="1096753973">
      <w:bodyDiv w:val="1"/>
      <w:marLeft w:val="0"/>
      <w:marRight w:val="0"/>
      <w:marTop w:val="0"/>
      <w:marBottom w:val="0"/>
      <w:divBdr>
        <w:top w:val="none" w:sz="0" w:space="0" w:color="auto"/>
        <w:left w:val="none" w:sz="0" w:space="0" w:color="auto"/>
        <w:bottom w:val="none" w:sz="0" w:space="0" w:color="auto"/>
        <w:right w:val="none" w:sz="0" w:space="0" w:color="auto"/>
      </w:divBdr>
    </w:div>
    <w:div w:id="1097873310">
      <w:bodyDiv w:val="1"/>
      <w:marLeft w:val="0"/>
      <w:marRight w:val="0"/>
      <w:marTop w:val="0"/>
      <w:marBottom w:val="0"/>
      <w:divBdr>
        <w:top w:val="none" w:sz="0" w:space="0" w:color="auto"/>
        <w:left w:val="none" w:sz="0" w:space="0" w:color="auto"/>
        <w:bottom w:val="none" w:sz="0" w:space="0" w:color="auto"/>
        <w:right w:val="none" w:sz="0" w:space="0" w:color="auto"/>
      </w:divBdr>
    </w:div>
    <w:div w:id="1099563753">
      <w:bodyDiv w:val="1"/>
      <w:marLeft w:val="0"/>
      <w:marRight w:val="0"/>
      <w:marTop w:val="0"/>
      <w:marBottom w:val="0"/>
      <w:divBdr>
        <w:top w:val="none" w:sz="0" w:space="0" w:color="auto"/>
        <w:left w:val="none" w:sz="0" w:space="0" w:color="auto"/>
        <w:bottom w:val="none" w:sz="0" w:space="0" w:color="auto"/>
        <w:right w:val="none" w:sz="0" w:space="0" w:color="auto"/>
      </w:divBdr>
    </w:div>
    <w:div w:id="1100174532">
      <w:bodyDiv w:val="1"/>
      <w:marLeft w:val="0"/>
      <w:marRight w:val="0"/>
      <w:marTop w:val="0"/>
      <w:marBottom w:val="0"/>
      <w:divBdr>
        <w:top w:val="none" w:sz="0" w:space="0" w:color="auto"/>
        <w:left w:val="none" w:sz="0" w:space="0" w:color="auto"/>
        <w:bottom w:val="none" w:sz="0" w:space="0" w:color="auto"/>
        <w:right w:val="none" w:sz="0" w:space="0" w:color="auto"/>
      </w:divBdr>
    </w:div>
    <w:div w:id="1100832642">
      <w:bodyDiv w:val="1"/>
      <w:marLeft w:val="0"/>
      <w:marRight w:val="0"/>
      <w:marTop w:val="0"/>
      <w:marBottom w:val="0"/>
      <w:divBdr>
        <w:top w:val="none" w:sz="0" w:space="0" w:color="auto"/>
        <w:left w:val="none" w:sz="0" w:space="0" w:color="auto"/>
        <w:bottom w:val="none" w:sz="0" w:space="0" w:color="auto"/>
        <w:right w:val="none" w:sz="0" w:space="0" w:color="auto"/>
      </w:divBdr>
    </w:div>
    <w:div w:id="1103301183">
      <w:bodyDiv w:val="1"/>
      <w:marLeft w:val="0"/>
      <w:marRight w:val="0"/>
      <w:marTop w:val="0"/>
      <w:marBottom w:val="0"/>
      <w:divBdr>
        <w:top w:val="none" w:sz="0" w:space="0" w:color="auto"/>
        <w:left w:val="none" w:sz="0" w:space="0" w:color="auto"/>
        <w:bottom w:val="none" w:sz="0" w:space="0" w:color="auto"/>
        <w:right w:val="none" w:sz="0" w:space="0" w:color="auto"/>
      </w:divBdr>
    </w:div>
    <w:div w:id="1106730311">
      <w:bodyDiv w:val="1"/>
      <w:marLeft w:val="0"/>
      <w:marRight w:val="0"/>
      <w:marTop w:val="0"/>
      <w:marBottom w:val="0"/>
      <w:divBdr>
        <w:top w:val="none" w:sz="0" w:space="0" w:color="auto"/>
        <w:left w:val="none" w:sz="0" w:space="0" w:color="auto"/>
        <w:bottom w:val="none" w:sz="0" w:space="0" w:color="auto"/>
        <w:right w:val="none" w:sz="0" w:space="0" w:color="auto"/>
      </w:divBdr>
    </w:div>
    <w:div w:id="1106849456">
      <w:bodyDiv w:val="1"/>
      <w:marLeft w:val="0"/>
      <w:marRight w:val="0"/>
      <w:marTop w:val="0"/>
      <w:marBottom w:val="0"/>
      <w:divBdr>
        <w:top w:val="none" w:sz="0" w:space="0" w:color="auto"/>
        <w:left w:val="none" w:sz="0" w:space="0" w:color="auto"/>
        <w:bottom w:val="none" w:sz="0" w:space="0" w:color="auto"/>
        <w:right w:val="none" w:sz="0" w:space="0" w:color="auto"/>
      </w:divBdr>
    </w:div>
    <w:div w:id="1114253273">
      <w:bodyDiv w:val="1"/>
      <w:marLeft w:val="0"/>
      <w:marRight w:val="0"/>
      <w:marTop w:val="0"/>
      <w:marBottom w:val="0"/>
      <w:divBdr>
        <w:top w:val="none" w:sz="0" w:space="0" w:color="auto"/>
        <w:left w:val="none" w:sz="0" w:space="0" w:color="auto"/>
        <w:bottom w:val="none" w:sz="0" w:space="0" w:color="auto"/>
        <w:right w:val="none" w:sz="0" w:space="0" w:color="auto"/>
      </w:divBdr>
    </w:div>
    <w:div w:id="1114442676">
      <w:bodyDiv w:val="1"/>
      <w:marLeft w:val="0"/>
      <w:marRight w:val="0"/>
      <w:marTop w:val="0"/>
      <w:marBottom w:val="0"/>
      <w:divBdr>
        <w:top w:val="none" w:sz="0" w:space="0" w:color="auto"/>
        <w:left w:val="none" w:sz="0" w:space="0" w:color="auto"/>
        <w:bottom w:val="none" w:sz="0" w:space="0" w:color="auto"/>
        <w:right w:val="none" w:sz="0" w:space="0" w:color="auto"/>
      </w:divBdr>
    </w:div>
    <w:div w:id="1114591340">
      <w:bodyDiv w:val="1"/>
      <w:marLeft w:val="0"/>
      <w:marRight w:val="0"/>
      <w:marTop w:val="0"/>
      <w:marBottom w:val="0"/>
      <w:divBdr>
        <w:top w:val="none" w:sz="0" w:space="0" w:color="auto"/>
        <w:left w:val="none" w:sz="0" w:space="0" w:color="auto"/>
        <w:bottom w:val="none" w:sz="0" w:space="0" w:color="auto"/>
        <w:right w:val="none" w:sz="0" w:space="0" w:color="auto"/>
      </w:divBdr>
    </w:div>
    <w:div w:id="1120343525">
      <w:bodyDiv w:val="1"/>
      <w:marLeft w:val="0"/>
      <w:marRight w:val="0"/>
      <w:marTop w:val="0"/>
      <w:marBottom w:val="0"/>
      <w:divBdr>
        <w:top w:val="none" w:sz="0" w:space="0" w:color="auto"/>
        <w:left w:val="none" w:sz="0" w:space="0" w:color="auto"/>
        <w:bottom w:val="none" w:sz="0" w:space="0" w:color="auto"/>
        <w:right w:val="none" w:sz="0" w:space="0" w:color="auto"/>
      </w:divBdr>
    </w:div>
    <w:div w:id="1123811725">
      <w:bodyDiv w:val="1"/>
      <w:marLeft w:val="0"/>
      <w:marRight w:val="0"/>
      <w:marTop w:val="0"/>
      <w:marBottom w:val="0"/>
      <w:divBdr>
        <w:top w:val="none" w:sz="0" w:space="0" w:color="auto"/>
        <w:left w:val="none" w:sz="0" w:space="0" w:color="auto"/>
        <w:bottom w:val="none" w:sz="0" w:space="0" w:color="auto"/>
        <w:right w:val="none" w:sz="0" w:space="0" w:color="auto"/>
      </w:divBdr>
    </w:div>
    <w:div w:id="1125737503">
      <w:bodyDiv w:val="1"/>
      <w:marLeft w:val="0"/>
      <w:marRight w:val="0"/>
      <w:marTop w:val="0"/>
      <w:marBottom w:val="0"/>
      <w:divBdr>
        <w:top w:val="none" w:sz="0" w:space="0" w:color="auto"/>
        <w:left w:val="none" w:sz="0" w:space="0" w:color="auto"/>
        <w:bottom w:val="none" w:sz="0" w:space="0" w:color="auto"/>
        <w:right w:val="none" w:sz="0" w:space="0" w:color="auto"/>
      </w:divBdr>
    </w:div>
    <w:div w:id="1127695947">
      <w:bodyDiv w:val="1"/>
      <w:marLeft w:val="0"/>
      <w:marRight w:val="0"/>
      <w:marTop w:val="0"/>
      <w:marBottom w:val="0"/>
      <w:divBdr>
        <w:top w:val="none" w:sz="0" w:space="0" w:color="auto"/>
        <w:left w:val="none" w:sz="0" w:space="0" w:color="auto"/>
        <w:bottom w:val="none" w:sz="0" w:space="0" w:color="auto"/>
        <w:right w:val="none" w:sz="0" w:space="0" w:color="auto"/>
      </w:divBdr>
    </w:div>
    <w:div w:id="1127771590">
      <w:bodyDiv w:val="1"/>
      <w:marLeft w:val="0"/>
      <w:marRight w:val="0"/>
      <w:marTop w:val="0"/>
      <w:marBottom w:val="0"/>
      <w:divBdr>
        <w:top w:val="none" w:sz="0" w:space="0" w:color="auto"/>
        <w:left w:val="none" w:sz="0" w:space="0" w:color="auto"/>
        <w:bottom w:val="none" w:sz="0" w:space="0" w:color="auto"/>
        <w:right w:val="none" w:sz="0" w:space="0" w:color="auto"/>
      </w:divBdr>
    </w:div>
    <w:div w:id="1129126681">
      <w:bodyDiv w:val="1"/>
      <w:marLeft w:val="0"/>
      <w:marRight w:val="0"/>
      <w:marTop w:val="0"/>
      <w:marBottom w:val="0"/>
      <w:divBdr>
        <w:top w:val="none" w:sz="0" w:space="0" w:color="auto"/>
        <w:left w:val="none" w:sz="0" w:space="0" w:color="auto"/>
        <w:bottom w:val="none" w:sz="0" w:space="0" w:color="auto"/>
        <w:right w:val="none" w:sz="0" w:space="0" w:color="auto"/>
      </w:divBdr>
    </w:div>
    <w:div w:id="1129664879">
      <w:bodyDiv w:val="1"/>
      <w:marLeft w:val="0"/>
      <w:marRight w:val="0"/>
      <w:marTop w:val="0"/>
      <w:marBottom w:val="0"/>
      <w:divBdr>
        <w:top w:val="none" w:sz="0" w:space="0" w:color="auto"/>
        <w:left w:val="none" w:sz="0" w:space="0" w:color="auto"/>
        <w:bottom w:val="none" w:sz="0" w:space="0" w:color="auto"/>
        <w:right w:val="none" w:sz="0" w:space="0" w:color="auto"/>
      </w:divBdr>
    </w:div>
    <w:div w:id="113043577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02658">
      <w:bodyDiv w:val="1"/>
      <w:marLeft w:val="0"/>
      <w:marRight w:val="0"/>
      <w:marTop w:val="0"/>
      <w:marBottom w:val="0"/>
      <w:divBdr>
        <w:top w:val="none" w:sz="0" w:space="0" w:color="auto"/>
        <w:left w:val="none" w:sz="0" w:space="0" w:color="auto"/>
        <w:bottom w:val="none" w:sz="0" w:space="0" w:color="auto"/>
        <w:right w:val="none" w:sz="0" w:space="0" w:color="auto"/>
      </w:divBdr>
    </w:div>
    <w:div w:id="1141772722">
      <w:bodyDiv w:val="1"/>
      <w:marLeft w:val="0"/>
      <w:marRight w:val="0"/>
      <w:marTop w:val="0"/>
      <w:marBottom w:val="0"/>
      <w:divBdr>
        <w:top w:val="none" w:sz="0" w:space="0" w:color="auto"/>
        <w:left w:val="none" w:sz="0" w:space="0" w:color="auto"/>
        <w:bottom w:val="none" w:sz="0" w:space="0" w:color="auto"/>
        <w:right w:val="none" w:sz="0" w:space="0" w:color="auto"/>
      </w:divBdr>
    </w:div>
    <w:div w:id="1143691628">
      <w:bodyDiv w:val="1"/>
      <w:marLeft w:val="0"/>
      <w:marRight w:val="0"/>
      <w:marTop w:val="0"/>
      <w:marBottom w:val="0"/>
      <w:divBdr>
        <w:top w:val="none" w:sz="0" w:space="0" w:color="auto"/>
        <w:left w:val="none" w:sz="0" w:space="0" w:color="auto"/>
        <w:bottom w:val="none" w:sz="0" w:space="0" w:color="auto"/>
        <w:right w:val="none" w:sz="0" w:space="0" w:color="auto"/>
      </w:divBdr>
    </w:div>
    <w:div w:id="1146244690">
      <w:bodyDiv w:val="1"/>
      <w:marLeft w:val="0"/>
      <w:marRight w:val="0"/>
      <w:marTop w:val="0"/>
      <w:marBottom w:val="0"/>
      <w:divBdr>
        <w:top w:val="none" w:sz="0" w:space="0" w:color="auto"/>
        <w:left w:val="none" w:sz="0" w:space="0" w:color="auto"/>
        <w:bottom w:val="none" w:sz="0" w:space="0" w:color="auto"/>
        <w:right w:val="none" w:sz="0" w:space="0" w:color="auto"/>
      </w:divBdr>
    </w:div>
    <w:div w:id="1150319047">
      <w:bodyDiv w:val="1"/>
      <w:marLeft w:val="0"/>
      <w:marRight w:val="0"/>
      <w:marTop w:val="0"/>
      <w:marBottom w:val="0"/>
      <w:divBdr>
        <w:top w:val="none" w:sz="0" w:space="0" w:color="auto"/>
        <w:left w:val="none" w:sz="0" w:space="0" w:color="auto"/>
        <w:bottom w:val="none" w:sz="0" w:space="0" w:color="auto"/>
        <w:right w:val="none" w:sz="0" w:space="0" w:color="auto"/>
      </w:divBdr>
    </w:div>
    <w:div w:id="1151869054">
      <w:bodyDiv w:val="1"/>
      <w:marLeft w:val="0"/>
      <w:marRight w:val="0"/>
      <w:marTop w:val="0"/>
      <w:marBottom w:val="0"/>
      <w:divBdr>
        <w:top w:val="none" w:sz="0" w:space="0" w:color="auto"/>
        <w:left w:val="none" w:sz="0" w:space="0" w:color="auto"/>
        <w:bottom w:val="none" w:sz="0" w:space="0" w:color="auto"/>
        <w:right w:val="none" w:sz="0" w:space="0" w:color="auto"/>
      </w:divBdr>
    </w:div>
    <w:div w:id="1153253060">
      <w:bodyDiv w:val="1"/>
      <w:marLeft w:val="0"/>
      <w:marRight w:val="0"/>
      <w:marTop w:val="0"/>
      <w:marBottom w:val="0"/>
      <w:divBdr>
        <w:top w:val="none" w:sz="0" w:space="0" w:color="auto"/>
        <w:left w:val="none" w:sz="0" w:space="0" w:color="auto"/>
        <w:bottom w:val="none" w:sz="0" w:space="0" w:color="auto"/>
        <w:right w:val="none" w:sz="0" w:space="0" w:color="auto"/>
      </w:divBdr>
    </w:div>
    <w:div w:id="1158420994">
      <w:bodyDiv w:val="1"/>
      <w:marLeft w:val="0"/>
      <w:marRight w:val="0"/>
      <w:marTop w:val="0"/>
      <w:marBottom w:val="0"/>
      <w:divBdr>
        <w:top w:val="none" w:sz="0" w:space="0" w:color="auto"/>
        <w:left w:val="none" w:sz="0" w:space="0" w:color="auto"/>
        <w:bottom w:val="none" w:sz="0" w:space="0" w:color="auto"/>
        <w:right w:val="none" w:sz="0" w:space="0" w:color="auto"/>
      </w:divBdr>
    </w:div>
    <w:div w:id="1158423597">
      <w:bodyDiv w:val="1"/>
      <w:marLeft w:val="0"/>
      <w:marRight w:val="0"/>
      <w:marTop w:val="0"/>
      <w:marBottom w:val="0"/>
      <w:divBdr>
        <w:top w:val="none" w:sz="0" w:space="0" w:color="auto"/>
        <w:left w:val="none" w:sz="0" w:space="0" w:color="auto"/>
        <w:bottom w:val="none" w:sz="0" w:space="0" w:color="auto"/>
        <w:right w:val="none" w:sz="0" w:space="0" w:color="auto"/>
      </w:divBdr>
    </w:div>
    <w:div w:id="1162350493">
      <w:bodyDiv w:val="1"/>
      <w:marLeft w:val="0"/>
      <w:marRight w:val="0"/>
      <w:marTop w:val="0"/>
      <w:marBottom w:val="0"/>
      <w:divBdr>
        <w:top w:val="none" w:sz="0" w:space="0" w:color="auto"/>
        <w:left w:val="none" w:sz="0" w:space="0" w:color="auto"/>
        <w:bottom w:val="none" w:sz="0" w:space="0" w:color="auto"/>
        <w:right w:val="none" w:sz="0" w:space="0" w:color="auto"/>
      </w:divBdr>
    </w:div>
    <w:div w:id="1163277142">
      <w:bodyDiv w:val="1"/>
      <w:marLeft w:val="0"/>
      <w:marRight w:val="0"/>
      <w:marTop w:val="0"/>
      <w:marBottom w:val="0"/>
      <w:divBdr>
        <w:top w:val="none" w:sz="0" w:space="0" w:color="auto"/>
        <w:left w:val="none" w:sz="0" w:space="0" w:color="auto"/>
        <w:bottom w:val="none" w:sz="0" w:space="0" w:color="auto"/>
        <w:right w:val="none" w:sz="0" w:space="0" w:color="auto"/>
      </w:divBdr>
    </w:div>
    <w:div w:id="1164475251">
      <w:bodyDiv w:val="1"/>
      <w:marLeft w:val="0"/>
      <w:marRight w:val="0"/>
      <w:marTop w:val="0"/>
      <w:marBottom w:val="0"/>
      <w:divBdr>
        <w:top w:val="none" w:sz="0" w:space="0" w:color="auto"/>
        <w:left w:val="none" w:sz="0" w:space="0" w:color="auto"/>
        <w:bottom w:val="none" w:sz="0" w:space="0" w:color="auto"/>
        <w:right w:val="none" w:sz="0" w:space="0" w:color="auto"/>
      </w:divBdr>
    </w:div>
    <w:div w:id="1165323927">
      <w:bodyDiv w:val="1"/>
      <w:marLeft w:val="0"/>
      <w:marRight w:val="0"/>
      <w:marTop w:val="0"/>
      <w:marBottom w:val="0"/>
      <w:divBdr>
        <w:top w:val="none" w:sz="0" w:space="0" w:color="auto"/>
        <w:left w:val="none" w:sz="0" w:space="0" w:color="auto"/>
        <w:bottom w:val="none" w:sz="0" w:space="0" w:color="auto"/>
        <w:right w:val="none" w:sz="0" w:space="0" w:color="auto"/>
      </w:divBdr>
    </w:div>
    <w:div w:id="1167087614">
      <w:bodyDiv w:val="1"/>
      <w:marLeft w:val="0"/>
      <w:marRight w:val="0"/>
      <w:marTop w:val="0"/>
      <w:marBottom w:val="0"/>
      <w:divBdr>
        <w:top w:val="none" w:sz="0" w:space="0" w:color="auto"/>
        <w:left w:val="none" w:sz="0" w:space="0" w:color="auto"/>
        <w:bottom w:val="none" w:sz="0" w:space="0" w:color="auto"/>
        <w:right w:val="none" w:sz="0" w:space="0" w:color="auto"/>
      </w:divBdr>
    </w:div>
    <w:div w:id="1169297339">
      <w:bodyDiv w:val="1"/>
      <w:marLeft w:val="0"/>
      <w:marRight w:val="0"/>
      <w:marTop w:val="0"/>
      <w:marBottom w:val="0"/>
      <w:divBdr>
        <w:top w:val="none" w:sz="0" w:space="0" w:color="auto"/>
        <w:left w:val="none" w:sz="0" w:space="0" w:color="auto"/>
        <w:bottom w:val="none" w:sz="0" w:space="0" w:color="auto"/>
        <w:right w:val="none" w:sz="0" w:space="0" w:color="auto"/>
      </w:divBdr>
    </w:div>
    <w:div w:id="1172183018">
      <w:bodyDiv w:val="1"/>
      <w:marLeft w:val="0"/>
      <w:marRight w:val="0"/>
      <w:marTop w:val="0"/>
      <w:marBottom w:val="0"/>
      <w:divBdr>
        <w:top w:val="none" w:sz="0" w:space="0" w:color="auto"/>
        <w:left w:val="none" w:sz="0" w:space="0" w:color="auto"/>
        <w:bottom w:val="none" w:sz="0" w:space="0" w:color="auto"/>
        <w:right w:val="none" w:sz="0" w:space="0" w:color="auto"/>
      </w:divBdr>
    </w:div>
    <w:div w:id="1175145269">
      <w:bodyDiv w:val="1"/>
      <w:marLeft w:val="0"/>
      <w:marRight w:val="0"/>
      <w:marTop w:val="0"/>
      <w:marBottom w:val="0"/>
      <w:divBdr>
        <w:top w:val="none" w:sz="0" w:space="0" w:color="auto"/>
        <w:left w:val="none" w:sz="0" w:space="0" w:color="auto"/>
        <w:bottom w:val="none" w:sz="0" w:space="0" w:color="auto"/>
        <w:right w:val="none" w:sz="0" w:space="0" w:color="auto"/>
      </w:divBdr>
    </w:div>
    <w:div w:id="1175262579">
      <w:bodyDiv w:val="1"/>
      <w:marLeft w:val="0"/>
      <w:marRight w:val="0"/>
      <w:marTop w:val="0"/>
      <w:marBottom w:val="0"/>
      <w:divBdr>
        <w:top w:val="none" w:sz="0" w:space="0" w:color="auto"/>
        <w:left w:val="none" w:sz="0" w:space="0" w:color="auto"/>
        <w:bottom w:val="none" w:sz="0" w:space="0" w:color="auto"/>
        <w:right w:val="none" w:sz="0" w:space="0" w:color="auto"/>
      </w:divBdr>
    </w:div>
    <w:div w:id="1176530982">
      <w:bodyDiv w:val="1"/>
      <w:marLeft w:val="0"/>
      <w:marRight w:val="0"/>
      <w:marTop w:val="0"/>
      <w:marBottom w:val="0"/>
      <w:divBdr>
        <w:top w:val="none" w:sz="0" w:space="0" w:color="auto"/>
        <w:left w:val="none" w:sz="0" w:space="0" w:color="auto"/>
        <w:bottom w:val="none" w:sz="0" w:space="0" w:color="auto"/>
        <w:right w:val="none" w:sz="0" w:space="0" w:color="auto"/>
      </w:divBdr>
    </w:div>
    <w:div w:id="1180118615">
      <w:bodyDiv w:val="1"/>
      <w:marLeft w:val="0"/>
      <w:marRight w:val="0"/>
      <w:marTop w:val="0"/>
      <w:marBottom w:val="0"/>
      <w:divBdr>
        <w:top w:val="none" w:sz="0" w:space="0" w:color="auto"/>
        <w:left w:val="none" w:sz="0" w:space="0" w:color="auto"/>
        <w:bottom w:val="none" w:sz="0" w:space="0" w:color="auto"/>
        <w:right w:val="none" w:sz="0" w:space="0" w:color="auto"/>
      </w:divBdr>
    </w:div>
    <w:div w:id="1181437037">
      <w:bodyDiv w:val="1"/>
      <w:marLeft w:val="0"/>
      <w:marRight w:val="0"/>
      <w:marTop w:val="0"/>
      <w:marBottom w:val="0"/>
      <w:divBdr>
        <w:top w:val="none" w:sz="0" w:space="0" w:color="auto"/>
        <w:left w:val="none" w:sz="0" w:space="0" w:color="auto"/>
        <w:bottom w:val="none" w:sz="0" w:space="0" w:color="auto"/>
        <w:right w:val="none" w:sz="0" w:space="0" w:color="auto"/>
      </w:divBdr>
    </w:div>
    <w:div w:id="1182666417">
      <w:bodyDiv w:val="1"/>
      <w:marLeft w:val="0"/>
      <w:marRight w:val="0"/>
      <w:marTop w:val="0"/>
      <w:marBottom w:val="0"/>
      <w:divBdr>
        <w:top w:val="none" w:sz="0" w:space="0" w:color="auto"/>
        <w:left w:val="none" w:sz="0" w:space="0" w:color="auto"/>
        <w:bottom w:val="none" w:sz="0" w:space="0" w:color="auto"/>
        <w:right w:val="none" w:sz="0" w:space="0" w:color="auto"/>
      </w:divBdr>
    </w:div>
    <w:div w:id="1182820568">
      <w:bodyDiv w:val="1"/>
      <w:marLeft w:val="0"/>
      <w:marRight w:val="0"/>
      <w:marTop w:val="0"/>
      <w:marBottom w:val="0"/>
      <w:divBdr>
        <w:top w:val="none" w:sz="0" w:space="0" w:color="auto"/>
        <w:left w:val="none" w:sz="0" w:space="0" w:color="auto"/>
        <w:bottom w:val="none" w:sz="0" w:space="0" w:color="auto"/>
        <w:right w:val="none" w:sz="0" w:space="0" w:color="auto"/>
      </w:divBdr>
    </w:div>
    <w:div w:id="1186141979">
      <w:bodyDiv w:val="1"/>
      <w:marLeft w:val="0"/>
      <w:marRight w:val="0"/>
      <w:marTop w:val="0"/>
      <w:marBottom w:val="0"/>
      <w:divBdr>
        <w:top w:val="none" w:sz="0" w:space="0" w:color="auto"/>
        <w:left w:val="none" w:sz="0" w:space="0" w:color="auto"/>
        <w:bottom w:val="none" w:sz="0" w:space="0" w:color="auto"/>
        <w:right w:val="none" w:sz="0" w:space="0" w:color="auto"/>
      </w:divBdr>
    </w:div>
    <w:div w:id="1187060924">
      <w:bodyDiv w:val="1"/>
      <w:marLeft w:val="0"/>
      <w:marRight w:val="0"/>
      <w:marTop w:val="0"/>
      <w:marBottom w:val="0"/>
      <w:divBdr>
        <w:top w:val="none" w:sz="0" w:space="0" w:color="auto"/>
        <w:left w:val="none" w:sz="0" w:space="0" w:color="auto"/>
        <w:bottom w:val="none" w:sz="0" w:space="0" w:color="auto"/>
        <w:right w:val="none" w:sz="0" w:space="0" w:color="auto"/>
      </w:divBdr>
    </w:div>
    <w:div w:id="1188984717">
      <w:bodyDiv w:val="1"/>
      <w:marLeft w:val="0"/>
      <w:marRight w:val="0"/>
      <w:marTop w:val="0"/>
      <w:marBottom w:val="0"/>
      <w:divBdr>
        <w:top w:val="none" w:sz="0" w:space="0" w:color="auto"/>
        <w:left w:val="none" w:sz="0" w:space="0" w:color="auto"/>
        <w:bottom w:val="none" w:sz="0" w:space="0" w:color="auto"/>
        <w:right w:val="none" w:sz="0" w:space="0" w:color="auto"/>
      </w:divBdr>
    </w:div>
    <w:div w:id="1189948042">
      <w:bodyDiv w:val="1"/>
      <w:marLeft w:val="0"/>
      <w:marRight w:val="0"/>
      <w:marTop w:val="0"/>
      <w:marBottom w:val="0"/>
      <w:divBdr>
        <w:top w:val="none" w:sz="0" w:space="0" w:color="auto"/>
        <w:left w:val="none" w:sz="0" w:space="0" w:color="auto"/>
        <w:bottom w:val="none" w:sz="0" w:space="0" w:color="auto"/>
        <w:right w:val="none" w:sz="0" w:space="0" w:color="auto"/>
      </w:divBdr>
    </w:div>
    <w:div w:id="1190414246">
      <w:bodyDiv w:val="1"/>
      <w:marLeft w:val="0"/>
      <w:marRight w:val="0"/>
      <w:marTop w:val="0"/>
      <w:marBottom w:val="0"/>
      <w:divBdr>
        <w:top w:val="none" w:sz="0" w:space="0" w:color="auto"/>
        <w:left w:val="none" w:sz="0" w:space="0" w:color="auto"/>
        <w:bottom w:val="none" w:sz="0" w:space="0" w:color="auto"/>
        <w:right w:val="none" w:sz="0" w:space="0" w:color="auto"/>
      </w:divBdr>
    </w:div>
    <w:div w:id="1191990604">
      <w:bodyDiv w:val="1"/>
      <w:marLeft w:val="0"/>
      <w:marRight w:val="0"/>
      <w:marTop w:val="0"/>
      <w:marBottom w:val="0"/>
      <w:divBdr>
        <w:top w:val="none" w:sz="0" w:space="0" w:color="auto"/>
        <w:left w:val="none" w:sz="0" w:space="0" w:color="auto"/>
        <w:bottom w:val="none" w:sz="0" w:space="0" w:color="auto"/>
        <w:right w:val="none" w:sz="0" w:space="0" w:color="auto"/>
      </w:divBdr>
    </w:div>
    <w:div w:id="1192114009">
      <w:bodyDiv w:val="1"/>
      <w:marLeft w:val="0"/>
      <w:marRight w:val="0"/>
      <w:marTop w:val="0"/>
      <w:marBottom w:val="0"/>
      <w:divBdr>
        <w:top w:val="none" w:sz="0" w:space="0" w:color="auto"/>
        <w:left w:val="none" w:sz="0" w:space="0" w:color="auto"/>
        <w:bottom w:val="none" w:sz="0" w:space="0" w:color="auto"/>
        <w:right w:val="none" w:sz="0" w:space="0" w:color="auto"/>
      </w:divBdr>
    </w:div>
    <w:div w:id="1199319369">
      <w:bodyDiv w:val="1"/>
      <w:marLeft w:val="0"/>
      <w:marRight w:val="0"/>
      <w:marTop w:val="0"/>
      <w:marBottom w:val="0"/>
      <w:divBdr>
        <w:top w:val="none" w:sz="0" w:space="0" w:color="auto"/>
        <w:left w:val="none" w:sz="0" w:space="0" w:color="auto"/>
        <w:bottom w:val="none" w:sz="0" w:space="0" w:color="auto"/>
        <w:right w:val="none" w:sz="0" w:space="0" w:color="auto"/>
      </w:divBdr>
    </w:div>
    <w:div w:id="1200973071">
      <w:bodyDiv w:val="1"/>
      <w:marLeft w:val="0"/>
      <w:marRight w:val="0"/>
      <w:marTop w:val="0"/>
      <w:marBottom w:val="0"/>
      <w:divBdr>
        <w:top w:val="none" w:sz="0" w:space="0" w:color="auto"/>
        <w:left w:val="none" w:sz="0" w:space="0" w:color="auto"/>
        <w:bottom w:val="none" w:sz="0" w:space="0" w:color="auto"/>
        <w:right w:val="none" w:sz="0" w:space="0" w:color="auto"/>
      </w:divBdr>
    </w:div>
    <w:div w:id="120135539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2861235">
      <w:bodyDiv w:val="1"/>
      <w:marLeft w:val="0"/>
      <w:marRight w:val="0"/>
      <w:marTop w:val="0"/>
      <w:marBottom w:val="0"/>
      <w:divBdr>
        <w:top w:val="none" w:sz="0" w:space="0" w:color="auto"/>
        <w:left w:val="none" w:sz="0" w:space="0" w:color="auto"/>
        <w:bottom w:val="none" w:sz="0" w:space="0" w:color="auto"/>
        <w:right w:val="none" w:sz="0" w:space="0" w:color="auto"/>
      </w:divBdr>
    </w:div>
    <w:div w:id="1206676302">
      <w:bodyDiv w:val="1"/>
      <w:marLeft w:val="0"/>
      <w:marRight w:val="0"/>
      <w:marTop w:val="0"/>
      <w:marBottom w:val="0"/>
      <w:divBdr>
        <w:top w:val="none" w:sz="0" w:space="0" w:color="auto"/>
        <w:left w:val="none" w:sz="0" w:space="0" w:color="auto"/>
        <w:bottom w:val="none" w:sz="0" w:space="0" w:color="auto"/>
        <w:right w:val="none" w:sz="0" w:space="0" w:color="auto"/>
      </w:divBdr>
    </w:div>
    <w:div w:id="1207062006">
      <w:bodyDiv w:val="1"/>
      <w:marLeft w:val="0"/>
      <w:marRight w:val="0"/>
      <w:marTop w:val="0"/>
      <w:marBottom w:val="0"/>
      <w:divBdr>
        <w:top w:val="none" w:sz="0" w:space="0" w:color="auto"/>
        <w:left w:val="none" w:sz="0" w:space="0" w:color="auto"/>
        <w:bottom w:val="none" w:sz="0" w:space="0" w:color="auto"/>
        <w:right w:val="none" w:sz="0" w:space="0" w:color="auto"/>
      </w:divBdr>
    </w:div>
    <w:div w:id="1215118713">
      <w:bodyDiv w:val="1"/>
      <w:marLeft w:val="0"/>
      <w:marRight w:val="0"/>
      <w:marTop w:val="0"/>
      <w:marBottom w:val="0"/>
      <w:divBdr>
        <w:top w:val="none" w:sz="0" w:space="0" w:color="auto"/>
        <w:left w:val="none" w:sz="0" w:space="0" w:color="auto"/>
        <w:bottom w:val="none" w:sz="0" w:space="0" w:color="auto"/>
        <w:right w:val="none" w:sz="0" w:space="0" w:color="auto"/>
      </w:divBdr>
    </w:div>
    <w:div w:id="1215461369">
      <w:bodyDiv w:val="1"/>
      <w:marLeft w:val="0"/>
      <w:marRight w:val="0"/>
      <w:marTop w:val="0"/>
      <w:marBottom w:val="0"/>
      <w:divBdr>
        <w:top w:val="none" w:sz="0" w:space="0" w:color="auto"/>
        <w:left w:val="none" w:sz="0" w:space="0" w:color="auto"/>
        <w:bottom w:val="none" w:sz="0" w:space="0" w:color="auto"/>
        <w:right w:val="none" w:sz="0" w:space="0" w:color="auto"/>
      </w:divBdr>
    </w:div>
    <w:div w:id="1215653246">
      <w:bodyDiv w:val="1"/>
      <w:marLeft w:val="0"/>
      <w:marRight w:val="0"/>
      <w:marTop w:val="0"/>
      <w:marBottom w:val="0"/>
      <w:divBdr>
        <w:top w:val="none" w:sz="0" w:space="0" w:color="auto"/>
        <w:left w:val="none" w:sz="0" w:space="0" w:color="auto"/>
        <w:bottom w:val="none" w:sz="0" w:space="0" w:color="auto"/>
        <w:right w:val="none" w:sz="0" w:space="0" w:color="auto"/>
      </w:divBdr>
    </w:div>
    <w:div w:id="1216309843">
      <w:bodyDiv w:val="1"/>
      <w:marLeft w:val="0"/>
      <w:marRight w:val="0"/>
      <w:marTop w:val="0"/>
      <w:marBottom w:val="0"/>
      <w:divBdr>
        <w:top w:val="none" w:sz="0" w:space="0" w:color="auto"/>
        <w:left w:val="none" w:sz="0" w:space="0" w:color="auto"/>
        <w:bottom w:val="none" w:sz="0" w:space="0" w:color="auto"/>
        <w:right w:val="none" w:sz="0" w:space="0" w:color="auto"/>
      </w:divBdr>
    </w:div>
    <w:div w:id="1216547971">
      <w:bodyDiv w:val="1"/>
      <w:marLeft w:val="0"/>
      <w:marRight w:val="0"/>
      <w:marTop w:val="0"/>
      <w:marBottom w:val="0"/>
      <w:divBdr>
        <w:top w:val="none" w:sz="0" w:space="0" w:color="auto"/>
        <w:left w:val="none" w:sz="0" w:space="0" w:color="auto"/>
        <w:bottom w:val="none" w:sz="0" w:space="0" w:color="auto"/>
        <w:right w:val="none" w:sz="0" w:space="0" w:color="auto"/>
      </w:divBdr>
    </w:div>
    <w:div w:id="1217467279">
      <w:bodyDiv w:val="1"/>
      <w:marLeft w:val="0"/>
      <w:marRight w:val="0"/>
      <w:marTop w:val="0"/>
      <w:marBottom w:val="0"/>
      <w:divBdr>
        <w:top w:val="none" w:sz="0" w:space="0" w:color="auto"/>
        <w:left w:val="none" w:sz="0" w:space="0" w:color="auto"/>
        <w:bottom w:val="none" w:sz="0" w:space="0" w:color="auto"/>
        <w:right w:val="none" w:sz="0" w:space="0" w:color="auto"/>
      </w:divBdr>
    </w:div>
    <w:div w:id="1219903921">
      <w:bodyDiv w:val="1"/>
      <w:marLeft w:val="0"/>
      <w:marRight w:val="0"/>
      <w:marTop w:val="0"/>
      <w:marBottom w:val="0"/>
      <w:divBdr>
        <w:top w:val="none" w:sz="0" w:space="0" w:color="auto"/>
        <w:left w:val="none" w:sz="0" w:space="0" w:color="auto"/>
        <w:bottom w:val="none" w:sz="0" w:space="0" w:color="auto"/>
        <w:right w:val="none" w:sz="0" w:space="0" w:color="auto"/>
      </w:divBdr>
    </w:div>
    <w:div w:id="1222181255">
      <w:bodyDiv w:val="1"/>
      <w:marLeft w:val="0"/>
      <w:marRight w:val="0"/>
      <w:marTop w:val="0"/>
      <w:marBottom w:val="0"/>
      <w:divBdr>
        <w:top w:val="none" w:sz="0" w:space="0" w:color="auto"/>
        <w:left w:val="none" w:sz="0" w:space="0" w:color="auto"/>
        <w:bottom w:val="none" w:sz="0" w:space="0" w:color="auto"/>
        <w:right w:val="none" w:sz="0" w:space="0" w:color="auto"/>
      </w:divBdr>
    </w:div>
    <w:div w:id="1222909017">
      <w:bodyDiv w:val="1"/>
      <w:marLeft w:val="0"/>
      <w:marRight w:val="0"/>
      <w:marTop w:val="0"/>
      <w:marBottom w:val="0"/>
      <w:divBdr>
        <w:top w:val="none" w:sz="0" w:space="0" w:color="auto"/>
        <w:left w:val="none" w:sz="0" w:space="0" w:color="auto"/>
        <w:bottom w:val="none" w:sz="0" w:space="0" w:color="auto"/>
        <w:right w:val="none" w:sz="0" w:space="0" w:color="auto"/>
      </w:divBdr>
    </w:div>
    <w:div w:id="1225751794">
      <w:bodyDiv w:val="1"/>
      <w:marLeft w:val="0"/>
      <w:marRight w:val="0"/>
      <w:marTop w:val="0"/>
      <w:marBottom w:val="0"/>
      <w:divBdr>
        <w:top w:val="none" w:sz="0" w:space="0" w:color="auto"/>
        <w:left w:val="none" w:sz="0" w:space="0" w:color="auto"/>
        <w:bottom w:val="none" w:sz="0" w:space="0" w:color="auto"/>
        <w:right w:val="none" w:sz="0" w:space="0" w:color="auto"/>
      </w:divBdr>
    </w:div>
    <w:div w:id="1228345759">
      <w:bodyDiv w:val="1"/>
      <w:marLeft w:val="0"/>
      <w:marRight w:val="0"/>
      <w:marTop w:val="0"/>
      <w:marBottom w:val="0"/>
      <w:divBdr>
        <w:top w:val="none" w:sz="0" w:space="0" w:color="auto"/>
        <w:left w:val="none" w:sz="0" w:space="0" w:color="auto"/>
        <w:bottom w:val="none" w:sz="0" w:space="0" w:color="auto"/>
        <w:right w:val="none" w:sz="0" w:space="0" w:color="auto"/>
      </w:divBdr>
    </w:div>
    <w:div w:id="1228611883">
      <w:bodyDiv w:val="1"/>
      <w:marLeft w:val="0"/>
      <w:marRight w:val="0"/>
      <w:marTop w:val="0"/>
      <w:marBottom w:val="0"/>
      <w:divBdr>
        <w:top w:val="none" w:sz="0" w:space="0" w:color="auto"/>
        <w:left w:val="none" w:sz="0" w:space="0" w:color="auto"/>
        <w:bottom w:val="none" w:sz="0" w:space="0" w:color="auto"/>
        <w:right w:val="none" w:sz="0" w:space="0" w:color="auto"/>
      </w:divBdr>
    </w:div>
    <w:div w:id="1233420009">
      <w:bodyDiv w:val="1"/>
      <w:marLeft w:val="0"/>
      <w:marRight w:val="0"/>
      <w:marTop w:val="0"/>
      <w:marBottom w:val="0"/>
      <w:divBdr>
        <w:top w:val="none" w:sz="0" w:space="0" w:color="auto"/>
        <w:left w:val="none" w:sz="0" w:space="0" w:color="auto"/>
        <w:bottom w:val="none" w:sz="0" w:space="0" w:color="auto"/>
        <w:right w:val="none" w:sz="0" w:space="0" w:color="auto"/>
      </w:divBdr>
    </w:div>
    <w:div w:id="1237007785">
      <w:bodyDiv w:val="1"/>
      <w:marLeft w:val="0"/>
      <w:marRight w:val="0"/>
      <w:marTop w:val="0"/>
      <w:marBottom w:val="0"/>
      <w:divBdr>
        <w:top w:val="none" w:sz="0" w:space="0" w:color="auto"/>
        <w:left w:val="none" w:sz="0" w:space="0" w:color="auto"/>
        <w:bottom w:val="none" w:sz="0" w:space="0" w:color="auto"/>
        <w:right w:val="none" w:sz="0" w:space="0" w:color="auto"/>
      </w:divBdr>
    </w:div>
    <w:div w:id="1238006727">
      <w:bodyDiv w:val="1"/>
      <w:marLeft w:val="0"/>
      <w:marRight w:val="0"/>
      <w:marTop w:val="0"/>
      <w:marBottom w:val="0"/>
      <w:divBdr>
        <w:top w:val="none" w:sz="0" w:space="0" w:color="auto"/>
        <w:left w:val="none" w:sz="0" w:space="0" w:color="auto"/>
        <w:bottom w:val="none" w:sz="0" w:space="0" w:color="auto"/>
        <w:right w:val="none" w:sz="0" w:space="0" w:color="auto"/>
      </w:divBdr>
    </w:div>
    <w:div w:id="1239166949">
      <w:bodyDiv w:val="1"/>
      <w:marLeft w:val="0"/>
      <w:marRight w:val="0"/>
      <w:marTop w:val="0"/>
      <w:marBottom w:val="0"/>
      <w:divBdr>
        <w:top w:val="none" w:sz="0" w:space="0" w:color="auto"/>
        <w:left w:val="none" w:sz="0" w:space="0" w:color="auto"/>
        <w:bottom w:val="none" w:sz="0" w:space="0" w:color="auto"/>
        <w:right w:val="none" w:sz="0" w:space="0" w:color="auto"/>
      </w:divBdr>
    </w:div>
    <w:div w:id="1239906052">
      <w:bodyDiv w:val="1"/>
      <w:marLeft w:val="0"/>
      <w:marRight w:val="0"/>
      <w:marTop w:val="0"/>
      <w:marBottom w:val="0"/>
      <w:divBdr>
        <w:top w:val="none" w:sz="0" w:space="0" w:color="auto"/>
        <w:left w:val="none" w:sz="0" w:space="0" w:color="auto"/>
        <w:bottom w:val="none" w:sz="0" w:space="0" w:color="auto"/>
        <w:right w:val="none" w:sz="0" w:space="0" w:color="auto"/>
      </w:divBdr>
    </w:div>
    <w:div w:id="1241017144">
      <w:bodyDiv w:val="1"/>
      <w:marLeft w:val="0"/>
      <w:marRight w:val="0"/>
      <w:marTop w:val="0"/>
      <w:marBottom w:val="0"/>
      <w:divBdr>
        <w:top w:val="none" w:sz="0" w:space="0" w:color="auto"/>
        <w:left w:val="none" w:sz="0" w:space="0" w:color="auto"/>
        <w:bottom w:val="none" w:sz="0" w:space="0" w:color="auto"/>
        <w:right w:val="none" w:sz="0" w:space="0" w:color="auto"/>
      </w:divBdr>
    </w:div>
    <w:div w:id="1241863141">
      <w:bodyDiv w:val="1"/>
      <w:marLeft w:val="0"/>
      <w:marRight w:val="0"/>
      <w:marTop w:val="0"/>
      <w:marBottom w:val="0"/>
      <w:divBdr>
        <w:top w:val="none" w:sz="0" w:space="0" w:color="auto"/>
        <w:left w:val="none" w:sz="0" w:space="0" w:color="auto"/>
        <w:bottom w:val="none" w:sz="0" w:space="0" w:color="auto"/>
        <w:right w:val="none" w:sz="0" w:space="0" w:color="auto"/>
      </w:divBdr>
    </w:div>
    <w:div w:id="1241872323">
      <w:bodyDiv w:val="1"/>
      <w:marLeft w:val="0"/>
      <w:marRight w:val="0"/>
      <w:marTop w:val="0"/>
      <w:marBottom w:val="0"/>
      <w:divBdr>
        <w:top w:val="none" w:sz="0" w:space="0" w:color="auto"/>
        <w:left w:val="none" w:sz="0" w:space="0" w:color="auto"/>
        <w:bottom w:val="none" w:sz="0" w:space="0" w:color="auto"/>
        <w:right w:val="none" w:sz="0" w:space="0" w:color="auto"/>
      </w:divBdr>
    </w:div>
    <w:div w:id="1242831339">
      <w:bodyDiv w:val="1"/>
      <w:marLeft w:val="0"/>
      <w:marRight w:val="0"/>
      <w:marTop w:val="0"/>
      <w:marBottom w:val="0"/>
      <w:divBdr>
        <w:top w:val="none" w:sz="0" w:space="0" w:color="auto"/>
        <w:left w:val="none" w:sz="0" w:space="0" w:color="auto"/>
        <w:bottom w:val="none" w:sz="0" w:space="0" w:color="auto"/>
        <w:right w:val="none" w:sz="0" w:space="0" w:color="auto"/>
      </w:divBdr>
    </w:div>
    <w:div w:id="1244683412">
      <w:bodyDiv w:val="1"/>
      <w:marLeft w:val="0"/>
      <w:marRight w:val="0"/>
      <w:marTop w:val="0"/>
      <w:marBottom w:val="0"/>
      <w:divBdr>
        <w:top w:val="none" w:sz="0" w:space="0" w:color="auto"/>
        <w:left w:val="none" w:sz="0" w:space="0" w:color="auto"/>
        <w:bottom w:val="none" w:sz="0" w:space="0" w:color="auto"/>
        <w:right w:val="none" w:sz="0" w:space="0" w:color="auto"/>
      </w:divBdr>
    </w:div>
    <w:div w:id="1246723258">
      <w:bodyDiv w:val="1"/>
      <w:marLeft w:val="0"/>
      <w:marRight w:val="0"/>
      <w:marTop w:val="0"/>
      <w:marBottom w:val="0"/>
      <w:divBdr>
        <w:top w:val="none" w:sz="0" w:space="0" w:color="auto"/>
        <w:left w:val="none" w:sz="0" w:space="0" w:color="auto"/>
        <w:bottom w:val="none" w:sz="0" w:space="0" w:color="auto"/>
        <w:right w:val="none" w:sz="0" w:space="0" w:color="auto"/>
      </w:divBdr>
    </w:div>
    <w:div w:id="1246919023">
      <w:bodyDiv w:val="1"/>
      <w:marLeft w:val="0"/>
      <w:marRight w:val="0"/>
      <w:marTop w:val="0"/>
      <w:marBottom w:val="0"/>
      <w:divBdr>
        <w:top w:val="none" w:sz="0" w:space="0" w:color="auto"/>
        <w:left w:val="none" w:sz="0" w:space="0" w:color="auto"/>
        <w:bottom w:val="none" w:sz="0" w:space="0" w:color="auto"/>
        <w:right w:val="none" w:sz="0" w:space="0" w:color="auto"/>
      </w:divBdr>
    </w:div>
    <w:div w:id="1254437420">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908122">
      <w:bodyDiv w:val="1"/>
      <w:marLeft w:val="0"/>
      <w:marRight w:val="0"/>
      <w:marTop w:val="0"/>
      <w:marBottom w:val="0"/>
      <w:divBdr>
        <w:top w:val="none" w:sz="0" w:space="0" w:color="auto"/>
        <w:left w:val="none" w:sz="0" w:space="0" w:color="auto"/>
        <w:bottom w:val="none" w:sz="0" w:space="0" w:color="auto"/>
        <w:right w:val="none" w:sz="0" w:space="0" w:color="auto"/>
      </w:divBdr>
    </w:div>
    <w:div w:id="1259370473">
      <w:bodyDiv w:val="1"/>
      <w:marLeft w:val="0"/>
      <w:marRight w:val="0"/>
      <w:marTop w:val="0"/>
      <w:marBottom w:val="0"/>
      <w:divBdr>
        <w:top w:val="none" w:sz="0" w:space="0" w:color="auto"/>
        <w:left w:val="none" w:sz="0" w:space="0" w:color="auto"/>
        <w:bottom w:val="none" w:sz="0" w:space="0" w:color="auto"/>
        <w:right w:val="none" w:sz="0" w:space="0" w:color="auto"/>
      </w:divBdr>
    </w:div>
    <w:div w:id="1264992871">
      <w:bodyDiv w:val="1"/>
      <w:marLeft w:val="0"/>
      <w:marRight w:val="0"/>
      <w:marTop w:val="0"/>
      <w:marBottom w:val="0"/>
      <w:divBdr>
        <w:top w:val="none" w:sz="0" w:space="0" w:color="auto"/>
        <w:left w:val="none" w:sz="0" w:space="0" w:color="auto"/>
        <w:bottom w:val="none" w:sz="0" w:space="0" w:color="auto"/>
        <w:right w:val="none" w:sz="0" w:space="0" w:color="auto"/>
      </w:divBdr>
    </w:div>
    <w:div w:id="1269509602">
      <w:bodyDiv w:val="1"/>
      <w:marLeft w:val="0"/>
      <w:marRight w:val="0"/>
      <w:marTop w:val="0"/>
      <w:marBottom w:val="0"/>
      <w:divBdr>
        <w:top w:val="none" w:sz="0" w:space="0" w:color="auto"/>
        <w:left w:val="none" w:sz="0" w:space="0" w:color="auto"/>
        <w:bottom w:val="none" w:sz="0" w:space="0" w:color="auto"/>
        <w:right w:val="none" w:sz="0" w:space="0" w:color="auto"/>
      </w:divBdr>
    </w:div>
    <w:div w:id="1272781233">
      <w:bodyDiv w:val="1"/>
      <w:marLeft w:val="0"/>
      <w:marRight w:val="0"/>
      <w:marTop w:val="0"/>
      <w:marBottom w:val="0"/>
      <w:divBdr>
        <w:top w:val="none" w:sz="0" w:space="0" w:color="auto"/>
        <w:left w:val="none" w:sz="0" w:space="0" w:color="auto"/>
        <w:bottom w:val="none" w:sz="0" w:space="0" w:color="auto"/>
        <w:right w:val="none" w:sz="0" w:space="0" w:color="auto"/>
      </w:divBdr>
    </w:div>
    <w:div w:id="1276332222">
      <w:bodyDiv w:val="1"/>
      <w:marLeft w:val="0"/>
      <w:marRight w:val="0"/>
      <w:marTop w:val="0"/>
      <w:marBottom w:val="0"/>
      <w:divBdr>
        <w:top w:val="none" w:sz="0" w:space="0" w:color="auto"/>
        <w:left w:val="none" w:sz="0" w:space="0" w:color="auto"/>
        <w:bottom w:val="none" w:sz="0" w:space="0" w:color="auto"/>
        <w:right w:val="none" w:sz="0" w:space="0" w:color="auto"/>
      </w:divBdr>
    </w:div>
    <w:div w:id="1277641205">
      <w:bodyDiv w:val="1"/>
      <w:marLeft w:val="0"/>
      <w:marRight w:val="0"/>
      <w:marTop w:val="0"/>
      <w:marBottom w:val="0"/>
      <w:divBdr>
        <w:top w:val="none" w:sz="0" w:space="0" w:color="auto"/>
        <w:left w:val="none" w:sz="0" w:space="0" w:color="auto"/>
        <w:bottom w:val="none" w:sz="0" w:space="0" w:color="auto"/>
        <w:right w:val="none" w:sz="0" w:space="0" w:color="auto"/>
      </w:divBdr>
    </w:div>
    <w:div w:id="1280718345">
      <w:bodyDiv w:val="1"/>
      <w:marLeft w:val="0"/>
      <w:marRight w:val="0"/>
      <w:marTop w:val="0"/>
      <w:marBottom w:val="0"/>
      <w:divBdr>
        <w:top w:val="none" w:sz="0" w:space="0" w:color="auto"/>
        <w:left w:val="none" w:sz="0" w:space="0" w:color="auto"/>
        <w:bottom w:val="none" w:sz="0" w:space="0" w:color="auto"/>
        <w:right w:val="none" w:sz="0" w:space="0" w:color="auto"/>
      </w:divBdr>
    </w:div>
    <w:div w:id="1282610563">
      <w:bodyDiv w:val="1"/>
      <w:marLeft w:val="0"/>
      <w:marRight w:val="0"/>
      <w:marTop w:val="0"/>
      <w:marBottom w:val="0"/>
      <w:divBdr>
        <w:top w:val="none" w:sz="0" w:space="0" w:color="auto"/>
        <w:left w:val="none" w:sz="0" w:space="0" w:color="auto"/>
        <w:bottom w:val="none" w:sz="0" w:space="0" w:color="auto"/>
        <w:right w:val="none" w:sz="0" w:space="0" w:color="auto"/>
      </w:divBdr>
    </w:div>
    <w:div w:id="1287086030">
      <w:bodyDiv w:val="1"/>
      <w:marLeft w:val="0"/>
      <w:marRight w:val="0"/>
      <w:marTop w:val="0"/>
      <w:marBottom w:val="0"/>
      <w:divBdr>
        <w:top w:val="none" w:sz="0" w:space="0" w:color="auto"/>
        <w:left w:val="none" w:sz="0" w:space="0" w:color="auto"/>
        <w:bottom w:val="none" w:sz="0" w:space="0" w:color="auto"/>
        <w:right w:val="none" w:sz="0" w:space="0" w:color="auto"/>
      </w:divBdr>
    </w:div>
    <w:div w:id="1288045135">
      <w:bodyDiv w:val="1"/>
      <w:marLeft w:val="0"/>
      <w:marRight w:val="0"/>
      <w:marTop w:val="0"/>
      <w:marBottom w:val="0"/>
      <w:divBdr>
        <w:top w:val="none" w:sz="0" w:space="0" w:color="auto"/>
        <w:left w:val="none" w:sz="0" w:space="0" w:color="auto"/>
        <w:bottom w:val="none" w:sz="0" w:space="0" w:color="auto"/>
        <w:right w:val="none" w:sz="0" w:space="0" w:color="auto"/>
      </w:divBdr>
    </w:div>
    <w:div w:id="1291321463">
      <w:bodyDiv w:val="1"/>
      <w:marLeft w:val="0"/>
      <w:marRight w:val="0"/>
      <w:marTop w:val="0"/>
      <w:marBottom w:val="0"/>
      <w:divBdr>
        <w:top w:val="none" w:sz="0" w:space="0" w:color="auto"/>
        <w:left w:val="none" w:sz="0" w:space="0" w:color="auto"/>
        <w:bottom w:val="none" w:sz="0" w:space="0" w:color="auto"/>
        <w:right w:val="none" w:sz="0" w:space="0" w:color="auto"/>
      </w:divBdr>
    </w:div>
    <w:div w:id="1295135863">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01810362">
      <w:bodyDiv w:val="1"/>
      <w:marLeft w:val="0"/>
      <w:marRight w:val="0"/>
      <w:marTop w:val="0"/>
      <w:marBottom w:val="0"/>
      <w:divBdr>
        <w:top w:val="none" w:sz="0" w:space="0" w:color="auto"/>
        <w:left w:val="none" w:sz="0" w:space="0" w:color="auto"/>
        <w:bottom w:val="none" w:sz="0" w:space="0" w:color="auto"/>
        <w:right w:val="none" w:sz="0" w:space="0" w:color="auto"/>
      </w:divBdr>
    </w:div>
    <w:div w:id="1304853784">
      <w:bodyDiv w:val="1"/>
      <w:marLeft w:val="0"/>
      <w:marRight w:val="0"/>
      <w:marTop w:val="0"/>
      <w:marBottom w:val="0"/>
      <w:divBdr>
        <w:top w:val="none" w:sz="0" w:space="0" w:color="auto"/>
        <w:left w:val="none" w:sz="0" w:space="0" w:color="auto"/>
        <w:bottom w:val="none" w:sz="0" w:space="0" w:color="auto"/>
        <w:right w:val="none" w:sz="0" w:space="0" w:color="auto"/>
      </w:divBdr>
    </w:div>
    <w:div w:id="1309479689">
      <w:bodyDiv w:val="1"/>
      <w:marLeft w:val="0"/>
      <w:marRight w:val="0"/>
      <w:marTop w:val="0"/>
      <w:marBottom w:val="0"/>
      <w:divBdr>
        <w:top w:val="none" w:sz="0" w:space="0" w:color="auto"/>
        <w:left w:val="none" w:sz="0" w:space="0" w:color="auto"/>
        <w:bottom w:val="none" w:sz="0" w:space="0" w:color="auto"/>
        <w:right w:val="none" w:sz="0" w:space="0" w:color="auto"/>
      </w:divBdr>
    </w:div>
    <w:div w:id="1309481064">
      <w:bodyDiv w:val="1"/>
      <w:marLeft w:val="0"/>
      <w:marRight w:val="0"/>
      <w:marTop w:val="0"/>
      <w:marBottom w:val="0"/>
      <w:divBdr>
        <w:top w:val="none" w:sz="0" w:space="0" w:color="auto"/>
        <w:left w:val="none" w:sz="0" w:space="0" w:color="auto"/>
        <w:bottom w:val="none" w:sz="0" w:space="0" w:color="auto"/>
        <w:right w:val="none" w:sz="0" w:space="0" w:color="auto"/>
      </w:divBdr>
    </w:div>
    <w:div w:id="1311709448">
      <w:bodyDiv w:val="1"/>
      <w:marLeft w:val="0"/>
      <w:marRight w:val="0"/>
      <w:marTop w:val="0"/>
      <w:marBottom w:val="0"/>
      <w:divBdr>
        <w:top w:val="none" w:sz="0" w:space="0" w:color="auto"/>
        <w:left w:val="none" w:sz="0" w:space="0" w:color="auto"/>
        <w:bottom w:val="none" w:sz="0" w:space="0" w:color="auto"/>
        <w:right w:val="none" w:sz="0" w:space="0" w:color="auto"/>
      </w:divBdr>
    </w:div>
    <w:div w:id="1313565408">
      <w:bodyDiv w:val="1"/>
      <w:marLeft w:val="0"/>
      <w:marRight w:val="0"/>
      <w:marTop w:val="0"/>
      <w:marBottom w:val="0"/>
      <w:divBdr>
        <w:top w:val="none" w:sz="0" w:space="0" w:color="auto"/>
        <w:left w:val="none" w:sz="0" w:space="0" w:color="auto"/>
        <w:bottom w:val="none" w:sz="0" w:space="0" w:color="auto"/>
        <w:right w:val="none" w:sz="0" w:space="0" w:color="auto"/>
      </w:divBdr>
    </w:div>
    <w:div w:id="1320496258">
      <w:bodyDiv w:val="1"/>
      <w:marLeft w:val="0"/>
      <w:marRight w:val="0"/>
      <w:marTop w:val="0"/>
      <w:marBottom w:val="0"/>
      <w:divBdr>
        <w:top w:val="none" w:sz="0" w:space="0" w:color="auto"/>
        <w:left w:val="none" w:sz="0" w:space="0" w:color="auto"/>
        <w:bottom w:val="none" w:sz="0" w:space="0" w:color="auto"/>
        <w:right w:val="none" w:sz="0" w:space="0" w:color="auto"/>
      </w:divBdr>
    </w:div>
    <w:div w:id="1321428036">
      <w:bodyDiv w:val="1"/>
      <w:marLeft w:val="0"/>
      <w:marRight w:val="0"/>
      <w:marTop w:val="0"/>
      <w:marBottom w:val="0"/>
      <w:divBdr>
        <w:top w:val="none" w:sz="0" w:space="0" w:color="auto"/>
        <w:left w:val="none" w:sz="0" w:space="0" w:color="auto"/>
        <w:bottom w:val="none" w:sz="0" w:space="0" w:color="auto"/>
        <w:right w:val="none" w:sz="0" w:space="0" w:color="auto"/>
      </w:divBdr>
    </w:div>
    <w:div w:id="1322660699">
      <w:bodyDiv w:val="1"/>
      <w:marLeft w:val="0"/>
      <w:marRight w:val="0"/>
      <w:marTop w:val="0"/>
      <w:marBottom w:val="0"/>
      <w:divBdr>
        <w:top w:val="none" w:sz="0" w:space="0" w:color="auto"/>
        <w:left w:val="none" w:sz="0" w:space="0" w:color="auto"/>
        <w:bottom w:val="none" w:sz="0" w:space="0" w:color="auto"/>
        <w:right w:val="none" w:sz="0" w:space="0" w:color="auto"/>
      </w:divBdr>
    </w:div>
    <w:div w:id="1322855559">
      <w:bodyDiv w:val="1"/>
      <w:marLeft w:val="0"/>
      <w:marRight w:val="0"/>
      <w:marTop w:val="0"/>
      <w:marBottom w:val="0"/>
      <w:divBdr>
        <w:top w:val="none" w:sz="0" w:space="0" w:color="auto"/>
        <w:left w:val="none" w:sz="0" w:space="0" w:color="auto"/>
        <w:bottom w:val="none" w:sz="0" w:space="0" w:color="auto"/>
        <w:right w:val="none" w:sz="0" w:space="0" w:color="auto"/>
      </w:divBdr>
    </w:div>
    <w:div w:id="1326130927">
      <w:bodyDiv w:val="1"/>
      <w:marLeft w:val="0"/>
      <w:marRight w:val="0"/>
      <w:marTop w:val="0"/>
      <w:marBottom w:val="0"/>
      <w:divBdr>
        <w:top w:val="none" w:sz="0" w:space="0" w:color="auto"/>
        <w:left w:val="none" w:sz="0" w:space="0" w:color="auto"/>
        <w:bottom w:val="none" w:sz="0" w:space="0" w:color="auto"/>
        <w:right w:val="none" w:sz="0" w:space="0" w:color="auto"/>
      </w:divBdr>
    </w:div>
    <w:div w:id="1328509645">
      <w:bodyDiv w:val="1"/>
      <w:marLeft w:val="0"/>
      <w:marRight w:val="0"/>
      <w:marTop w:val="0"/>
      <w:marBottom w:val="0"/>
      <w:divBdr>
        <w:top w:val="none" w:sz="0" w:space="0" w:color="auto"/>
        <w:left w:val="none" w:sz="0" w:space="0" w:color="auto"/>
        <w:bottom w:val="none" w:sz="0" w:space="0" w:color="auto"/>
        <w:right w:val="none" w:sz="0" w:space="0" w:color="auto"/>
      </w:divBdr>
    </w:div>
    <w:div w:id="1328705023">
      <w:bodyDiv w:val="1"/>
      <w:marLeft w:val="0"/>
      <w:marRight w:val="0"/>
      <w:marTop w:val="0"/>
      <w:marBottom w:val="0"/>
      <w:divBdr>
        <w:top w:val="none" w:sz="0" w:space="0" w:color="auto"/>
        <w:left w:val="none" w:sz="0" w:space="0" w:color="auto"/>
        <w:bottom w:val="none" w:sz="0" w:space="0" w:color="auto"/>
        <w:right w:val="none" w:sz="0" w:space="0" w:color="auto"/>
      </w:divBdr>
    </w:div>
    <w:div w:id="1330332440">
      <w:bodyDiv w:val="1"/>
      <w:marLeft w:val="0"/>
      <w:marRight w:val="0"/>
      <w:marTop w:val="0"/>
      <w:marBottom w:val="0"/>
      <w:divBdr>
        <w:top w:val="none" w:sz="0" w:space="0" w:color="auto"/>
        <w:left w:val="none" w:sz="0" w:space="0" w:color="auto"/>
        <w:bottom w:val="none" w:sz="0" w:space="0" w:color="auto"/>
        <w:right w:val="none" w:sz="0" w:space="0" w:color="auto"/>
      </w:divBdr>
    </w:div>
    <w:div w:id="1330795488">
      <w:bodyDiv w:val="1"/>
      <w:marLeft w:val="0"/>
      <w:marRight w:val="0"/>
      <w:marTop w:val="0"/>
      <w:marBottom w:val="0"/>
      <w:divBdr>
        <w:top w:val="none" w:sz="0" w:space="0" w:color="auto"/>
        <w:left w:val="none" w:sz="0" w:space="0" w:color="auto"/>
        <w:bottom w:val="none" w:sz="0" w:space="0" w:color="auto"/>
        <w:right w:val="none" w:sz="0" w:space="0" w:color="auto"/>
      </w:divBdr>
    </w:div>
    <w:div w:id="1331908791">
      <w:bodyDiv w:val="1"/>
      <w:marLeft w:val="0"/>
      <w:marRight w:val="0"/>
      <w:marTop w:val="0"/>
      <w:marBottom w:val="0"/>
      <w:divBdr>
        <w:top w:val="none" w:sz="0" w:space="0" w:color="auto"/>
        <w:left w:val="none" w:sz="0" w:space="0" w:color="auto"/>
        <w:bottom w:val="none" w:sz="0" w:space="0" w:color="auto"/>
        <w:right w:val="none" w:sz="0" w:space="0" w:color="auto"/>
      </w:divBdr>
    </w:div>
    <w:div w:id="1340040986">
      <w:bodyDiv w:val="1"/>
      <w:marLeft w:val="0"/>
      <w:marRight w:val="0"/>
      <w:marTop w:val="0"/>
      <w:marBottom w:val="0"/>
      <w:divBdr>
        <w:top w:val="none" w:sz="0" w:space="0" w:color="auto"/>
        <w:left w:val="none" w:sz="0" w:space="0" w:color="auto"/>
        <w:bottom w:val="none" w:sz="0" w:space="0" w:color="auto"/>
        <w:right w:val="none" w:sz="0" w:space="0" w:color="auto"/>
      </w:divBdr>
    </w:div>
    <w:div w:id="1342124766">
      <w:bodyDiv w:val="1"/>
      <w:marLeft w:val="0"/>
      <w:marRight w:val="0"/>
      <w:marTop w:val="0"/>
      <w:marBottom w:val="0"/>
      <w:divBdr>
        <w:top w:val="none" w:sz="0" w:space="0" w:color="auto"/>
        <w:left w:val="none" w:sz="0" w:space="0" w:color="auto"/>
        <w:bottom w:val="none" w:sz="0" w:space="0" w:color="auto"/>
        <w:right w:val="none" w:sz="0" w:space="0" w:color="auto"/>
      </w:divBdr>
    </w:div>
    <w:div w:id="1342587080">
      <w:bodyDiv w:val="1"/>
      <w:marLeft w:val="0"/>
      <w:marRight w:val="0"/>
      <w:marTop w:val="0"/>
      <w:marBottom w:val="0"/>
      <w:divBdr>
        <w:top w:val="none" w:sz="0" w:space="0" w:color="auto"/>
        <w:left w:val="none" w:sz="0" w:space="0" w:color="auto"/>
        <w:bottom w:val="none" w:sz="0" w:space="0" w:color="auto"/>
        <w:right w:val="none" w:sz="0" w:space="0" w:color="auto"/>
      </w:divBdr>
    </w:div>
    <w:div w:id="1343363117">
      <w:bodyDiv w:val="1"/>
      <w:marLeft w:val="0"/>
      <w:marRight w:val="0"/>
      <w:marTop w:val="0"/>
      <w:marBottom w:val="0"/>
      <w:divBdr>
        <w:top w:val="none" w:sz="0" w:space="0" w:color="auto"/>
        <w:left w:val="none" w:sz="0" w:space="0" w:color="auto"/>
        <w:bottom w:val="none" w:sz="0" w:space="0" w:color="auto"/>
        <w:right w:val="none" w:sz="0" w:space="0" w:color="auto"/>
      </w:divBdr>
    </w:div>
    <w:div w:id="1344162957">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8827635">
      <w:bodyDiv w:val="1"/>
      <w:marLeft w:val="0"/>
      <w:marRight w:val="0"/>
      <w:marTop w:val="0"/>
      <w:marBottom w:val="0"/>
      <w:divBdr>
        <w:top w:val="none" w:sz="0" w:space="0" w:color="auto"/>
        <w:left w:val="none" w:sz="0" w:space="0" w:color="auto"/>
        <w:bottom w:val="none" w:sz="0" w:space="0" w:color="auto"/>
        <w:right w:val="none" w:sz="0" w:space="0" w:color="auto"/>
      </w:divBdr>
    </w:div>
    <w:div w:id="1349404229">
      <w:bodyDiv w:val="1"/>
      <w:marLeft w:val="0"/>
      <w:marRight w:val="0"/>
      <w:marTop w:val="0"/>
      <w:marBottom w:val="0"/>
      <w:divBdr>
        <w:top w:val="none" w:sz="0" w:space="0" w:color="auto"/>
        <w:left w:val="none" w:sz="0" w:space="0" w:color="auto"/>
        <w:bottom w:val="none" w:sz="0" w:space="0" w:color="auto"/>
        <w:right w:val="none" w:sz="0" w:space="0" w:color="auto"/>
      </w:divBdr>
    </w:div>
    <w:div w:id="1350638490">
      <w:bodyDiv w:val="1"/>
      <w:marLeft w:val="0"/>
      <w:marRight w:val="0"/>
      <w:marTop w:val="0"/>
      <w:marBottom w:val="0"/>
      <w:divBdr>
        <w:top w:val="none" w:sz="0" w:space="0" w:color="auto"/>
        <w:left w:val="none" w:sz="0" w:space="0" w:color="auto"/>
        <w:bottom w:val="none" w:sz="0" w:space="0" w:color="auto"/>
        <w:right w:val="none" w:sz="0" w:space="0" w:color="auto"/>
      </w:divBdr>
    </w:div>
    <w:div w:id="1353069134">
      <w:bodyDiv w:val="1"/>
      <w:marLeft w:val="0"/>
      <w:marRight w:val="0"/>
      <w:marTop w:val="0"/>
      <w:marBottom w:val="0"/>
      <w:divBdr>
        <w:top w:val="none" w:sz="0" w:space="0" w:color="auto"/>
        <w:left w:val="none" w:sz="0" w:space="0" w:color="auto"/>
        <w:bottom w:val="none" w:sz="0" w:space="0" w:color="auto"/>
        <w:right w:val="none" w:sz="0" w:space="0" w:color="auto"/>
      </w:divBdr>
    </w:div>
    <w:div w:id="1357389518">
      <w:bodyDiv w:val="1"/>
      <w:marLeft w:val="0"/>
      <w:marRight w:val="0"/>
      <w:marTop w:val="0"/>
      <w:marBottom w:val="0"/>
      <w:divBdr>
        <w:top w:val="none" w:sz="0" w:space="0" w:color="auto"/>
        <w:left w:val="none" w:sz="0" w:space="0" w:color="auto"/>
        <w:bottom w:val="none" w:sz="0" w:space="0" w:color="auto"/>
        <w:right w:val="none" w:sz="0" w:space="0" w:color="auto"/>
      </w:divBdr>
    </w:div>
    <w:div w:id="1363019949">
      <w:bodyDiv w:val="1"/>
      <w:marLeft w:val="0"/>
      <w:marRight w:val="0"/>
      <w:marTop w:val="0"/>
      <w:marBottom w:val="0"/>
      <w:divBdr>
        <w:top w:val="none" w:sz="0" w:space="0" w:color="auto"/>
        <w:left w:val="none" w:sz="0" w:space="0" w:color="auto"/>
        <w:bottom w:val="none" w:sz="0" w:space="0" w:color="auto"/>
        <w:right w:val="none" w:sz="0" w:space="0" w:color="auto"/>
      </w:divBdr>
    </w:div>
    <w:div w:id="1364984509">
      <w:bodyDiv w:val="1"/>
      <w:marLeft w:val="0"/>
      <w:marRight w:val="0"/>
      <w:marTop w:val="0"/>
      <w:marBottom w:val="0"/>
      <w:divBdr>
        <w:top w:val="none" w:sz="0" w:space="0" w:color="auto"/>
        <w:left w:val="none" w:sz="0" w:space="0" w:color="auto"/>
        <w:bottom w:val="none" w:sz="0" w:space="0" w:color="auto"/>
        <w:right w:val="none" w:sz="0" w:space="0" w:color="auto"/>
      </w:divBdr>
    </w:div>
    <w:div w:id="1365329963">
      <w:bodyDiv w:val="1"/>
      <w:marLeft w:val="0"/>
      <w:marRight w:val="0"/>
      <w:marTop w:val="0"/>
      <w:marBottom w:val="0"/>
      <w:divBdr>
        <w:top w:val="none" w:sz="0" w:space="0" w:color="auto"/>
        <w:left w:val="none" w:sz="0" w:space="0" w:color="auto"/>
        <w:bottom w:val="none" w:sz="0" w:space="0" w:color="auto"/>
        <w:right w:val="none" w:sz="0" w:space="0" w:color="auto"/>
      </w:divBdr>
    </w:div>
    <w:div w:id="1365669728">
      <w:bodyDiv w:val="1"/>
      <w:marLeft w:val="0"/>
      <w:marRight w:val="0"/>
      <w:marTop w:val="0"/>
      <w:marBottom w:val="0"/>
      <w:divBdr>
        <w:top w:val="none" w:sz="0" w:space="0" w:color="auto"/>
        <w:left w:val="none" w:sz="0" w:space="0" w:color="auto"/>
        <w:bottom w:val="none" w:sz="0" w:space="0" w:color="auto"/>
        <w:right w:val="none" w:sz="0" w:space="0" w:color="auto"/>
      </w:divBdr>
    </w:div>
    <w:div w:id="1372456840">
      <w:bodyDiv w:val="1"/>
      <w:marLeft w:val="0"/>
      <w:marRight w:val="0"/>
      <w:marTop w:val="0"/>
      <w:marBottom w:val="0"/>
      <w:divBdr>
        <w:top w:val="none" w:sz="0" w:space="0" w:color="auto"/>
        <w:left w:val="none" w:sz="0" w:space="0" w:color="auto"/>
        <w:bottom w:val="none" w:sz="0" w:space="0" w:color="auto"/>
        <w:right w:val="none" w:sz="0" w:space="0" w:color="auto"/>
      </w:divBdr>
    </w:div>
    <w:div w:id="1373384215">
      <w:bodyDiv w:val="1"/>
      <w:marLeft w:val="0"/>
      <w:marRight w:val="0"/>
      <w:marTop w:val="0"/>
      <w:marBottom w:val="0"/>
      <w:divBdr>
        <w:top w:val="none" w:sz="0" w:space="0" w:color="auto"/>
        <w:left w:val="none" w:sz="0" w:space="0" w:color="auto"/>
        <w:bottom w:val="none" w:sz="0" w:space="0" w:color="auto"/>
        <w:right w:val="none" w:sz="0" w:space="0" w:color="auto"/>
      </w:divBdr>
    </w:div>
    <w:div w:id="1382169332">
      <w:bodyDiv w:val="1"/>
      <w:marLeft w:val="0"/>
      <w:marRight w:val="0"/>
      <w:marTop w:val="0"/>
      <w:marBottom w:val="0"/>
      <w:divBdr>
        <w:top w:val="none" w:sz="0" w:space="0" w:color="auto"/>
        <w:left w:val="none" w:sz="0" w:space="0" w:color="auto"/>
        <w:bottom w:val="none" w:sz="0" w:space="0" w:color="auto"/>
        <w:right w:val="none" w:sz="0" w:space="0" w:color="auto"/>
      </w:divBdr>
    </w:div>
    <w:div w:id="1382560410">
      <w:bodyDiv w:val="1"/>
      <w:marLeft w:val="0"/>
      <w:marRight w:val="0"/>
      <w:marTop w:val="0"/>
      <w:marBottom w:val="0"/>
      <w:divBdr>
        <w:top w:val="none" w:sz="0" w:space="0" w:color="auto"/>
        <w:left w:val="none" w:sz="0" w:space="0" w:color="auto"/>
        <w:bottom w:val="none" w:sz="0" w:space="0" w:color="auto"/>
        <w:right w:val="none" w:sz="0" w:space="0" w:color="auto"/>
      </w:divBdr>
    </w:div>
    <w:div w:id="1386176504">
      <w:bodyDiv w:val="1"/>
      <w:marLeft w:val="0"/>
      <w:marRight w:val="0"/>
      <w:marTop w:val="0"/>
      <w:marBottom w:val="0"/>
      <w:divBdr>
        <w:top w:val="none" w:sz="0" w:space="0" w:color="auto"/>
        <w:left w:val="none" w:sz="0" w:space="0" w:color="auto"/>
        <w:bottom w:val="none" w:sz="0" w:space="0" w:color="auto"/>
        <w:right w:val="none" w:sz="0" w:space="0" w:color="auto"/>
      </w:divBdr>
    </w:div>
    <w:div w:id="1387491578">
      <w:bodyDiv w:val="1"/>
      <w:marLeft w:val="0"/>
      <w:marRight w:val="0"/>
      <w:marTop w:val="0"/>
      <w:marBottom w:val="0"/>
      <w:divBdr>
        <w:top w:val="none" w:sz="0" w:space="0" w:color="auto"/>
        <w:left w:val="none" w:sz="0" w:space="0" w:color="auto"/>
        <w:bottom w:val="none" w:sz="0" w:space="0" w:color="auto"/>
        <w:right w:val="none" w:sz="0" w:space="0" w:color="auto"/>
      </w:divBdr>
    </w:div>
    <w:div w:id="1388533403">
      <w:bodyDiv w:val="1"/>
      <w:marLeft w:val="0"/>
      <w:marRight w:val="0"/>
      <w:marTop w:val="0"/>
      <w:marBottom w:val="0"/>
      <w:divBdr>
        <w:top w:val="none" w:sz="0" w:space="0" w:color="auto"/>
        <w:left w:val="none" w:sz="0" w:space="0" w:color="auto"/>
        <w:bottom w:val="none" w:sz="0" w:space="0" w:color="auto"/>
        <w:right w:val="none" w:sz="0" w:space="0" w:color="auto"/>
      </w:divBdr>
    </w:div>
    <w:div w:id="1389375616">
      <w:bodyDiv w:val="1"/>
      <w:marLeft w:val="0"/>
      <w:marRight w:val="0"/>
      <w:marTop w:val="0"/>
      <w:marBottom w:val="0"/>
      <w:divBdr>
        <w:top w:val="none" w:sz="0" w:space="0" w:color="auto"/>
        <w:left w:val="none" w:sz="0" w:space="0" w:color="auto"/>
        <w:bottom w:val="none" w:sz="0" w:space="0" w:color="auto"/>
        <w:right w:val="none" w:sz="0" w:space="0" w:color="auto"/>
      </w:divBdr>
    </w:div>
    <w:div w:id="1390494754">
      <w:bodyDiv w:val="1"/>
      <w:marLeft w:val="0"/>
      <w:marRight w:val="0"/>
      <w:marTop w:val="0"/>
      <w:marBottom w:val="0"/>
      <w:divBdr>
        <w:top w:val="none" w:sz="0" w:space="0" w:color="auto"/>
        <w:left w:val="none" w:sz="0" w:space="0" w:color="auto"/>
        <w:bottom w:val="none" w:sz="0" w:space="0" w:color="auto"/>
        <w:right w:val="none" w:sz="0" w:space="0" w:color="auto"/>
      </w:divBdr>
    </w:div>
    <w:div w:id="1391230431">
      <w:bodyDiv w:val="1"/>
      <w:marLeft w:val="0"/>
      <w:marRight w:val="0"/>
      <w:marTop w:val="0"/>
      <w:marBottom w:val="0"/>
      <w:divBdr>
        <w:top w:val="none" w:sz="0" w:space="0" w:color="auto"/>
        <w:left w:val="none" w:sz="0" w:space="0" w:color="auto"/>
        <w:bottom w:val="none" w:sz="0" w:space="0" w:color="auto"/>
        <w:right w:val="none" w:sz="0" w:space="0" w:color="auto"/>
      </w:divBdr>
    </w:div>
    <w:div w:id="1395661558">
      <w:bodyDiv w:val="1"/>
      <w:marLeft w:val="0"/>
      <w:marRight w:val="0"/>
      <w:marTop w:val="0"/>
      <w:marBottom w:val="0"/>
      <w:divBdr>
        <w:top w:val="none" w:sz="0" w:space="0" w:color="auto"/>
        <w:left w:val="none" w:sz="0" w:space="0" w:color="auto"/>
        <w:bottom w:val="none" w:sz="0" w:space="0" w:color="auto"/>
        <w:right w:val="none" w:sz="0" w:space="0" w:color="auto"/>
      </w:divBdr>
    </w:div>
    <w:div w:id="1401782192">
      <w:bodyDiv w:val="1"/>
      <w:marLeft w:val="0"/>
      <w:marRight w:val="0"/>
      <w:marTop w:val="0"/>
      <w:marBottom w:val="0"/>
      <w:divBdr>
        <w:top w:val="none" w:sz="0" w:space="0" w:color="auto"/>
        <w:left w:val="none" w:sz="0" w:space="0" w:color="auto"/>
        <w:bottom w:val="none" w:sz="0" w:space="0" w:color="auto"/>
        <w:right w:val="none" w:sz="0" w:space="0" w:color="auto"/>
      </w:divBdr>
    </w:div>
    <w:div w:id="1406952901">
      <w:bodyDiv w:val="1"/>
      <w:marLeft w:val="0"/>
      <w:marRight w:val="0"/>
      <w:marTop w:val="0"/>
      <w:marBottom w:val="0"/>
      <w:divBdr>
        <w:top w:val="none" w:sz="0" w:space="0" w:color="auto"/>
        <w:left w:val="none" w:sz="0" w:space="0" w:color="auto"/>
        <w:bottom w:val="none" w:sz="0" w:space="0" w:color="auto"/>
        <w:right w:val="none" w:sz="0" w:space="0" w:color="auto"/>
      </w:divBdr>
    </w:div>
    <w:div w:id="14076504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3814703">
      <w:bodyDiv w:val="1"/>
      <w:marLeft w:val="0"/>
      <w:marRight w:val="0"/>
      <w:marTop w:val="0"/>
      <w:marBottom w:val="0"/>
      <w:divBdr>
        <w:top w:val="none" w:sz="0" w:space="0" w:color="auto"/>
        <w:left w:val="none" w:sz="0" w:space="0" w:color="auto"/>
        <w:bottom w:val="none" w:sz="0" w:space="0" w:color="auto"/>
        <w:right w:val="none" w:sz="0" w:space="0" w:color="auto"/>
      </w:divBdr>
    </w:div>
    <w:div w:id="1413820022">
      <w:bodyDiv w:val="1"/>
      <w:marLeft w:val="0"/>
      <w:marRight w:val="0"/>
      <w:marTop w:val="0"/>
      <w:marBottom w:val="0"/>
      <w:divBdr>
        <w:top w:val="none" w:sz="0" w:space="0" w:color="auto"/>
        <w:left w:val="none" w:sz="0" w:space="0" w:color="auto"/>
        <w:bottom w:val="none" w:sz="0" w:space="0" w:color="auto"/>
        <w:right w:val="none" w:sz="0" w:space="0" w:color="auto"/>
      </w:divBdr>
    </w:div>
    <w:div w:id="1414203755">
      <w:bodyDiv w:val="1"/>
      <w:marLeft w:val="0"/>
      <w:marRight w:val="0"/>
      <w:marTop w:val="0"/>
      <w:marBottom w:val="0"/>
      <w:divBdr>
        <w:top w:val="none" w:sz="0" w:space="0" w:color="auto"/>
        <w:left w:val="none" w:sz="0" w:space="0" w:color="auto"/>
        <w:bottom w:val="none" w:sz="0" w:space="0" w:color="auto"/>
        <w:right w:val="none" w:sz="0" w:space="0" w:color="auto"/>
      </w:divBdr>
    </w:div>
    <w:div w:id="1414208095">
      <w:bodyDiv w:val="1"/>
      <w:marLeft w:val="0"/>
      <w:marRight w:val="0"/>
      <w:marTop w:val="0"/>
      <w:marBottom w:val="0"/>
      <w:divBdr>
        <w:top w:val="none" w:sz="0" w:space="0" w:color="auto"/>
        <w:left w:val="none" w:sz="0" w:space="0" w:color="auto"/>
        <w:bottom w:val="none" w:sz="0" w:space="0" w:color="auto"/>
        <w:right w:val="none" w:sz="0" w:space="0" w:color="auto"/>
      </w:divBdr>
    </w:div>
    <w:div w:id="1414474765">
      <w:bodyDiv w:val="1"/>
      <w:marLeft w:val="0"/>
      <w:marRight w:val="0"/>
      <w:marTop w:val="0"/>
      <w:marBottom w:val="0"/>
      <w:divBdr>
        <w:top w:val="none" w:sz="0" w:space="0" w:color="auto"/>
        <w:left w:val="none" w:sz="0" w:space="0" w:color="auto"/>
        <w:bottom w:val="none" w:sz="0" w:space="0" w:color="auto"/>
        <w:right w:val="none" w:sz="0" w:space="0" w:color="auto"/>
      </w:divBdr>
    </w:div>
    <w:div w:id="1415130292">
      <w:bodyDiv w:val="1"/>
      <w:marLeft w:val="0"/>
      <w:marRight w:val="0"/>
      <w:marTop w:val="0"/>
      <w:marBottom w:val="0"/>
      <w:divBdr>
        <w:top w:val="none" w:sz="0" w:space="0" w:color="auto"/>
        <w:left w:val="none" w:sz="0" w:space="0" w:color="auto"/>
        <w:bottom w:val="none" w:sz="0" w:space="0" w:color="auto"/>
        <w:right w:val="none" w:sz="0" w:space="0" w:color="auto"/>
      </w:divBdr>
    </w:div>
    <w:div w:id="1416318361">
      <w:bodyDiv w:val="1"/>
      <w:marLeft w:val="0"/>
      <w:marRight w:val="0"/>
      <w:marTop w:val="0"/>
      <w:marBottom w:val="0"/>
      <w:divBdr>
        <w:top w:val="none" w:sz="0" w:space="0" w:color="auto"/>
        <w:left w:val="none" w:sz="0" w:space="0" w:color="auto"/>
        <w:bottom w:val="none" w:sz="0" w:space="0" w:color="auto"/>
        <w:right w:val="none" w:sz="0" w:space="0" w:color="auto"/>
      </w:divBdr>
    </w:div>
    <w:div w:id="1421639323">
      <w:bodyDiv w:val="1"/>
      <w:marLeft w:val="0"/>
      <w:marRight w:val="0"/>
      <w:marTop w:val="0"/>
      <w:marBottom w:val="0"/>
      <w:divBdr>
        <w:top w:val="none" w:sz="0" w:space="0" w:color="auto"/>
        <w:left w:val="none" w:sz="0" w:space="0" w:color="auto"/>
        <w:bottom w:val="none" w:sz="0" w:space="0" w:color="auto"/>
        <w:right w:val="none" w:sz="0" w:space="0" w:color="auto"/>
      </w:divBdr>
    </w:div>
    <w:div w:id="1422407233">
      <w:bodyDiv w:val="1"/>
      <w:marLeft w:val="0"/>
      <w:marRight w:val="0"/>
      <w:marTop w:val="0"/>
      <w:marBottom w:val="0"/>
      <w:divBdr>
        <w:top w:val="none" w:sz="0" w:space="0" w:color="auto"/>
        <w:left w:val="none" w:sz="0" w:space="0" w:color="auto"/>
        <w:bottom w:val="none" w:sz="0" w:space="0" w:color="auto"/>
        <w:right w:val="none" w:sz="0" w:space="0" w:color="auto"/>
      </w:divBdr>
    </w:div>
    <w:div w:id="1426417477">
      <w:bodyDiv w:val="1"/>
      <w:marLeft w:val="0"/>
      <w:marRight w:val="0"/>
      <w:marTop w:val="0"/>
      <w:marBottom w:val="0"/>
      <w:divBdr>
        <w:top w:val="none" w:sz="0" w:space="0" w:color="auto"/>
        <w:left w:val="none" w:sz="0" w:space="0" w:color="auto"/>
        <w:bottom w:val="none" w:sz="0" w:space="0" w:color="auto"/>
        <w:right w:val="none" w:sz="0" w:space="0" w:color="auto"/>
      </w:divBdr>
    </w:div>
    <w:div w:id="1426422546">
      <w:bodyDiv w:val="1"/>
      <w:marLeft w:val="0"/>
      <w:marRight w:val="0"/>
      <w:marTop w:val="0"/>
      <w:marBottom w:val="0"/>
      <w:divBdr>
        <w:top w:val="none" w:sz="0" w:space="0" w:color="auto"/>
        <w:left w:val="none" w:sz="0" w:space="0" w:color="auto"/>
        <w:bottom w:val="none" w:sz="0" w:space="0" w:color="auto"/>
        <w:right w:val="none" w:sz="0" w:space="0" w:color="auto"/>
      </w:divBdr>
    </w:div>
    <w:div w:id="1426999365">
      <w:bodyDiv w:val="1"/>
      <w:marLeft w:val="0"/>
      <w:marRight w:val="0"/>
      <w:marTop w:val="0"/>
      <w:marBottom w:val="0"/>
      <w:divBdr>
        <w:top w:val="none" w:sz="0" w:space="0" w:color="auto"/>
        <w:left w:val="none" w:sz="0" w:space="0" w:color="auto"/>
        <w:bottom w:val="none" w:sz="0" w:space="0" w:color="auto"/>
        <w:right w:val="none" w:sz="0" w:space="0" w:color="auto"/>
      </w:divBdr>
    </w:div>
    <w:div w:id="1430353550">
      <w:bodyDiv w:val="1"/>
      <w:marLeft w:val="0"/>
      <w:marRight w:val="0"/>
      <w:marTop w:val="0"/>
      <w:marBottom w:val="0"/>
      <w:divBdr>
        <w:top w:val="none" w:sz="0" w:space="0" w:color="auto"/>
        <w:left w:val="none" w:sz="0" w:space="0" w:color="auto"/>
        <w:bottom w:val="none" w:sz="0" w:space="0" w:color="auto"/>
        <w:right w:val="none" w:sz="0" w:space="0" w:color="auto"/>
      </w:divBdr>
    </w:div>
    <w:div w:id="1431699978">
      <w:bodyDiv w:val="1"/>
      <w:marLeft w:val="0"/>
      <w:marRight w:val="0"/>
      <w:marTop w:val="0"/>
      <w:marBottom w:val="0"/>
      <w:divBdr>
        <w:top w:val="none" w:sz="0" w:space="0" w:color="auto"/>
        <w:left w:val="none" w:sz="0" w:space="0" w:color="auto"/>
        <w:bottom w:val="none" w:sz="0" w:space="0" w:color="auto"/>
        <w:right w:val="none" w:sz="0" w:space="0" w:color="auto"/>
      </w:divBdr>
    </w:div>
    <w:div w:id="1433237135">
      <w:bodyDiv w:val="1"/>
      <w:marLeft w:val="0"/>
      <w:marRight w:val="0"/>
      <w:marTop w:val="0"/>
      <w:marBottom w:val="0"/>
      <w:divBdr>
        <w:top w:val="none" w:sz="0" w:space="0" w:color="auto"/>
        <w:left w:val="none" w:sz="0" w:space="0" w:color="auto"/>
        <w:bottom w:val="none" w:sz="0" w:space="0" w:color="auto"/>
        <w:right w:val="none" w:sz="0" w:space="0" w:color="auto"/>
      </w:divBdr>
    </w:div>
    <w:div w:id="1433471702">
      <w:bodyDiv w:val="1"/>
      <w:marLeft w:val="0"/>
      <w:marRight w:val="0"/>
      <w:marTop w:val="0"/>
      <w:marBottom w:val="0"/>
      <w:divBdr>
        <w:top w:val="none" w:sz="0" w:space="0" w:color="auto"/>
        <w:left w:val="none" w:sz="0" w:space="0" w:color="auto"/>
        <w:bottom w:val="none" w:sz="0" w:space="0" w:color="auto"/>
        <w:right w:val="none" w:sz="0" w:space="0" w:color="auto"/>
      </w:divBdr>
    </w:div>
    <w:div w:id="1433697869">
      <w:bodyDiv w:val="1"/>
      <w:marLeft w:val="0"/>
      <w:marRight w:val="0"/>
      <w:marTop w:val="0"/>
      <w:marBottom w:val="0"/>
      <w:divBdr>
        <w:top w:val="none" w:sz="0" w:space="0" w:color="auto"/>
        <w:left w:val="none" w:sz="0" w:space="0" w:color="auto"/>
        <w:bottom w:val="none" w:sz="0" w:space="0" w:color="auto"/>
        <w:right w:val="none" w:sz="0" w:space="0" w:color="auto"/>
      </w:divBdr>
    </w:div>
    <w:div w:id="1434205659">
      <w:bodyDiv w:val="1"/>
      <w:marLeft w:val="0"/>
      <w:marRight w:val="0"/>
      <w:marTop w:val="0"/>
      <w:marBottom w:val="0"/>
      <w:divBdr>
        <w:top w:val="none" w:sz="0" w:space="0" w:color="auto"/>
        <w:left w:val="none" w:sz="0" w:space="0" w:color="auto"/>
        <w:bottom w:val="none" w:sz="0" w:space="0" w:color="auto"/>
        <w:right w:val="none" w:sz="0" w:space="0" w:color="auto"/>
      </w:divBdr>
    </w:div>
    <w:div w:id="1434472337">
      <w:bodyDiv w:val="1"/>
      <w:marLeft w:val="0"/>
      <w:marRight w:val="0"/>
      <w:marTop w:val="0"/>
      <w:marBottom w:val="0"/>
      <w:divBdr>
        <w:top w:val="none" w:sz="0" w:space="0" w:color="auto"/>
        <w:left w:val="none" w:sz="0" w:space="0" w:color="auto"/>
        <w:bottom w:val="none" w:sz="0" w:space="0" w:color="auto"/>
        <w:right w:val="none" w:sz="0" w:space="0" w:color="auto"/>
      </w:divBdr>
    </w:div>
    <w:div w:id="1437363400">
      <w:bodyDiv w:val="1"/>
      <w:marLeft w:val="0"/>
      <w:marRight w:val="0"/>
      <w:marTop w:val="0"/>
      <w:marBottom w:val="0"/>
      <w:divBdr>
        <w:top w:val="none" w:sz="0" w:space="0" w:color="auto"/>
        <w:left w:val="none" w:sz="0" w:space="0" w:color="auto"/>
        <w:bottom w:val="none" w:sz="0" w:space="0" w:color="auto"/>
        <w:right w:val="none" w:sz="0" w:space="0" w:color="auto"/>
      </w:divBdr>
    </w:div>
    <w:div w:id="14404160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874231">
      <w:bodyDiv w:val="1"/>
      <w:marLeft w:val="0"/>
      <w:marRight w:val="0"/>
      <w:marTop w:val="0"/>
      <w:marBottom w:val="0"/>
      <w:divBdr>
        <w:top w:val="none" w:sz="0" w:space="0" w:color="auto"/>
        <w:left w:val="none" w:sz="0" w:space="0" w:color="auto"/>
        <w:bottom w:val="none" w:sz="0" w:space="0" w:color="auto"/>
        <w:right w:val="none" w:sz="0" w:space="0" w:color="auto"/>
      </w:divBdr>
    </w:div>
    <w:div w:id="1442799641">
      <w:bodyDiv w:val="1"/>
      <w:marLeft w:val="0"/>
      <w:marRight w:val="0"/>
      <w:marTop w:val="0"/>
      <w:marBottom w:val="0"/>
      <w:divBdr>
        <w:top w:val="none" w:sz="0" w:space="0" w:color="auto"/>
        <w:left w:val="none" w:sz="0" w:space="0" w:color="auto"/>
        <w:bottom w:val="none" w:sz="0" w:space="0" w:color="auto"/>
        <w:right w:val="none" w:sz="0" w:space="0" w:color="auto"/>
      </w:divBdr>
    </w:div>
    <w:div w:id="1445073721">
      <w:bodyDiv w:val="1"/>
      <w:marLeft w:val="0"/>
      <w:marRight w:val="0"/>
      <w:marTop w:val="0"/>
      <w:marBottom w:val="0"/>
      <w:divBdr>
        <w:top w:val="none" w:sz="0" w:space="0" w:color="auto"/>
        <w:left w:val="none" w:sz="0" w:space="0" w:color="auto"/>
        <w:bottom w:val="none" w:sz="0" w:space="0" w:color="auto"/>
        <w:right w:val="none" w:sz="0" w:space="0" w:color="auto"/>
      </w:divBdr>
    </w:div>
    <w:div w:id="1446000390">
      <w:bodyDiv w:val="1"/>
      <w:marLeft w:val="0"/>
      <w:marRight w:val="0"/>
      <w:marTop w:val="0"/>
      <w:marBottom w:val="0"/>
      <w:divBdr>
        <w:top w:val="none" w:sz="0" w:space="0" w:color="auto"/>
        <w:left w:val="none" w:sz="0" w:space="0" w:color="auto"/>
        <w:bottom w:val="none" w:sz="0" w:space="0" w:color="auto"/>
        <w:right w:val="none" w:sz="0" w:space="0" w:color="auto"/>
      </w:divBdr>
    </w:div>
    <w:div w:id="1447650445">
      <w:bodyDiv w:val="1"/>
      <w:marLeft w:val="0"/>
      <w:marRight w:val="0"/>
      <w:marTop w:val="0"/>
      <w:marBottom w:val="0"/>
      <w:divBdr>
        <w:top w:val="none" w:sz="0" w:space="0" w:color="auto"/>
        <w:left w:val="none" w:sz="0" w:space="0" w:color="auto"/>
        <w:bottom w:val="none" w:sz="0" w:space="0" w:color="auto"/>
        <w:right w:val="none" w:sz="0" w:space="0" w:color="auto"/>
      </w:divBdr>
    </w:div>
    <w:div w:id="1447890594">
      <w:bodyDiv w:val="1"/>
      <w:marLeft w:val="0"/>
      <w:marRight w:val="0"/>
      <w:marTop w:val="0"/>
      <w:marBottom w:val="0"/>
      <w:divBdr>
        <w:top w:val="none" w:sz="0" w:space="0" w:color="auto"/>
        <w:left w:val="none" w:sz="0" w:space="0" w:color="auto"/>
        <w:bottom w:val="none" w:sz="0" w:space="0" w:color="auto"/>
        <w:right w:val="none" w:sz="0" w:space="0" w:color="auto"/>
      </w:divBdr>
    </w:div>
    <w:div w:id="1456368913">
      <w:bodyDiv w:val="1"/>
      <w:marLeft w:val="0"/>
      <w:marRight w:val="0"/>
      <w:marTop w:val="0"/>
      <w:marBottom w:val="0"/>
      <w:divBdr>
        <w:top w:val="none" w:sz="0" w:space="0" w:color="auto"/>
        <w:left w:val="none" w:sz="0" w:space="0" w:color="auto"/>
        <w:bottom w:val="none" w:sz="0" w:space="0" w:color="auto"/>
        <w:right w:val="none" w:sz="0" w:space="0" w:color="auto"/>
      </w:divBdr>
    </w:div>
    <w:div w:id="1457602951">
      <w:bodyDiv w:val="1"/>
      <w:marLeft w:val="0"/>
      <w:marRight w:val="0"/>
      <w:marTop w:val="0"/>
      <w:marBottom w:val="0"/>
      <w:divBdr>
        <w:top w:val="none" w:sz="0" w:space="0" w:color="auto"/>
        <w:left w:val="none" w:sz="0" w:space="0" w:color="auto"/>
        <w:bottom w:val="none" w:sz="0" w:space="0" w:color="auto"/>
        <w:right w:val="none" w:sz="0" w:space="0" w:color="auto"/>
      </w:divBdr>
    </w:div>
    <w:div w:id="1457606617">
      <w:bodyDiv w:val="1"/>
      <w:marLeft w:val="0"/>
      <w:marRight w:val="0"/>
      <w:marTop w:val="0"/>
      <w:marBottom w:val="0"/>
      <w:divBdr>
        <w:top w:val="none" w:sz="0" w:space="0" w:color="auto"/>
        <w:left w:val="none" w:sz="0" w:space="0" w:color="auto"/>
        <w:bottom w:val="none" w:sz="0" w:space="0" w:color="auto"/>
        <w:right w:val="none" w:sz="0" w:space="0" w:color="auto"/>
      </w:divBdr>
    </w:div>
    <w:div w:id="1459763501">
      <w:bodyDiv w:val="1"/>
      <w:marLeft w:val="0"/>
      <w:marRight w:val="0"/>
      <w:marTop w:val="0"/>
      <w:marBottom w:val="0"/>
      <w:divBdr>
        <w:top w:val="none" w:sz="0" w:space="0" w:color="auto"/>
        <w:left w:val="none" w:sz="0" w:space="0" w:color="auto"/>
        <w:bottom w:val="none" w:sz="0" w:space="0" w:color="auto"/>
        <w:right w:val="none" w:sz="0" w:space="0" w:color="auto"/>
      </w:divBdr>
    </w:div>
    <w:div w:id="1459956450">
      <w:bodyDiv w:val="1"/>
      <w:marLeft w:val="0"/>
      <w:marRight w:val="0"/>
      <w:marTop w:val="0"/>
      <w:marBottom w:val="0"/>
      <w:divBdr>
        <w:top w:val="none" w:sz="0" w:space="0" w:color="auto"/>
        <w:left w:val="none" w:sz="0" w:space="0" w:color="auto"/>
        <w:bottom w:val="none" w:sz="0" w:space="0" w:color="auto"/>
        <w:right w:val="none" w:sz="0" w:space="0" w:color="auto"/>
      </w:divBdr>
    </w:div>
    <w:div w:id="1468359721">
      <w:bodyDiv w:val="1"/>
      <w:marLeft w:val="0"/>
      <w:marRight w:val="0"/>
      <w:marTop w:val="0"/>
      <w:marBottom w:val="0"/>
      <w:divBdr>
        <w:top w:val="none" w:sz="0" w:space="0" w:color="auto"/>
        <w:left w:val="none" w:sz="0" w:space="0" w:color="auto"/>
        <w:bottom w:val="none" w:sz="0" w:space="0" w:color="auto"/>
        <w:right w:val="none" w:sz="0" w:space="0" w:color="auto"/>
      </w:divBdr>
    </w:div>
    <w:div w:id="1470636010">
      <w:bodyDiv w:val="1"/>
      <w:marLeft w:val="0"/>
      <w:marRight w:val="0"/>
      <w:marTop w:val="0"/>
      <w:marBottom w:val="0"/>
      <w:divBdr>
        <w:top w:val="none" w:sz="0" w:space="0" w:color="auto"/>
        <w:left w:val="none" w:sz="0" w:space="0" w:color="auto"/>
        <w:bottom w:val="none" w:sz="0" w:space="0" w:color="auto"/>
        <w:right w:val="none" w:sz="0" w:space="0" w:color="auto"/>
      </w:divBdr>
    </w:div>
    <w:div w:id="1472289046">
      <w:bodyDiv w:val="1"/>
      <w:marLeft w:val="0"/>
      <w:marRight w:val="0"/>
      <w:marTop w:val="0"/>
      <w:marBottom w:val="0"/>
      <w:divBdr>
        <w:top w:val="none" w:sz="0" w:space="0" w:color="auto"/>
        <w:left w:val="none" w:sz="0" w:space="0" w:color="auto"/>
        <w:bottom w:val="none" w:sz="0" w:space="0" w:color="auto"/>
        <w:right w:val="none" w:sz="0" w:space="0" w:color="auto"/>
      </w:divBdr>
    </w:div>
    <w:div w:id="1476339320">
      <w:bodyDiv w:val="1"/>
      <w:marLeft w:val="0"/>
      <w:marRight w:val="0"/>
      <w:marTop w:val="0"/>
      <w:marBottom w:val="0"/>
      <w:divBdr>
        <w:top w:val="none" w:sz="0" w:space="0" w:color="auto"/>
        <w:left w:val="none" w:sz="0" w:space="0" w:color="auto"/>
        <w:bottom w:val="none" w:sz="0" w:space="0" w:color="auto"/>
        <w:right w:val="none" w:sz="0" w:space="0" w:color="auto"/>
      </w:divBdr>
    </w:div>
    <w:div w:id="1483159029">
      <w:bodyDiv w:val="1"/>
      <w:marLeft w:val="0"/>
      <w:marRight w:val="0"/>
      <w:marTop w:val="0"/>
      <w:marBottom w:val="0"/>
      <w:divBdr>
        <w:top w:val="none" w:sz="0" w:space="0" w:color="auto"/>
        <w:left w:val="none" w:sz="0" w:space="0" w:color="auto"/>
        <w:bottom w:val="none" w:sz="0" w:space="0" w:color="auto"/>
        <w:right w:val="none" w:sz="0" w:space="0" w:color="auto"/>
      </w:divBdr>
    </w:div>
    <w:div w:id="1484393744">
      <w:bodyDiv w:val="1"/>
      <w:marLeft w:val="0"/>
      <w:marRight w:val="0"/>
      <w:marTop w:val="0"/>
      <w:marBottom w:val="0"/>
      <w:divBdr>
        <w:top w:val="none" w:sz="0" w:space="0" w:color="auto"/>
        <w:left w:val="none" w:sz="0" w:space="0" w:color="auto"/>
        <w:bottom w:val="none" w:sz="0" w:space="0" w:color="auto"/>
        <w:right w:val="none" w:sz="0" w:space="0" w:color="auto"/>
      </w:divBdr>
    </w:div>
    <w:div w:id="1485396573">
      <w:bodyDiv w:val="1"/>
      <w:marLeft w:val="0"/>
      <w:marRight w:val="0"/>
      <w:marTop w:val="0"/>
      <w:marBottom w:val="0"/>
      <w:divBdr>
        <w:top w:val="none" w:sz="0" w:space="0" w:color="auto"/>
        <w:left w:val="none" w:sz="0" w:space="0" w:color="auto"/>
        <w:bottom w:val="none" w:sz="0" w:space="0" w:color="auto"/>
        <w:right w:val="none" w:sz="0" w:space="0" w:color="auto"/>
      </w:divBdr>
    </w:div>
    <w:div w:id="1486580768">
      <w:bodyDiv w:val="1"/>
      <w:marLeft w:val="0"/>
      <w:marRight w:val="0"/>
      <w:marTop w:val="0"/>
      <w:marBottom w:val="0"/>
      <w:divBdr>
        <w:top w:val="none" w:sz="0" w:space="0" w:color="auto"/>
        <w:left w:val="none" w:sz="0" w:space="0" w:color="auto"/>
        <w:bottom w:val="none" w:sz="0" w:space="0" w:color="auto"/>
        <w:right w:val="none" w:sz="0" w:space="0" w:color="auto"/>
      </w:divBdr>
    </w:div>
    <w:div w:id="1486774665">
      <w:bodyDiv w:val="1"/>
      <w:marLeft w:val="0"/>
      <w:marRight w:val="0"/>
      <w:marTop w:val="0"/>
      <w:marBottom w:val="0"/>
      <w:divBdr>
        <w:top w:val="none" w:sz="0" w:space="0" w:color="auto"/>
        <w:left w:val="none" w:sz="0" w:space="0" w:color="auto"/>
        <w:bottom w:val="none" w:sz="0" w:space="0" w:color="auto"/>
        <w:right w:val="none" w:sz="0" w:space="0" w:color="auto"/>
      </w:divBdr>
    </w:div>
    <w:div w:id="1491405626">
      <w:bodyDiv w:val="1"/>
      <w:marLeft w:val="0"/>
      <w:marRight w:val="0"/>
      <w:marTop w:val="0"/>
      <w:marBottom w:val="0"/>
      <w:divBdr>
        <w:top w:val="none" w:sz="0" w:space="0" w:color="auto"/>
        <w:left w:val="none" w:sz="0" w:space="0" w:color="auto"/>
        <w:bottom w:val="none" w:sz="0" w:space="0" w:color="auto"/>
        <w:right w:val="none" w:sz="0" w:space="0" w:color="auto"/>
      </w:divBdr>
    </w:div>
    <w:div w:id="1491409481">
      <w:bodyDiv w:val="1"/>
      <w:marLeft w:val="0"/>
      <w:marRight w:val="0"/>
      <w:marTop w:val="0"/>
      <w:marBottom w:val="0"/>
      <w:divBdr>
        <w:top w:val="none" w:sz="0" w:space="0" w:color="auto"/>
        <w:left w:val="none" w:sz="0" w:space="0" w:color="auto"/>
        <w:bottom w:val="none" w:sz="0" w:space="0" w:color="auto"/>
        <w:right w:val="none" w:sz="0" w:space="0" w:color="auto"/>
      </w:divBdr>
    </w:div>
    <w:div w:id="1498107743">
      <w:bodyDiv w:val="1"/>
      <w:marLeft w:val="0"/>
      <w:marRight w:val="0"/>
      <w:marTop w:val="0"/>
      <w:marBottom w:val="0"/>
      <w:divBdr>
        <w:top w:val="none" w:sz="0" w:space="0" w:color="auto"/>
        <w:left w:val="none" w:sz="0" w:space="0" w:color="auto"/>
        <w:bottom w:val="none" w:sz="0" w:space="0" w:color="auto"/>
        <w:right w:val="none" w:sz="0" w:space="0" w:color="auto"/>
      </w:divBdr>
    </w:div>
    <w:div w:id="1501657637">
      <w:bodyDiv w:val="1"/>
      <w:marLeft w:val="0"/>
      <w:marRight w:val="0"/>
      <w:marTop w:val="0"/>
      <w:marBottom w:val="0"/>
      <w:divBdr>
        <w:top w:val="none" w:sz="0" w:space="0" w:color="auto"/>
        <w:left w:val="none" w:sz="0" w:space="0" w:color="auto"/>
        <w:bottom w:val="none" w:sz="0" w:space="0" w:color="auto"/>
        <w:right w:val="none" w:sz="0" w:space="0" w:color="auto"/>
      </w:divBdr>
    </w:div>
    <w:div w:id="1501694808">
      <w:bodyDiv w:val="1"/>
      <w:marLeft w:val="0"/>
      <w:marRight w:val="0"/>
      <w:marTop w:val="0"/>
      <w:marBottom w:val="0"/>
      <w:divBdr>
        <w:top w:val="none" w:sz="0" w:space="0" w:color="auto"/>
        <w:left w:val="none" w:sz="0" w:space="0" w:color="auto"/>
        <w:bottom w:val="none" w:sz="0" w:space="0" w:color="auto"/>
        <w:right w:val="none" w:sz="0" w:space="0" w:color="auto"/>
      </w:divBdr>
    </w:div>
    <w:div w:id="1506096467">
      <w:bodyDiv w:val="1"/>
      <w:marLeft w:val="0"/>
      <w:marRight w:val="0"/>
      <w:marTop w:val="0"/>
      <w:marBottom w:val="0"/>
      <w:divBdr>
        <w:top w:val="none" w:sz="0" w:space="0" w:color="auto"/>
        <w:left w:val="none" w:sz="0" w:space="0" w:color="auto"/>
        <w:bottom w:val="none" w:sz="0" w:space="0" w:color="auto"/>
        <w:right w:val="none" w:sz="0" w:space="0" w:color="auto"/>
      </w:divBdr>
    </w:div>
    <w:div w:id="1507011199">
      <w:bodyDiv w:val="1"/>
      <w:marLeft w:val="0"/>
      <w:marRight w:val="0"/>
      <w:marTop w:val="0"/>
      <w:marBottom w:val="0"/>
      <w:divBdr>
        <w:top w:val="none" w:sz="0" w:space="0" w:color="auto"/>
        <w:left w:val="none" w:sz="0" w:space="0" w:color="auto"/>
        <w:bottom w:val="none" w:sz="0" w:space="0" w:color="auto"/>
        <w:right w:val="none" w:sz="0" w:space="0" w:color="auto"/>
      </w:divBdr>
    </w:div>
    <w:div w:id="1510675707">
      <w:bodyDiv w:val="1"/>
      <w:marLeft w:val="0"/>
      <w:marRight w:val="0"/>
      <w:marTop w:val="0"/>
      <w:marBottom w:val="0"/>
      <w:divBdr>
        <w:top w:val="none" w:sz="0" w:space="0" w:color="auto"/>
        <w:left w:val="none" w:sz="0" w:space="0" w:color="auto"/>
        <w:bottom w:val="none" w:sz="0" w:space="0" w:color="auto"/>
        <w:right w:val="none" w:sz="0" w:space="0" w:color="auto"/>
      </w:divBdr>
    </w:div>
    <w:div w:id="1512601857">
      <w:bodyDiv w:val="1"/>
      <w:marLeft w:val="0"/>
      <w:marRight w:val="0"/>
      <w:marTop w:val="0"/>
      <w:marBottom w:val="0"/>
      <w:divBdr>
        <w:top w:val="none" w:sz="0" w:space="0" w:color="auto"/>
        <w:left w:val="none" w:sz="0" w:space="0" w:color="auto"/>
        <w:bottom w:val="none" w:sz="0" w:space="0" w:color="auto"/>
        <w:right w:val="none" w:sz="0" w:space="0" w:color="auto"/>
      </w:divBdr>
    </w:div>
    <w:div w:id="1514029263">
      <w:bodyDiv w:val="1"/>
      <w:marLeft w:val="0"/>
      <w:marRight w:val="0"/>
      <w:marTop w:val="0"/>
      <w:marBottom w:val="0"/>
      <w:divBdr>
        <w:top w:val="none" w:sz="0" w:space="0" w:color="auto"/>
        <w:left w:val="none" w:sz="0" w:space="0" w:color="auto"/>
        <w:bottom w:val="none" w:sz="0" w:space="0" w:color="auto"/>
        <w:right w:val="none" w:sz="0" w:space="0" w:color="auto"/>
      </w:divBdr>
    </w:div>
    <w:div w:id="1515001456">
      <w:bodyDiv w:val="1"/>
      <w:marLeft w:val="0"/>
      <w:marRight w:val="0"/>
      <w:marTop w:val="0"/>
      <w:marBottom w:val="0"/>
      <w:divBdr>
        <w:top w:val="none" w:sz="0" w:space="0" w:color="auto"/>
        <w:left w:val="none" w:sz="0" w:space="0" w:color="auto"/>
        <w:bottom w:val="none" w:sz="0" w:space="0" w:color="auto"/>
        <w:right w:val="none" w:sz="0" w:space="0" w:color="auto"/>
      </w:divBdr>
    </w:div>
    <w:div w:id="1516504119">
      <w:bodyDiv w:val="1"/>
      <w:marLeft w:val="0"/>
      <w:marRight w:val="0"/>
      <w:marTop w:val="0"/>
      <w:marBottom w:val="0"/>
      <w:divBdr>
        <w:top w:val="none" w:sz="0" w:space="0" w:color="auto"/>
        <w:left w:val="none" w:sz="0" w:space="0" w:color="auto"/>
        <w:bottom w:val="none" w:sz="0" w:space="0" w:color="auto"/>
        <w:right w:val="none" w:sz="0" w:space="0" w:color="auto"/>
      </w:divBdr>
    </w:div>
    <w:div w:id="1516772973">
      <w:bodyDiv w:val="1"/>
      <w:marLeft w:val="0"/>
      <w:marRight w:val="0"/>
      <w:marTop w:val="0"/>
      <w:marBottom w:val="0"/>
      <w:divBdr>
        <w:top w:val="none" w:sz="0" w:space="0" w:color="auto"/>
        <w:left w:val="none" w:sz="0" w:space="0" w:color="auto"/>
        <w:bottom w:val="none" w:sz="0" w:space="0" w:color="auto"/>
        <w:right w:val="none" w:sz="0" w:space="0" w:color="auto"/>
      </w:divBdr>
    </w:div>
    <w:div w:id="1519080537">
      <w:bodyDiv w:val="1"/>
      <w:marLeft w:val="0"/>
      <w:marRight w:val="0"/>
      <w:marTop w:val="0"/>
      <w:marBottom w:val="0"/>
      <w:divBdr>
        <w:top w:val="none" w:sz="0" w:space="0" w:color="auto"/>
        <w:left w:val="none" w:sz="0" w:space="0" w:color="auto"/>
        <w:bottom w:val="none" w:sz="0" w:space="0" w:color="auto"/>
        <w:right w:val="none" w:sz="0" w:space="0" w:color="auto"/>
      </w:divBdr>
    </w:div>
    <w:div w:id="1519389061">
      <w:bodyDiv w:val="1"/>
      <w:marLeft w:val="0"/>
      <w:marRight w:val="0"/>
      <w:marTop w:val="0"/>
      <w:marBottom w:val="0"/>
      <w:divBdr>
        <w:top w:val="none" w:sz="0" w:space="0" w:color="auto"/>
        <w:left w:val="none" w:sz="0" w:space="0" w:color="auto"/>
        <w:bottom w:val="none" w:sz="0" w:space="0" w:color="auto"/>
        <w:right w:val="none" w:sz="0" w:space="0" w:color="auto"/>
      </w:divBdr>
    </w:div>
    <w:div w:id="1520462657">
      <w:bodyDiv w:val="1"/>
      <w:marLeft w:val="0"/>
      <w:marRight w:val="0"/>
      <w:marTop w:val="0"/>
      <w:marBottom w:val="0"/>
      <w:divBdr>
        <w:top w:val="none" w:sz="0" w:space="0" w:color="auto"/>
        <w:left w:val="none" w:sz="0" w:space="0" w:color="auto"/>
        <w:bottom w:val="none" w:sz="0" w:space="0" w:color="auto"/>
        <w:right w:val="none" w:sz="0" w:space="0" w:color="auto"/>
      </w:divBdr>
    </w:div>
    <w:div w:id="1520464819">
      <w:bodyDiv w:val="1"/>
      <w:marLeft w:val="0"/>
      <w:marRight w:val="0"/>
      <w:marTop w:val="0"/>
      <w:marBottom w:val="0"/>
      <w:divBdr>
        <w:top w:val="none" w:sz="0" w:space="0" w:color="auto"/>
        <w:left w:val="none" w:sz="0" w:space="0" w:color="auto"/>
        <w:bottom w:val="none" w:sz="0" w:space="0" w:color="auto"/>
        <w:right w:val="none" w:sz="0" w:space="0" w:color="auto"/>
      </w:divBdr>
    </w:div>
    <w:div w:id="1524174339">
      <w:bodyDiv w:val="1"/>
      <w:marLeft w:val="0"/>
      <w:marRight w:val="0"/>
      <w:marTop w:val="0"/>
      <w:marBottom w:val="0"/>
      <w:divBdr>
        <w:top w:val="none" w:sz="0" w:space="0" w:color="auto"/>
        <w:left w:val="none" w:sz="0" w:space="0" w:color="auto"/>
        <w:bottom w:val="none" w:sz="0" w:space="0" w:color="auto"/>
        <w:right w:val="none" w:sz="0" w:space="0" w:color="auto"/>
      </w:divBdr>
    </w:div>
    <w:div w:id="1527056740">
      <w:bodyDiv w:val="1"/>
      <w:marLeft w:val="0"/>
      <w:marRight w:val="0"/>
      <w:marTop w:val="0"/>
      <w:marBottom w:val="0"/>
      <w:divBdr>
        <w:top w:val="none" w:sz="0" w:space="0" w:color="auto"/>
        <w:left w:val="none" w:sz="0" w:space="0" w:color="auto"/>
        <w:bottom w:val="none" w:sz="0" w:space="0" w:color="auto"/>
        <w:right w:val="none" w:sz="0" w:space="0" w:color="auto"/>
      </w:divBdr>
    </w:div>
    <w:div w:id="1528369809">
      <w:bodyDiv w:val="1"/>
      <w:marLeft w:val="0"/>
      <w:marRight w:val="0"/>
      <w:marTop w:val="0"/>
      <w:marBottom w:val="0"/>
      <w:divBdr>
        <w:top w:val="none" w:sz="0" w:space="0" w:color="auto"/>
        <w:left w:val="none" w:sz="0" w:space="0" w:color="auto"/>
        <w:bottom w:val="none" w:sz="0" w:space="0" w:color="auto"/>
        <w:right w:val="none" w:sz="0" w:space="0" w:color="auto"/>
      </w:divBdr>
    </w:div>
    <w:div w:id="1530098129">
      <w:bodyDiv w:val="1"/>
      <w:marLeft w:val="0"/>
      <w:marRight w:val="0"/>
      <w:marTop w:val="0"/>
      <w:marBottom w:val="0"/>
      <w:divBdr>
        <w:top w:val="none" w:sz="0" w:space="0" w:color="auto"/>
        <w:left w:val="none" w:sz="0" w:space="0" w:color="auto"/>
        <w:bottom w:val="none" w:sz="0" w:space="0" w:color="auto"/>
        <w:right w:val="none" w:sz="0" w:space="0" w:color="auto"/>
      </w:divBdr>
    </w:div>
    <w:div w:id="1531605297">
      <w:bodyDiv w:val="1"/>
      <w:marLeft w:val="0"/>
      <w:marRight w:val="0"/>
      <w:marTop w:val="0"/>
      <w:marBottom w:val="0"/>
      <w:divBdr>
        <w:top w:val="none" w:sz="0" w:space="0" w:color="auto"/>
        <w:left w:val="none" w:sz="0" w:space="0" w:color="auto"/>
        <w:bottom w:val="none" w:sz="0" w:space="0" w:color="auto"/>
        <w:right w:val="none" w:sz="0" w:space="0" w:color="auto"/>
      </w:divBdr>
    </w:div>
    <w:div w:id="1532065975">
      <w:bodyDiv w:val="1"/>
      <w:marLeft w:val="0"/>
      <w:marRight w:val="0"/>
      <w:marTop w:val="0"/>
      <w:marBottom w:val="0"/>
      <w:divBdr>
        <w:top w:val="none" w:sz="0" w:space="0" w:color="auto"/>
        <w:left w:val="none" w:sz="0" w:space="0" w:color="auto"/>
        <w:bottom w:val="none" w:sz="0" w:space="0" w:color="auto"/>
        <w:right w:val="none" w:sz="0" w:space="0" w:color="auto"/>
      </w:divBdr>
    </w:div>
    <w:div w:id="1535272452">
      <w:bodyDiv w:val="1"/>
      <w:marLeft w:val="0"/>
      <w:marRight w:val="0"/>
      <w:marTop w:val="0"/>
      <w:marBottom w:val="0"/>
      <w:divBdr>
        <w:top w:val="none" w:sz="0" w:space="0" w:color="auto"/>
        <w:left w:val="none" w:sz="0" w:space="0" w:color="auto"/>
        <w:bottom w:val="none" w:sz="0" w:space="0" w:color="auto"/>
        <w:right w:val="none" w:sz="0" w:space="0" w:color="auto"/>
      </w:divBdr>
    </w:div>
    <w:div w:id="1535341717">
      <w:bodyDiv w:val="1"/>
      <w:marLeft w:val="0"/>
      <w:marRight w:val="0"/>
      <w:marTop w:val="0"/>
      <w:marBottom w:val="0"/>
      <w:divBdr>
        <w:top w:val="none" w:sz="0" w:space="0" w:color="auto"/>
        <w:left w:val="none" w:sz="0" w:space="0" w:color="auto"/>
        <w:bottom w:val="none" w:sz="0" w:space="0" w:color="auto"/>
        <w:right w:val="none" w:sz="0" w:space="0" w:color="auto"/>
      </w:divBdr>
    </w:div>
    <w:div w:id="1535920072">
      <w:bodyDiv w:val="1"/>
      <w:marLeft w:val="0"/>
      <w:marRight w:val="0"/>
      <w:marTop w:val="0"/>
      <w:marBottom w:val="0"/>
      <w:divBdr>
        <w:top w:val="none" w:sz="0" w:space="0" w:color="auto"/>
        <w:left w:val="none" w:sz="0" w:space="0" w:color="auto"/>
        <w:bottom w:val="none" w:sz="0" w:space="0" w:color="auto"/>
        <w:right w:val="none" w:sz="0" w:space="0" w:color="auto"/>
      </w:divBdr>
    </w:div>
    <w:div w:id="1543901834">
      <w:bodyDiv w:val="1"/>
      <w:marLeft w:val="0"/>
      <w:marRight w:val="0"/>
      <w:marTop w:val="0"/>
      <w:marBottom w:val="0"/>
      <w:divBdr>
        <w:top w:val="none" w:sz="0" w:space="0" w:color="auto"/>
        <w:left w:val="none" w:sz="0" w:space="0" w:color="auto"/>
        <w:bottom w:val="none" w:sz="0" w:space="0" w:color="auto"/>
        <w:right w:val="none" w:sz="0" w:space="0" w:color="auto"/>
      </w:divBdr>
    </w:div>
    <w:div w:id="1545560811">
      <w:bodyDiv w:val="1"/>
      <w:marLeft w:val="0"/>
      <w:marRight w:val="0"/>
      <w:marTop w:val="0"/>
      <w:marBottom w:val="0"/>
      <w:divBdr>
        <w:top w:val="none" w:sz="0" w:space="0" w:color="auto"/>
        <w:left w:val="none" w:sz="0" w:space="0" w:color="auto"/>
        <w:bottom w:val="none" w:sz="0" w:space="0" w:color="auto"/>
        <w:right w:val="none" w:sz="0" w:space="0" w:color="auto"/>
      </w:divBdr>
    </w:div>
    <w:div w:id="1545824815">
      <w:bodyDiv w:val="1"/>
      <w:marLeft w:val="0"/>
      <w:marRight w:val="0"/>
      <w:marTop w:val="0"/>
      <w:marBottom w:val="0"/>
      <w:divBdr>
        <w:top w:val="none" w:sz="0" w:space="0" w:color="auto"/>
        <w:left w:val="none" w:sz="0" w:space="0" w:color="auto"/>
        <w:bottom w:val="none" w:sz="0" w:space="0" w:color="auto"/>
        <w:right w:val="none" w:sz="0" w:space="0" w:color="auto"/>
      </w:divBdr>
    </w:div>
    <w:div w:id="1553926676">
      <w:bodyDiv w:val="1"/>
      <w:marLeft w:val="0"/>
      <w:marRight w:val="0"/>
      <w:marTop w:val="0"/>
      <w:marBottom w:val="0"/>
      <w:divBdr>
        <w:top w:val="none" w:sz="0" w:space="0" w:color="auto"/>
        <w:left w:val="none" w:sz="0" w:space="0" w:color="auto"/>
        <w:bottom w:val="none" w:sz="0" w:space="0" w:color="auto"/>
        <w:right w:val="none" w:sz="0" w:space="0" w:color="auto"/>
      </w:divBdr>
    </w:div>
    <w:div w:id="1554072514">
      <w:bodyDiv w:val="1"/>
      <w:marLeft w:val="0"/>
      <w:marRight w:val="0"/>
      <w:marTop w:val="0"/>
      <w:marBottom w:val="0"/>
      <w:divBdr>
        <w:top w:val="none" w:sz="0" w:space="0" w:color="auto"/>
        <w:left w:val="none" w:sz="0" w:space="0" w:color="auto"/>
        <w:bottom w:val="none" w:sz="0" w:space="0" w:color="auto"/>
        <w:right w:val="none" w:sz="0" w:space="0" w:color="auto"/>
      </w:divBdr>
    </w:div>
    <w:div w:id="1559393745">
      <w:bodyDiv w:val="1"/>
      <w:marLeft w:val="0"/>
      <w:marRight w:val="0"/>
      <w:marTop w:val="0"/>
      <w:marBottom w:val="0"/>
      <w:divBdr>
        <w:top w:val="none" w:sz="0" w:space="0" w:color="auto"/>
        <w:left w:val="none" w:sz="0" w:space="0" w:color="auto"/>
        <w:bottom w:val="none" w:sz="0" w:space="0" w:color="auto"/>
        <w:right w:val="none" w:sz="0" w:space="0" w:color="auto"/>
      </w:divBdr>
    </w:div>
    <w:div w:id="1564558511">
      <w:bodyDiv w:val="1"/>
      <w:marLeft w:val="0"/>
      <w:marRight w:val="0"/>
      <w:marTop w:val="0"/>
      <w:marBottom w:val="0"/>
      <w:divBdr>
        <w:top w:val="none" w:sz="0" w:space="0" w:color="auto"/>
        <w:left w:val="none" w:sz="0" w:space="0" w:color="auto"/>
        <w:bottom w:val="none" w:sz="0" w:space="0" w:color="auto"/>
        <w:right w:val="none" w:sz="0" w:space="0" w:color="auto"/>
      </w:divBdr>
    </w:div>
    <w:div w:id="1568760127">
      <w:bodyDiv w:val="1"/>
      <w:marLeft w:val="0"/>
      <w:marRight w:val="0"/>
      <w:marTop w:val="0"/>
      <w:marBottom w:val="0"/>
      <w:divBdr>
        <w:top w:val="none" w:sz="0" w:space="0" w:color="auto"/>
        <w:left w:val="none" w:sz="0" w:space="0" w:color="auto"/>
        <w:bottom w:val="none" w:sz="0" w:space="0" w:color="auto"/>
        <w:right w:val="none" w:sz="0" w:space="0" w:color="auto"/>
      </w:divBdr>
    </w:div>
    <w:div w:id="1570269452">
      <w:bodyDiv w:val="1"/>
      <w:marLeft w:val="0"/>
      <w:marRight w:val="0"/>
      <w:marTop w:val="0"/>
      <w:marBottom w:val="0"/>
      <w:divBdr>
        <w:top w:val="none" w:sz="0" w:space="0" w:color="auto"/>
        <w:left w:val="none" w:sz="0" w:space="0" w:color="auto"/>
        <w:bottom w:val="none" w:sz="0" w:space="0" w:color="auto"/>
        <w:right w:val="none" w:sz="0" w:space="0" w:color="auto"/>
      </w:divBdr>
    </w:div>
    <w:div w:id="1571892311">
      <w:bodyDiv w:val="1"/>
      <w:marLeft w:val="0"/>
      <w:marRight w:val="0"/>
      <w:marTop w:val="0"/>
      <w:marBottom w:val="0"/>
      <w:divBdr>
        <w:top w:val="none" w:sz="0" w:space="0" w:color="auto"/>
        <w:left w:val="none" w:sz="0" w:space="0" w:color="auto"/>
        <w:bottom w:val="none" w:sz="0" w:space="0" w:color="auto"/>
        <w:right w:val="none" w:sz="0" w:space="0" w:color="auto"/>
      </w:divBdr>
    </w:div>
    <w:div w:id="1573201902">
      <w:bodyDiv w:val="1"/>
      <w:marLeft w:val="0"/>
      <w:marRight w:val="0"/>
      <w:marTop w:val="0"/>
      <w:marBottom w:val="0"/>
      <w:divBdr>
        <w:top w:val="none" w:sz="0" w:space="0" w:color="auto"/>
        <w:left w:val="none" w:sz="0" w:space="0" w:color="auto"/>
        <w:bottom w:val="none" w:sz="0" w:space="0" w:color="auto"/>
        <w:right w:val="none" w:sz="0" w:space="0" w:color="auto"/>
      </w:divBdr>
    </w:div>
    <w:div w:id="1580821753">
      <w:bodyDiv w:val="1"/>
      <w:marLeft w:val="0"/>
      <w:marRight w:val="0"/>
      <w:marTop w:val="0"/>
      <w:marBottom w:val="0"/>
      <w:divBdr>
        <w:top w:val="none" w:sz="0" w:space="0" w:color="auto"/>
        <w:left w:val="none" w:sz="0" w:space="0" w:color="auto"/>
        <w:bottom w:val="none" w:sz="0" w:space="0" w:color="auto"/>
        <w:right w:val="none" w:sz="0" w:space="0" w:color="auto"/>
      </w:divBdr>
    </w:div>
    <w:div w:id="1584024139">
      <w:bodyDiv w:val="1"/>
      <w:marLeft w:val="0"/>
      <w:marRight w:val="0"/>
      <w:marTop w:val="0"/>
      <w:marBottom w:val="0"/>
      <w:divBdr>
        <w:top w:val="none" w:sz="0" w:space="0" w:color="auto"/>
        <w:left w:val="none" w:sz="0" w:space="0" w:color="auto"/>
        <w:bottom w:val="none" w:sz="0" w:space="0" w:color="auto"/>
        <w:right w:val="none" w:sz="0" w:space="0" w:color="auto"/>
      </w:divBdr>
    </w:div>
    <w:div w:id="1584490260">
      <w:bodyDiv w:val="1"/>
      <w:marLeft w:val="0"/>
      <w:marRight w:val="0"/>
      <w:marTop w:val="0"/>
      <w:marBottom w:val="0"/>
      <w:divBdr>
        <w:top w:val="none" w:sz="0" w:space="0" w:color="auto"/>
        <w:left w:val="none" w:sz="0" w:space="0" w:color="auto"/>
        <w:bottom w:val="none" w:sz="0" w:space="0" w:color="auto"/>
        <w:right w:val="none" w:sz="0" w:space="0" w:color="auto"/>
      </w:divBdr>
    </w:div>
    <w:div w:id="1584606286">
      <w:bodyDiv w:val="1"/>
      <w:marLeft w:val="0"/>
      <w:marRight w:val="0"/>
      <w:marTop w:val="0"/>
      <w:marBottom w:val="0"/>
      <w:divBdr>
        <w:top w:val="none" w:sz="0" w:space="0" w:color="auto"/>
        <w:left w:val="none" w:sz="0" w:space="0" w:color="auto"/>
        <w:bottom w:val="none" w:sz="0" w:space="0" w:color="auto"/>
        <w:right w:val="none" w:sz="0" w:space="0" w:color="auto"/>
      </w:divBdr>
    </w:div>
    <w:div w:id="1585526558">
      <w:bodyDiv w:val="1"/>
      <w:marLeft w:val="0"/>
      <w:marRight w:val="0"/>
      <w:marTop w:val="0"/>
      <w:marBottom w:val="0"/>
      <w:divBdr>
        <w:top w:val="none" w:sz="0" w:space="0" w:color="auto"/>
        <w:left w:val="none" w:sz="0" w:space="0" w:color="auto"/>
        <w:bottom w:val="none" w:sz="0" w:space="0" w:color="auto"/>
        <w:right w:val="none" w:sz="0" w:space="0" w:color="auto"/>
      </w:divBdr>
    </w:div>
    <w:div w:id="1585795033">
      <w:bodyDiv w:val="1"/>
      <w:marLeft w:val="0"/>
      <w:marRight w:val="0"/>
      <w:marTop w:val="0"/>
      <w:marBottom w:val="0"/>
      <w:divBdr>
        <w:top w:val="none" w:sz="0" w:space="0" w:color="auto"/>
        <w:left w:val="none" w:sz="0" w:space="0" w:color="auto"/>
        <w:bottom w:val="none" w:sz="0" w:space="0" w:color="auto"/>
        <w:right w:val="none" w:sz="0" w:space="0" w:color="auto"/>
      </w:divBdr>
    </w:div>
    <w:div w:id="1587420452">
      <w:bodyDiv w:val="1"/>
      <w:marLeft w:val="0"/>
      <w:marRight w:val="0"/>
      <w:marTop w:val="0"/>
      <w:marBottom w:val="0"/>
      <w:divBdr>
        <w:top w:val="none" w:sz="0" w:space="0" w:color="auto"/>
        <w:left w:val="none" w:sz="0" w:space="0" w:color="auto"/>
        <w:bottom w:val="none" w:sz="0" w:space="0" w:color="auto"/>
        <w:right w:val="none" w:sz="0" w:space="0" w:color="auto"/>
      </w:divBdr>
    </w:div>
    <w:div w:id="1588349226">
      <w:bodyDiv w:val="1"/>
      <w:marLeft w:val="0"/>
      <w:marRight w:val="0"/>
      <w:marTop w:val="0"/>
      <w:marBottom w:val="0"/>
      <w:divBdr>
        <w:top w:val="none" w:sz="0" w:space="0" w:color="auto"/>
        <w:left w:val="none" w:sz="0" w:space="0" w:color="auto"/>
        <w:bottom w:val="none" w:sz="0" w:space="0" w:color="auto"/>
        <w:right w:val="none" w:sz="0" w:space="0" w:color="auto"/>
      </w:divBdr>
    </w:div>
    <w:div w:id="1591355042">
      <w:bodyDiv w:val="1"/>
      <w:marLeft w:val="0"/>
      <w:marRight w:val="0"/>
      <w:marTop w:val="0"/>
      <w:marBottom w:val="0"/>
      <w:divBdr>
        <w:top w:val="none" w:sz="0" w:space="0" w:color="auto"/>
        <w:left w:val="none" w:sz="0" w:space="0" w:color="auto"/>
        <w:bottom w:val="none" w:sz="0" w:space="0" w:color="auto"/>
        <w:right w:val="none" w:sz="0" w:space="0" w:color="auto"/>
      </w:divBdr>
    </w:div>
    <w:div w:id="1592657922">
      <w:bodyDiv w:val="1"/>
      <w:marLeft w:val="0"/>
      <w:marRight w:val="0"/>
      <w:marTop w:val="0"/>
      <w:marBottom w:val="0"/>
      <w:divBdr>
        <w:top w:val="none" w:sz="0" w:space="0" w:color="auto"/>
        <w:left w:val="none" w:sz="0" w:space="0" w:color="auto"/>
        <w:bottom w:val="none" w:sz="0" w:space="0" w:color="auto"/>
        <w:right w:val="none" w:sz="0" w:space="0" w:color="auto"/>
      </w:divBdr>
    </w:div>
    <w:div w:id="1598175037">
      <w:bodyDiv w:val="1"/>
      <w:marLeft w:val="0"/>
      <w:marRight w:val="0"/>
      <w:marTop w:val="0"/>
      <w:marBottom w:val="0"/>
      <w:divBdr>
        <w:top w:val="none" w:sz="0" w:space="0" w:color="auto"/>
        <w:left w:val="none" w:sz="0" w:space="0" w:color="auto"/>
        <w:bottom w:val="none" w:sz="0" w:space="0" w:color="auto"/>
        <w:right w:val="none" w:sz="0" w:space="0" w:color="auto"/>
      </w:divBdr>
    </w:div>
    <w:div w:id="1599751856">
      <w:bodyDiv w:val="1"/>
      <w:marLeft w:val="0"/>
      <w:marRight w:val="0"/>
      <w:marTop w:val="0"/>
      <w:marBottom w:val="0"/>
      <w:divBdr>
        <w:top w:val="none" w:sz="0" w:space="0" w:color="auto"/>
        <w:left w:val="none" w:sz="0" w:space="0" w:color="auto"/>
        <w:bottom w:val="none" w:sz="0" w:space="0" w:color="auto"/>
        <w:right w:val="none" w:sz="0" w:space="0" w:color="auto"/>
      </w:divBdr>
    </w:div>
    <w:div w:id="1608928203">
      <w:bodyDiv w:val="1"/>
      <w:marLeft w:val="0"/>
      <w:marRight w:val="0"/>
      <w:marTop w:val="0"/>
      <w:marBottom w:val="0"/>
      <w:divBdr>
        <w:top w:val="none" w:sz="0" w:space="0" w:color="auto"/>
        <w:left w:val="none" w:sz="0" w:space="0" w:color="auto"/>
        <w:bottom w:val="none" w:sz="0" w:space="0" w:color="auto"/>
        <w:right w:val="none" w:sz="0" w:space="0" w:color="auto"/>
      </w:divBdr>
    </w:div>
    <w:div w:id="1611743775">
      <w:bodyDiv w:val="1"/>
      <w:marLeft w:val="0"/>
      <w:marRight w:val="0"/>
      <w:marTop w:val="0"/>
      <w:marBottom w:val="0"/>
      <w:divBdr>
        <w:top w:val="none" w:sz="0" w:space="0" w:color="auto"/>
        <w:left w:val="none" w:sz="0" w:space="0" w:color="auto"/>
        <w:bottom w:val="none" w:sz="0" w:space="0" w:color="auto"/>
        <w:right w:val="none" w:sz="0" w:space="0" w:color="auto"/>
      </w:divBdr>
    </w:div>
    <w:div w:id="1615942839">
      <w:bodyDiv w:val="1"/>
      <w:marLeft w:val="0"/>
      <w:marRight w:val="0"/>
      <w:marTop w:val="0"/>
      <w:marBottom w:val="0"/>
      <w:divBdr>
        <w:top w:val="none" w:sz="0" w:space="0" w:color="auto"/>
        <w:left w:val="none" w:sz="0" w:space="0" w:color="auto"/>
        <w:bottom w:val="none" w:sz="0" w:space="0" w:color="auto"/>
        <w:right w:val="none" w:sz="0" w:space="0" w:color="auto"/>
      </w:divBdr>
    </w:div>
    <w:div w:id="1621033218">
      <w:bodyDiv w:val="1"/>
      <w:marLeft w:val="0"/>
      <w:marRight w:val="0"/>
      <w:marTop w:val="0"/>
      <w:marBottom w:val="0"/>
      <w:divBdr>
        <w:top w:val="none" w:sz="0" w:space="0" w:color="auto"/>
        <w:left w:val="none" w:sz="0" w:space="0" w:color="auto"/>
        <w:bottom w:val="none" w:sz="0" w:space="0" w:color="auto"/>
        <w:right w:val="none" w:sz="0" w:space="0" w:color="auto"/>
      </w:divBdr>
    </w:div>
    <w:div w:id="162144923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818406">
      <w:bodyDiv w:val="1"/>
      <w:marLeft w:val="0"/>
      <w:marRight w:val="0"/>
      <w:marTop w:val="0"/>
      <w:marBottom w:val="0"/>
      <w:divBdr>
        <w:top w:val="none" w:sz="0" w:space="0" w:color="auto"/>
        <w:left w:val="none" w:sz="0" w:space="0" w:color="auto"/>
        <w:bottom w:val="none" w:sz="0" w:space="0" w:color="auto"/>
        <w:right w:val="none" w:sz="0" w:space="0" w:color="auto"/>
      </w:divBdr>
    </w:div>
    <w:div w:id="1630744659">
      <w:bodyDiv w:val="1"/>
      <w:marLeft w:val="0"/>
      <w:marRight w:val="0"/>
      <w:marTop w:val="0"/>
      <w:marBottom w:val="0"/>
      <w:divBdr>
        <w:top w:val="none" w:sz="0" w:space="0" w:color="auto"/>
        <w:left w:val="none" w:sz="0" w:space="0" w:color="auto"/>
        <w:bottom w:val="none" w:sz="0" w:space="0" w:color="auto"/>
        <w:right w:val="none" w:sz="0" w:space="0" w:color="auto"/>
      </w:divBdr>
    </w:div>
    <w:div w:id="1636717802">
      <w:bodyDiv w:val="1"/>
      <w:marLeft w:val="0"/>
      <w:marRight w:val="0"/>
      <w:marTop w:val="0"/>
      <w:marBottom w:val="0"/>
      <w:divBdr>
        <w:top w:val="none" w:sz="0" w:space="0" w:color="auto"/>
        <w:left w:val="none" w:sz="0" w:space="0" w:color="auto"/>
        <w:bottom w:val="none" w:sz="0" w:space="0" w:color="auto"/>
        <w:right w:val="none" w:sz="0" w:space="0" w:color="auto"/>
      </w:divBdr>
    </w:div>
    <w:div w:id="1641768285">
      <w:bodyDiv w:val="1"/>
      <w:marLeft w:val="0"/>
      <w:marRight w:val="0"/>
      <w:marTop w:val="0"/>
      <w:marBottom w:val="0"/>
      <w:divBdr>
        <w:top w:val="none" w:sz="0" w:space="0" w:color="auto"/>
        <w:left w:val="none" w:sz="0" w:space="0" w:color="auto"/>
        <w:bottom w:val="none" w:sz="0" w:space="0" w:color="auto"/>
        <w:right w:val="none" w:sz="0" w:space="0" w:color="auto"/>
      </w:divBdr>
    </w:div>
    <w:div w:id="1642538750">
      <w:bodyDiv w:val="1"/>
      <w:marLeft w:val="0"/>
      <w:marRight w:val="0"/>
      <w:marTop w:val="0"/>
      <w:marBottom w:val="0"/>
      <w:divBdr>
        <w:top w:val="none" w:sz="0" w:space="0" w:color="auto"/>
        <w:left w:val="none" w:sz="0" w:space="0" w:color="auto"/>
        <w:bottom w:val="none" w:sz="0" w:space="0" w:color="auto"/>
        <w:right w:val="none" w:sz="0" w:space="0" w:color="auto"/>
      </w:divBdr>
    </w:div>
    <w:div w:id="1646353074">
      <w:bodyDiv w:val="1"/>
      <w:marLeft w:val="0"/>
      <w:marRight w:val="0"/>
      <w:marTop w:val="0"/>
      <w:marBottom w:val="0"/>
      <w:divBdr>
        <w:top w:val="none" w:sz="0" w:space="0" w:color="auto"/>
        <w:left w:val="none" w:sz="0" w:space="0" w:color="auto"/>
        <w:bottom w:val="none" w:sz="0" w:space="0" w:color="auto"/>
        <w:right w:val="none" w:sz="0" w:space="0" w:color="auto"/>
      </w:divBdr>
    </w:div>
    <w:div w:id="1648439642">
      <w:bodyDiv w:val="1"/>
      <w:marLeft w:val="0"/>
      <w:marRight w:val="0"/>
      <w:marTop w:val="0"/>
      <w:marBottom w:val="0"/>
      <w:divBdr>
        <w:top w:val="none" w:sz="0" w:space="0" w:color="auto"/>
        <w:left w:val="none" w:sz="0" w:space="0" w:color="auto"/>
        <w:bottom w:val="none" w:sz="0" w:space="0" w:color="auto"/>
        <w:right w:val="none" w:sz="0" w:space="0" w:color="auto"/>
      </w:divBdr>
    </w:div>
    <w:div w:id="1648978117">
      <w:bodyDiv w:val="1"/>
      <w:marLeft w:val="0"/>
      <w:marRight w:val="0"/>
      <w:marTop w:val="0"/>
      <w:marBottom w:val="0"/>
      <w:divBdr>
        <w:top w:val="none" w:sz="0" w:space="0" w:color="auto"/>
        <w:left w:val="none" w:sz="0" w:space="0" w:color="auto"/>
        <w:bottom w:val="none" w:sz="0" w:space="0" w:color="auto"/>
        <w:right w:val="none" w:sz="0" w:space="0" w:color="auto"/>
      </w:divBdr>
    </w:div>
    <w:div w:id="1652900617">
      <w:bodyDiv w:val="1"/>
      <w:marLeft w:val="0"/>
      <w:marRight w:val="0"/>
      <w:marTop w:val="0"/>
      <w:marBottom w:val="0"/>
      <w:divBdr>
        <w:top w:val="none" w:sz="0" w:space="0" w:color="auto"/>
        <w:left w:val="none" w:sz="0" w:space="0" w:color="auto"/>
        <w:bottom w:val="none" w:sz="0" w:space="0" w:color="auto"/>
        <w:right w:val="none" w:sz="0" w:space="0" w:color="auto"/>
      </w:divBdr>
    </w:div>
    <w:div w:id="1656104607">
      <w:bodyDiv w:val="1"/>
      <w:marLeft w:val="0"/>
      <w:marRight w:val="0"/>
      <w:marTop w:val="0"/>
      <w:marBottom w:val="0"/>
      <w:divBdr>
        <w:top w:val="none" w:sz="0" w:space="0" w:color="auto"/>
        <w:left w:val="none" w:sz="0" w:space="0" w:color="auto"/>
        <w:bottom w:val="none" w:sz="0" w:space="0" w:color="auto"/>
        <w:right w:val="none" w:sz="0" w:space="0" w:color="auto"/>
      </w:divBdr>
    </w:div>
    <w:div w:id="1658416720">
      <w:bodyDiv w:val="1"/>
      <w:marLeft w:val="0"/>
      <w:marRight w:val="0"/>
      <w:marTop w:val="0"/>
      <w:marBottom w:val="0"/>
      <w:divBdr>
        <w:top w:val="none" w:sz="0" w:space="0" w:color="auto"/>
        <w:left w:val="none" w:sz="0" w:space="0" w:color="auto"/>
        <w:bottom w:val="none" w:sz="0" w:space="0" w:color="auto"/>
        <w:right w:val="none" w:sz="0" w:space="0" w:color="auto"/>
      </w:divBdr>
    </w:div>
    <w:div w:id="1659840292">
      <w:bodyDiv w:val="1"/>
      <w:marLeft w:val="0"/>
      <w:marRight w:val="0"/>
      <w:marTop w:val="0"/>
      <w:marBottom w:val="0"/>
      <w:divBdr>
        <w:top w:val="none" w:sz="0" w:space="0" w:color="auto"/>
        <w:left w:val="none" w:sz="0" w:space="0" w:color="auto"/>
        <w:bottom w:val="none" w:sz="0" w:space="0" w:color="auto"/>
        <w:right w:val="none" w:sz="0" w:space="0" w:color="auto"/>
      </w:divBdr>
    </w:div>
    <w:div w:id="1659915890">
      <w:bodyDiv w:val="1"/>
      <w:marLeft w:val="0"/>
      <w:marRight w:val="0"/>
      <w:marTop w:val="0"/>
      <w:marBottom w:val="0"/>
      <w:divBdr>
        <w:top w:val="none" w:sz="0" w:space="0" w:color="auto"/>
        <w:left w:val="none" w:sz="0" w:space="0" w:color="auto"/>
        <w:bottom w:val="none" w:sz="0" w:space="0" w:color="auto"/>
        <w:right w:val="none" w:sz="0" w:space="0" w:color="auto"/>
      </w:divBdr>
    </w:div>
    <w:div w:id="1659918160">
      <w:bodyDiv w:val="1"/>
      <w:marLeft w:val="0"/>
      <w:marRight w:val="0"/>
      <w:marTop w:val="0"/>
      <w:marBottom w:val="0"/>
      <w:divBdr>
        <w:top w:val="none" w:sz="0" w:space="0" w:color="auto"/>
        <w:left w:val="none" w:sz="0" w:space="0" w:color="auto"/>
        <w:bottom w:val="none" w:sz="0" w:space="0" w:color="auto"/>
        <w:right w:val="none" w:sz="0" w:space="0" w:color="auto"/>
      </w:divBdr>
    </w:div>
    <w:div w:id="1660889012">
      <w:bodyDiv w:val="1"/>
      <w:marLeft w:val="0"/>
      <w:marRight w:val="0"/>
      <w:marTop w:val="0"/>
      <w:marBottom w:val="0"/>
      <w:divBdr>
        <w:top w:val="none" w:sz="0" w:space="0" w:color="auto"/>
        <w:left w:val="none" w:sz="0" w:space="0" w:color="auto"/>
        <w:bottom w:val="none" w:sz="0" w:space="0" w:color="auto"/>
        <w:right w:val="none" w:sz="0" w:space="0" w:color="auto"/>
      </w:divBdr>
    </w:div>
    <w:div w:id="1671372240">
      <w:bodyDiv w:val="1"/>
      <w:marLeft w:val="0"/>
      <w:marRight w:val="0"/>
      <w:marTop w:val="0"/>
      <w:marBottom w:val="0"/>
      <w:divBdr>
        <w:top w:val="none" w:sz="0" w:space="0" w:color="auto"/>
        <w:left w:val="none" w:sz="0" w:space="0" w:color="auto"/>
        <w:bottom w:val="none" w:sz="0" w:space="0" w:color="auto"/>
        <w:right w:val="none" w:sz="0" w:space="0" w:color="auto"/>
      </w:divBdr>
    </w:div>
    <w:div w:id="1675720685">
      <w:bodyDiv w:val="1"/>
      <w:marLeft w:val="0"/>
      <w:marRight w:val="0"/>
      <w:marTop w:val="0"/>
      <w:marBottom w:val="0"/>
      <w:divBdr>
        <w:top w:val="none" w:sz="0" w:space="0" w:color="auto"/>
        <w:left w:val="none" w:sz="0" w:space="0" w:color="auto"/>
        <w:bottom w:val="none" w:sz="0" w:space="0" w:color="auto"/>
        <w:right w:val="none" w:sz="0" w:space="0" w:color="auto"/>
      </w:divBdr>
    </w:div>
    <w:div w:id="1676683762">
      <w:bodyDiv w:val="1"/>
      <w:marLeft w:val="0"/>
      <w:marRight w:val="0"/>
      <w:marTop w:val="0"/>
      <w:marBottom w:val="0"/>
      <w:divBdr>
        <w:top w:val="none" w:sz="0" w:space="0" w:color="auto"/>
        <w:left w:val="none" w:sz="0" w:space="0" w:color="auto"/>
        <w:bottom w:val="none" w:sz="0" w:space="0" w:color="auto"/>
        <w:right w:val="none" w:sz="0" w:space="0" w:color="auto"/>
      </w:divBdr>
    </w:div>
    <w:div w:id="1677421306">
      <w:bodyDiv w:val="1"/>
      <w:marLeft w:val="0"/>
      <w:marRight w:val="0"/>
      <w:marTop w:val="0"/>
      <w:marBottom w:val="0"/>
      <w:divBdr>
        <w:top w:val="none" w:sz="0" w:space="0" w:color="auto"/>
        <w:left w:val="none" w:sz="0" w:space="0" w:color="auto"/>
        <w:bottom w:val="none" w:sz="0" w:space="0" w:color="auto"/>
        <w:right w:val="none" w:sz="0" w:space="0" w:color="auto"/>
      </w:divBdr>
    </w:div>
    <w:div w:id="1680502254">
      <w:bodyDiv w:val="1"/>
      <w:marLeft w:val="0"/>
      <w:marRight w:val="0"/>
      <w:marTop w:val="0"/>
      <w:marBottom w:val="0"/>
      <w:divBdr>
        <w:top w:val="none" w:sz="0" w:space="0" w:color="auto"/>
        <w:left w:val="none" w:sz="0" w:space="0" w:color="auto"/>
        <w:bottom w:val="none" w:sz="0" w:space="0" w:color="auto"/>
        <w:right w:val="none" w:sz="0" w:space="0" w:color="auto"/>
      </w:divBdr>
    </w:div>
    <w:div w:id="1681196873">
      <w:bodyDiv w:val="1"/>
      <w:marLeft w:val="0"/>
      <w:marRight w:val="0"/>
      <w:marTop w:val="0"/>
      <w:marBottom w:val="0"/>
      <w:divBdr>
        <w:top w:val="none" w:sz="0" w:space="0" w:color="auto"/>
        <w:left w:val="none" w:sz="0" w:space="0" w:color="auto"/>
        <w:bottom w:val="none" w:sz="0" w:space="0" w:color="auto"/>
        <w:right w:val="none" w:sz="0" w:space="0" w:color="auto"/>
      </w:divBdr>
    </w:div>
    <w:div w:id="1682854499">
      <w:bodyDiv w:val="1"/>
      <w:marLeft w:val="0"/>
      <w:marRight w:val="0"/>
      <w:marTop w:val="0"/>
      <w:marBottom w:val="0"/>
      <w:divBdr>
        <w:top w:val="none" w:sz="0" w:space="0" w:color="auto"/>
        <w:left w:val="none" w:sz="0" w:space="0" w:color="auto"/>
        <w:bottom w:val="none" w:sz="0" w:space="0" w:color="auto"/>
        <w:right w:val="none" w:sz="0" w:space="0" w:color="auto"/>
      </w:divBdr>
    </w:div>
    <w:div w:id="1690834986">
      <w:bodyDiv w:val="1"/>
      <w:marLeft w:val="0"/>
      <w:marRight w:val="0"/>
      <w:marTop w:val="0"/>
      <w:marBottom w:val="0"/>
      <w:divBdr>
        <w:top w:val="none" w:sz="0" w:space="0" w:color="auto"/>
        <w:left w:val="none" w:sz="0" w:space="0" w:color="auto"/>
        <w:bottom w:val="none" w:sz="0" w:space="0" w:color="auto"/>
        <w:right w:val="none" w:sz="0" w:space="0" w:color="auto"/>
      </w:divBdr>
    </w:div>
    <w:div w:id="1691486894">
      <w:bodyDiv w:val="1"/>
      <w:marLeft w:val="0"/>
      <w:marRight w:val="0"/>
      <w:marTop w:val="0"/>
      <w:marBottom w:val="0"/>
      <w:divBdr>
        <w:top w:val="none" w:sz="0" w:space="0" w:color="auto"/>
        <w:left w:val="none" w:sz="0" w:space="0" w:color="auto"/>
        <w:bottom w:val="none" w:sz="0" w:space="0" w:color="auto"/>
        <w:right w:val="none" w:sz="0" w:space="0" w:color="auto"/>
      </w:divBdr>
    </w:div>
    <w:div w:id="1691758889">
      <w:bodyDiv w:val="1"/>
      <w:marLeft w:val="0"/>
      <w:marRight w:val="0"/>
      <w:marTop w:val="0"/>
      <w:marBottom w:val="0"/>
      <w:divBdr>
        <w:top w:val="none" w:sz="0" w:space="0" w:color="auto"/>
        <w:left w:val="none" w:sz="0" w:space="0" w:color="auto"/>
        <w:bottom w:val="none" w:sz="0" w:space="0" w:color="auto"/>
        <w:right w:val="none" w:sz="0" w:space="0" w:color="auto"/>
      </w:divBdr>
    </w:div>
    <w:div w:id="1692801091">
      <w:bodyDiv w:val="1"/>
      <w:marLeft w:val="0"/>
      <w:marRight w:val="0"/>
      <w:marTop w:val="0"/>
      <w:marBottom w:val="0"/>
      <w:divBdr>
        <w:top w:val="none" w:sz="0" w:space="0" w:color="auto"/>
        <w:left w:val="none" w:sz="0" w:space="0" w:color="auto"/>
        <w:bottom w:val="none" w:sz="0" w:space="0" w:color="auto"/>
        <w:right w:val="none" w:sz="0" w:space="0" w:color="auto"/>
      </w:divBdr>
    </w:div>
    <w:div w:id="1693846564">
      <w:bodyDiv w:val="1"/>
      <w:marLeft w:val="0"/>
      <w:marRight w:val="0"/>
      <w:marTop w:val="0"/>
      <w:marBottom w:val="0"/>
      <w:divBdr>
        <w:top w:val="none" w:sz="0" w:space="0" w:color="auto"/>
        <w:left w:val="none" w:sz="0" w:space="0" w:color="auto"/>
        <w:bottom w:val="none" w:sz="0" w:space="0" w:color="auto"/>
        <w:right w:val="none" w:sz="0" w:space="0" w:color="auto"/>
      </w:divBdr>
    </w:div>
    <w:div w:id="1696540240">
      <w:bodyDiv w:val="1"/>
      <w:marLeft w:val="0"/>
      <w:marRight w:val="0"/>
      <w:marTop w:val="0"/>
      <w:marBottom w:val="0"/>
      <w:divBdr>
        <w:top w:val="none" w:sz="0" w:space="0" w:color="auto"/>
        <w:left w:val="none" w:sz="0" w:space="0" w:color="auto"/>
        <w:bottom w:val="none" w:sz="0" w:space="0" w:color="auto"/>
        <w:right w:val="none" w:sz="0" w:space="0" w:color="auto"/>
      </w:divBdr>
    </w:div>
    <w:div w:id="1698892691">
      <w:bodyDiv w:val="1"/>
      <w:marLeft w:val="0"/>
      <w:marRight w:val="0"/>
      <w:marTop w:val="0"/>
      <w:marBottom w:val="0"/>
      <w:divBdr>
        <w:top w:val="none" w:sz="0" w:space="0" w:color="auto"/>
        <w:left w:val="none" w:sz="0" w:space="0" w:color="auto"/>
        <w:bottom w:val="none" w:sz="0" w:space="0" w:color="auto"/>
        <w:right w:val="none" w:sz="0" w:space="0" w:color="auto"/>
      </w:divBdr>
    </w:div>
    <w:div w:id="1701125795">
      <w:bodyDiv w:val="1"/>
      <w:marLeft w:val="0"/>
      <w:marRight w:val="0"/>
      <w:marTop w:val="0"/>
      <w:marBottom w:val="0"/>
      <w:divBdr>
        <w:top w:val="none" w:sz="0" w:space="0" w:color="auto"/>
        <w:left w:val="none" w:sz="0" w:space="0" w:color="auto"/>
        <w:bottom w:val="none" w:sz="0" w:space="0" w:color="auto"/>
        <w:right w:val="none" w:sz="0" w:space="0" w:color="auto"/>
      </w:divBdr>
    </w:div>
    <w:div w:id="1702168452">
      <w:bodyDiv w:val="1"/>
      <w:marLeft w:val="0"/>
      <w:marRight w:val="0"/>
      <w:marTop w:val="0"/>
      <w:marBottom w:val="0"/>
      <w:divBdr>
        <w:top w:val="none" w:sz="0" w:space="0" w:color="auto"/>
        <w:left w:val="none" w:sz="0" w:space="0" w:color="auto"/>
        <w:bottom w:val="none" w:sz="0" w:space="0" w:color="auto"/>
        <w:right w:val="none" w:sz="0" w:space="0" w:color="auto"/>
      </w:divBdr>
    </w:div>
    <w:div w:id="1703246734">
      <w:bodyDiv w:val="1"/>
      <w:marLeft w:val="0"/>
      <w:marRight w:val="0"/>
      <w:marTop w:val="0"/>
      <w:marBottom w:val="0"/>
      <w:divBdr>
        <w:top w:val="none" w:sz="0" w:space="0" w:color="auto"/>
        <w:left w:val="none" w:sz="0" w:space="0" w:color="auto"/>
        <w:bottom w:val="none" w:sz="0" w:space="0" w:color="auto"/>
        <w:right w:val="none" w:sz="0" w:space="0" w:color="auto"/>
      </w:divBdr>
    </w:div>
    <w:div w:id="1703748843">
      <w:bodyDiv w:val="1"/>
      <w:marLeft w:val="0"/>
      <w:marRight w:val="0"/>
      <w:marTop w:val="0"/>
      <w:marBottom w:val="0"/>
      <w:divBdr>
        <w:top w:val="none" w:sz="0" w:space="0" w:color="auto"/>
        <w:left w:val="none" w:sz="0" w:space="0" w:color="auto"/>
        <w:bottom w:val="none" w:sz="0" w:space="0" w:color="auto"/>
        <w:right w:val="none" w:sz="0" w:space="0" w:color="auto"/>
      </w:divBdr>
    </w:div>
    <w:div w:id="1709643076">
      <w:bodyDiv w:val="1"/>
      <w:marLeft w:val="0"/>
      <w:marRight w:val="0"/>
      <w:marTop w:val="0"/>
      <w:marBottom w:val="0"/>
      <w:divBdr>
        <w:top w:val="none" w:sz="0" w:space="0" w:color="auto"/>
        <w:left w:val="none" w:sz="0" w:space="0" w:color="auto"/>
        <w:bottom w:val="none" w:sz="0" w:space="0" w:color="auto"/>
        <w:right w:val="none" w:sz="0" w:space="0" w:color="auto"/>
      </w:divBdr>
    </w:div>
    <w:div w:id="1710258874">
      <w:bodyDiv w:val="1"/>
      <w:marLeft w:val="0"/>
      <w:marRight w:val="0"/>
      <w:marTop w:val="0"/>
      <w:marBottom w:val="0"/>
      <w:divBdr>
        <w:top w:val="none" w:sz="0" w:space="0" w:color="auto"/>
        <w:left w:val="none" w:sz="0" w:space="0" w:color="auto"/>
        <w:bottom w:val="none" w:sz="0" w:space="0" w:color="auto"/>
        <w:right w:val="none" w:sz="0" w:space="0" w:color="auto"/>
      </w:divBdr>
    </w:div>
    <w:div w:id="1710912522">
      <w:bodyDiv w:val="1"/>
      <w:marLeft w:val="0"/>
      <w:marRight w:val="0"/>
      <w:marTop w:val="0"/>
      <w:marBottom w:val="0"/>
      <w:divBdr>
        <w:top w:val="none" w:sz="0" w:space="0" w:color="auto"/>
        <w:left w:val="none" w:sz="0" w:space="0" w:color="auto"/>
        <w:bottom w:val="none" w:sz="0" w:space="0" w:color="auto"/>
        <w:right w:val="none" w:sz="0" w:space="0" w:color="auto"/>
      </w:divBdr>
    </w:div>
    <w:div w:id="1711303242">
      <w:bodyDiv w:val="1"/>
      <w:marLeft w:val="0"/>
      <w:marRight w:val="0"/>
      <w:marTop w:val="0"/>
      <w:marBottom w:val="0"/>
      <w:divBdr>
        <w:top w:val="none" w:sz="0" w:space="0" w:color="auto"/>
        <w:left w:val="none" w:sz="0" w:space="0" w:color="auto"/>
        <w:bottom w:val="none" w:sz="0" w:space="0" w:color="auto"/>
        <w:right w:val="none" w:sz="0" w:space="0" w:color="auto"/>
      </w:divBdr>
    </w:div>
    <w:div w:id="1712028781">
      <w:bodyDiv w:val="1"/>
      <w:marLeft w:val="0"/>
      <w:marRight w:val="0"/>
      <w:marTop w:val="0"/>
      <w:marBottom w:val="0"/>
      <w:divBdr>
        <w:top w:val="none" w:sz="0" w:space="0" w:color="auto"/>
        <w:left w:val="none" w:sz="0" w:space="0" w:color="auto"/>
        <w:bottom w:val="none" w:sz="0" w:space="0" w:color="auto"/>
        <w:right w:val="none" w:sz="0" w:space="0" w:color="auto"/>
      </w:divBdr>
    </w:div>
    <w:div w:id="1713722159">
      <w:bodyDiv w:val="1"/>
      <w:marLeft w:val="0"/>
      <w:marRight w:val="0"/>
      <w:marTop w:val="0"/>
      <w:marBottom w:val="0"/>
      <w:divBdr>
        <w:top w:val="none" w:sz="0" w:space="0" w:color="auto"/>
        <w:left w:val="none" w:sz="0" w:space="0" w:color="auto"/>
        <w:bottom w:val="none" w:sz="0" w:space="0" w:color="auto"/>
        <w:right w:val="none" w:sz="0" w:space="0" w:color="auto"/>
      </w:divBdr>
    </w:div>
    <w:div w:id="1714112210">
      <w:bodyDiv w:val="1"/>
      <w:marLeft w:val="0"/>
      <w:marRight w:val="0"/>
      <w:marTop w:val="0"/>
      <w:marBottom w:val="0"/>
      <w:divBdr>
        <w:top w:val="none" w:sz="0" w:space="0" w:color="auto"/>
        <w:left w:val="none" w:sz="0" w:space="0" w:color="auto"/>
        <w:bottom w:val="none" w:sz="0" w:space="0" w:color="auto"/>
        <w:right w:val="none" w:sz="0" w:space="0" w:color="auto"/>
      </w:divBdr>
    </w:div>
    <w:div w:id="1716390802">
      <w:bodyDiv w:val="1"/>
      <w:marLeft w:val="0"/>
      <w:marRight w:val="0"/>
      <w:marTop w:val="0"/>
      <w:marBottom w:val="0"/>
      <w:divBdr>
        <w:top w:val="none" w:sz="0" w:space="0" w:color="auto"/>
        <w:left w:val="none" w:sz="0" w:space="0" w:color="auto"/>
        <w:bottom w:val="none" w:sz="0" w:space="0" w:color="auto"/>
        <w:right w:val="none" w:sz="0" w:space="0" w:color="auto"/>
      </w:divBdr>
    </w:div>
    <w:div w:id="1717464335">
      <w:bodyDiv w:val="1"/>
      <w:marLeft w:val="0"/>
      <w:marRight w:val="0"/>
      <w:marTop w:val="0"/>
      <w:marBottom w:val="0"/>
      <w:divBdr>
        <w:top w:val="none" w:sz="0" w:space="0" w:color="auto"/>
        <w:left w:val="none" w:sz="0" w:space="0" w:color="auto"/>
        <w:bottom w:val="none" w:sz="0" w:space="0" w:color="auto"/>
        <w:right w:val="none" w:sz="0" w:space="0" w:color="auto"/>
      </w:divBdr>
    </w:div>
    <w:div w:id="1718164695">
      <w:bodyDiv w:val="1"/>
      <w:marLeft w:val="0"/>
      <w:marRight w:val="0"/>
      <w:marTop w:val="0"/>
      <w:marBottom w:val="0"/>
      <w:divBdr>
        <w:top w:val="none" w:sz="0" w:space="0" w:color="auto"/>
        <w:left w:val="none" w:sz="0" w:space="0" w:color="auto"/>
        <w:bottom w:val="none" w:sz="0" w:space="0" w:color="auto"/>
        <w:right w:val="none" w:sz="0" w:space="0" w:color="auto"/>
      </w:divBdr>
    </w:div>
    <w:div w:id="1720517859">
      <w:bodyDiv w:val="1"/>
      <w:marLeft w:val="0"/>
      <w:marRight w:val="0"/>
      <w:marTop w:val="0"/>
      <w:marBottom w:val="0"/>
      <w:divBdr>
        <w:top w:val="none" w:sz="0" w:space="0" w:color="auto"/>
        <w:left w:val="none" w:sz="0" w:space="0" w:color="auto"/>
        <w:bottom w:val="none" w:sz="0" w:space="0" w:color="auto"/>
        <w:right w:val="none" w:sz="0" w:space="0" w:color="auto"/>
      </w:divBdr>
    </w:div>
    <w:div w:id="1726484922">
      <w:bodyDiv w:val="1"/>
      <w:marLeft w:val="0"/>
      <w:marRight w:val="0"/>
      <w:marTop w:val="0"/>
      <w:marBottom w:val="0"/>
      <w:divBdr>
        <w:top w:val="none" w:sz="0" w:space="0" w:color="auto"/>
        <w:left w:val="none" w:sz="0" w:space="0" w:color="auto"/>
        <w:bottom w:val="none" w:sz="0" w:space="0" w:color="auto"/>
        <w:right w:val="none" w:sz="0" w:space="0" w:color="auto"/>
      </w:divBdr>
    </w:div>
    <w:div w:id="1726641751">
      <w:bodyDiv w:val="1"/>
      <w:marLeft w:val="0"/>
      <w:marRight w:val="0"/>
      <w:marTop w:val="0"/>
      <w:marBottom w:val="0"/>
      <w:divBdr>
        <w:top w:val="none" w:sz="0" w:space="0" w:color="auto"/>
        <w:left w:val="none" w:sz="0" w:space="0" w:color="auto"/>
        <w:bottom w:val="none" w:sz="0" w:space="0" w:color="auto"/>
        <w:right w:val="none" w:sz="0" w:space="0" w:color="auto"/>
      </w:divBdr>
    </w:div>
    <w:div w:id="1727220163">
      <w:bodyDiv w:val="1"/>
      <w:marLeft w:val="0"/>
      <w:marRight w:val="0"/>
      <w:marTop w:val="0"/>
      <w:marBottom w:val="0"/>
      <w:divBdr>
        <w:top w:val="none" w:sz="0" w:space="0" w:color="auto"/>
        <w:left w:val="none" w:sz="0" w:space="0" w:color="auto"/>
        <w:bottom w:val="none" w:sz="0" w:space="0" w:color="auto"/>
        <w:right w:val="none" w:sz="0" w:space="0" w:color="auto"/>
      </w:divBdr>
    </w:div>
    <w:div w:id="1731491392">
      <w:bodyDiv w:val="1"/>
      <w:marLeft w:val="0"/>
      <w:marRight w:val="0"/>
      <w:marTop w:val="0"/>
      <w:marBottom w:val="0"/>
      <w:divBdr>
        <w:top w:val="none" w:sz="0" w:space="0" w:color="auto"/>
        <w:left w:val="none" w:sz="0" w:space="0" w:color="auto"/>
        <w:bottom w:val="none" w:sz="0" w:space="0" w:color="auto"/>
        <w:right w:val="none" w:sz="0" w:space="0" w:color="auto"/>
      </w:divBdr>
    </w:div>
    <w:div w:id="1736901170">
      <w:bodyDiv w:val="1"/>
      <w:marLeft w:val="0"/>
      <w:marRight w:val="0"/>
      <w:marTop w:val="0"/>
      <w:marBottom w:val="0"/>
      <w:divBdr>
        <w:top w:val="none" w:sz="0" w:space="0" w:color="auto"/>
        <w:left w:val="none" w:sz="0" w:space="0" w:color="auto"/>
        <w:bottom w:val="none" w:sz="0" w:space="0" w:color="auto"/>
        <w:right w:val="none" w:sz="0" w:space="0" w:color="auto"/>
      </w:divBdr>
    </w:div>
    <w:div w:id="1743482077">
      <w:bodyDiv w:val="1"/>
      <w:marLeft w:val="0"/>
      <w:marRight w:val="0"/>
      <w:marTop w:val="0"/>
      <w:marBottom w:val="0"/>
      <w:divBdr>
        <w:top w:val="none" w:sz="0" w:space="0" w:color="auto"/>
        <w:left w:val="none" w:sz="0" w:space="0" w:color="auto"/>
        <w:bottom w:val="none" w:sz="0" w:space="0" w:color="auto"/>
        <w:right w:val="none" w:sz="0" w:space="0" w:color="auto"/>
      </w:divBdr>
    </w:div>
    <w:div w:id="1746100234">
      <w:bodyDiv w:val="1"/>
      <w:marLeft w:val="0"/>
      <w:marRight w:val="0"/>
      <w:marTop w:val="0"/>
      <w:marBottom w:val="0"/>
      <w:divBdr>
        <w:top w:val="none" w:sz="0" w:space="0" w:color="auto"/>
        <w:left w:val="none" w:sz="0" w:space="0" w:color="auto"/>
        <w:bottom w:val="none" w:sz="0" w:space="0" w:color="auto"/>
        <w:right w:val="none" w:sz="0" w:space="0" w:color="auto"/>
      </w:divBdr>
    </w:div>
    <w:div w:id="1747528317">
      <w:bodyDiv w:val="1"/>
      <w:marLeft w:val="0"/>
      <w:marRight w:val="0"/>
      <w:marTop w:val="0"/>
      <w:marBottom w:val="0"/>
      <w:divBdr>
        <w:top w:val="none" w:sz="0" w:space="0" w:color="auto"/>
        <w:left w:val="none" w:sz="0" w:space="0" w:color="auto"/>
        <w:bottom w:val="none" w:sz="0" w:space="0" w:color="auto"/>
        <w:right w:val="none" w:sz="0" w:space="0" w:color="auto"/>
      </w:divBdr>
    </w:div>
    <w:div w:id="1749423844">
      <w:bodyDiv w:val="1"/>
      <w:marLeft w:val="0"/>
      <w:marRight w:val="0"/>
      <w:marTop w:val="0"/>
      <w:marBottom w:val="0"/>
      <w:divBdr>
        <w:top w:val="none" w:sz="0" w:space="0" w:color="auto"/>
        <w:left w:val="none" w:sz="0" w:space="0" w:color="auto"/>
        <w:bottom w:val="none" w:sz="0" w:space="0" w:color="auto"/>
        <w:right w:val="none" w:sz="0" w:space="0" w:color="auto"/>
      </w:divBdr>
    </w:div>
    <w:div w:id="1751194623">
      <w:bodyDiv w:val="1"/>
      <w:marLeft w:val="0"/>
      <w:marRight w:val="0"/>
      <w:marTop w:val="0"/>
      <w:marBottom w:val="0"/>
      <w:divBdr>
        <w:top w:val="none" w:sz="0" w:space="0" w:color="auto"/>
        <w:left w:val="none" w:sz="0" w:space="0" w:color="auto"/>
        <w:bottom w:val="none" w:sz="0" w:space="0" w:color="auto"/>
        <w:right w:val="none" w:sz="0" w:space="0" w:color="auto"/>
      </w:divBdr>
    </w:div>
    <w:div w:id="1753357933">
      <w:bodyDiv w:val="1"/>
      <w:marLeft w:val="0"/>
      <w:marRight w:val="0"/>
      <w:marTop w:val="0"/>
      <w:marBottom w:val="0"/>
      <w:divBdr>
        <w:top w:val="none" w:sz="0" w:space="0" w:color="auto"/>
        <w:left w:val="none" w:sz="0" w:space="0" w:color="auto"/>
        <w:bottom w:val="none" w:sz="0" w:space="0" w:color="auto"/>
        <w:right w:val="none" w:sz="0" w:space="0" w:color="auto"/>
      </w:divBdr>
    </w:div>
    <w:div w:id="1754938053">
      <w:bodyDiv w:val="1"/>
      <w:marLeft w:val="0"/>
      <w:marRight w:val="0"/>
      <w:marTop w:val="0"/>
      <w:marBottom w:val="0"/>
      <w:divBdr>
        <w:top w:val="none" w:sz="0" w:space="0" w:color="auto"/>
        <w:left w:val="none" w:sz="0" w:space="0" w:color="auto"/>
        <w:bottom w:val="none" w:sz="0" w:space="0" w:color="auto"/>
        <w:right w:val="none" w:sz="0" w:space="0" w:color="auto"/>
      </w:divBdr>
    </w:div>
    <w:div w:id="1755282195">
      <w:bodyDiv w:val="1"/>
      <w:marLeft w:val="0"/>
      <w:marRight w:val="0"/>
      <w:marTop w:val="0"/>
      <w:marBottom w:val="0"/>
      <w:divBdr>
        <w:top w:val="none" w:sz="0" w:space="0" w:color="auto"/>
        <w:left w:val="none" w:sz="0" w:space="0" w:color="auto"/>
        <w:bottom w:val="none" w:sz="0" w:space="0" w:color="auto"/>
        <w:right w:val="none" w:sz="0" w:space="0" w:color="auto"/>
      </w:divBdr>
    </w:div>
    <w:div w:id="1755735326">
      <w:bodyDiv w:val="1"/>
      <w:marLeft w:val="0"/>
      <w:marRight w:val="0"/>
      <w:marTop w:val="0"/>
      <w:marBottom w:val="0"/>
      <w:divBdr>
        <w:top w:val="none" w:sz="0" w:space="0" w:color="auto"/>
        <w:left w:val="none" w:sz="0" w:space="0" w:color="auto"/>
        <w:bottom w:val="none" w:sz="0" w:space="0" w:color="auto"/>
        <w:right w:val="none" w:sz="0" w:space="0" w:color="auto"/>
      </w:divBdr>
    </w:div>
    <w:div w:id="1759595105">
      <w:bodyDiv w:val="1"/>
      <w:marLeft w:val="0"/>
      <w:marRight w:val="0"/>
      <w:marTop w:val="0"/>
      <w:marBottom w:val="0"/>
      <w:divBdr>
        <w:top w:val="none" w:sz="0" w:space="0" w:color="auto"/>
        <w:left w:val="none" w:sz="0" w:space="0" w:color="auto"/>
        <w:bottom w:val="none" w:sz="0" w:space="0" w:color="auto"/>
        <w:right w:val="none" w:sz="0" w:space="0" w:color="auto"/>
      </w:divBdr>
    </w:div>
    <w:div w:id="1762291022">
      <w:bodyDiv w:val="1"/>
      <w:marLeft w:val="0"/>
      <w:marRight w:val="0"/>
      <w:marTop w:val="0"/>
      <w:marBottom w:val="0"/>
      <w:divBdr>
        <w:top w:val="none" w:sz="0" w:space="0" w:color="auto"/>
        <w:left w:val="none" w:sz="0" w:space="0" w:color="auto"/>
        <w:bottom w:val="none" w:sz="0" w:space="0" w:color="auto"/>
        <w:right w:val="none" w:sz="0" w:space="0" w:color="auto"/>
      </w:divBdr>
    </w:div>
    <w:div w:id="1764456032">
      <w:bodyDiv w:val="1"/>
      <w:marLeft w:val="0"/>
      <w:marRight w:val="0"/>
      <w:marTop w:val="0"/>
      <w:marBottom w:val="0"/>
      <w:divBdr>
        <w:top w:val="none" w:sz="0" w:space="0" w:color="auto"/>
        <w:left w:val="none" w:sz="0" w:space="0" w:color="auto"/>
        <w:bottom w:val="none" w:sz="0" w:space="0" w:color="auto"/>
        <w:right w:val="none" w:sz="0" w:space="0" w:color="auto"/>
      </w:divBdr>
    </w:div>
    <w:div w:id="1766731856">
      <w:bodyDiv w:val="1"/>
      <w:marLeft w:val="0"/>
      <w:marRight w:val="0"/>
      <w:marTop w:val="0"/>
      <w:marBottom w:val="0"/>
      <w:divBdr>
        <w:top w:val="none" w:sz="0" w:space="0" w:color="auto"/>
        <w:left w:val="none" w:sz="0" w:space="0" w:color="auto"/>
        <w:bottom w:val="none" w:sz="0" w:space="0" w:color="auto"/>
        <w:right w:val="none" w:sz="0" w:space="0" w:color="auto"/>
      </w:divBdr>
    </w:div>
    <w:div w:id="1768575682">
      <w:bodyDiv w:val="1"/>
      <w:marLeft w:val="0"/>
      <w:marRight w:val="0"/>
      <w:marTop w:val="0"/>
      <w:marBottom w:val="0"/>
      <w:divBdr>
        <w:top w:val="none" w:sz="0" w:space="0" w:color="auto"/>
        <w:left w:val="none" w:sz="0" w:space="0" w:color="auto"/>
        <w:bottom w:val="none" w:sz="0" w:space="0" w:color="auto"/>
        <w:right w:val="none" w:sz="0" w:space="0" w:color="auto"/>
      </w:divBdr>
    </w:div>
    <w:div w:id="1771312490">
      <w:bodyDiv w:val="1"/>
      <w:marLeft w:val="0"/>
      <w:marRight w:val="0"/>
      <w:marTop w:val="0"/>
      <w:marBottom w:val="0"/>
      <w:divBdr>
        <w:top w:val="none" w:sz="0" w:space="0" w:color="auto"/>
        <w:left w:val="none" w:sz="0" w:space="0" w:color="auto"/>
        <w:bottom w:val="none" w:sz="0" w:space="0" w:color="auto"/>
        <w:right w:val="none" w:sz="0" w:space="0" w:color="auto"/>
      </w:divBdr>
    </w:div>
    <w:div w:id="1771661681">
      <w:bodyDiv w:val="1"/>
      <w:marLeft w:val="0"/>
      <w:marRight w:val="0"/>
      <w:marTop w:val="0"/>
      <w:marBottom w:val="0"/>
      <w:divBdr>
        <w:top w:val="none" w:sz="0" w:space="0" w:color="auto"/>
        <w:left w:val="none" w:sz="0" w:space="0" w:color="auto"/>
        <w:bottom w:val="none" w:sz="0" w:space="0" w:color="auto"/>
        <w:right w:val="none" w:sz="0" w:space="0" w:color="auto"/>
      </w:divBdr>
    </w:div>
    <w:div w:id="1773738465">
      <w:bodyDiv w:val="1"/>
      <w:marLeft w:val="0"/>
      <w:marRight w:val="0"/>
      <w:marTop w:val="0"/>
      <w:marBottom w:val="0"/>
      <w:divBdr>
        <w:top w:val="none" w:sz="0" w:space="0" w:color="auto"/>
        <w:left w:val="none" w:sz="0" w:space="0" w:color="auto"/>
        <w:bottom w:val="none" w:sz="0" w:space="0" w:color="auto"/>
        <w:right w:val="none" w:sz="0" w:space="0" w:color="auto"/>
      </w:divBdr>
    </w:div>
    <w:div w:id="1777600730">
      <w:bodyDiv w:val="1"/>
      <w:marLeft w:val="0"/>
      <w:marRight w:val="0"/>
      <w:marTop w:val="0"/>
      <w:marBottom w:val="0"/>
      <w:divBdr>
        <w:top w:val="none" w:sz="0" w:space="0" w:color="auto"/>
        <w:left w:val="none" w:sz="0" w:space="0" w:color="auto"/>
        <w:bottom w:val="none" w:sz="0" w:space="0" w:color="auto"/>
        <w:right w:val="none" w:sz="0" w:space="0" w:color="auto"/>
      </w:divBdr>
    </w:div>
    <w:div w:id="1781759432">
      <w:bodyDiv w:val="1"/>
      <w:marLeft w:val="0"/>
      <w:marRight w:val="0"/>
      <w:marTop w:val="0"/>
      <w:marBottom w:val="0"/>
      <w:divBdr>
        <w:top w:val="none" w:sz="0" w:space="0" w:color="auto"/>
        <w:left w:val="none" w:sz="0" w:space="0" w:color="auto"/>
        <w:bottom w:val="none" w:sz="0" w:space="0" w:color="auto"/>
        <w:right w:val="none" w:sz="0" w:space="0" w:color="auto"/>
      </w:divBdr>
    </w:div>
    <w:div w:id="1782534514">
      <w:bodyDiv w:val="1"/>
      <w:marLeft w:val="0"/>
      <w:marRight w:val="0"/>
      <w:marTop w:val="0"/>
      <w:marBottom w:val="0"/>
      <w:divBdr>
        <w:top w:val="none" w:sz="0" w:space="0" w:color="auto"/>
        <w:left w:val="none" w:sz="0" w:space="0" w:color="auto"/>
        <w:bottom w:val="none" w:sz="0" w:space="0" w:color="auto"/>
        <w:right w:val="none" w:sz="0" w:space="0" w:color="auto"/>
      </w:divBdr>
    </w:div>
    <w:div w:id="1786775970">
      <w:bodyDiv w:val="1"/>
      <w:marLeft w:val="0"/>
      <w:marRight w:val="0"/>
      <w:marTop w:val="0"/>
      <w:marBottom w:val="0"/>
      <w:divBdr>
        <w:top w:val="none" w:sz="0" w:space="0" w:color="auto"/>
        <w:left w:val="none" w:sz="0" w:space="0" w:color="auto"/>
        <w:bottom w:val="none" w:sz="0" w:space="0" w:color="auto"/>
        <w:right w:val="none" w:sz="0" w:space="0" w:color="auto"/>
      </w:divBdr>
    </w:div>
    <w:div w:id="1786924714">
      <w:bodyDiv w:val="1"/>
      <w:marLeft w:val="0"/>
      <w:marRight w:val="0"/>
      <w:marTop w:val="0"/>
      <w:marBottom w:val="0"/>
      <w:divBdr>
        <w:top w:val="none" w:sz="0" w:space="0" w:color="auto"/>
        <w:left w:val="none" w:sz="0" w:space="0" w:color="auto"/>
        <w:bottom w:val="none" w:sz="0" w:space="0" w:color="auto"/>
        <w:right w:val="none" w:sz="0" w:space="0" w:color="auto"/>
      </w:divBdr>
    </w:div>
    <w:div w:id="1788548000">
      <w:bodyDiv w:val="1"/>
      <w:marLeft w:val="0"/>
      <w:marRight w:val="0"/>
      <w:marTop w:val="0"/>
      <w:marBottom w:val="0"/>
      <w:divBdr>
        <w:top w:val="none" w:sz="0" w:space="0" w:color="auto"/>
        <w:left w:val="none" w:sz="0" w:space="0" w:color="auto"/>
        <w:bottom w:val="none" w:sz="0" w:space="0" w:color="auto"/>
        <w:right w:val="none" w:sz="0" w:space="0" w:color="auto"/>
      </w:divBdr>
    </w:div>
    <w:div w:id="1793400867">
      <w:bodyDiv w:val="1"/>
      <w:marLeft w:val="0"/>
      <w:marRight w:val="0"/>
      <w:marTop w:val="0"/>
      <w:marBottom w:val="0"/>
      <w:divBdr>
        <w:top w:val="none" w:sz="0" w:space="0" w:color="auto"/>
        <w:left w:val="none" w:sz="0" w:space="0" w:color="auto"/>
        <w:bottom w:val="none" w:sz="0" w:space="0" w:color="auto"/>
        <w:right w:val="none" w:sz="0" w:space="0" w:color="auto"/>
      </w:divBdr>
    </w:div>
    <w:div w:id="1793985931">
      <w:bodyDiv w:val="1"/>
      <w:marLeft w:val="0"/>
      <w:marRight w:val="0"/>
      <w:marTop w:val="0"/>
      <w:marBottom w:val="0"/>
      <w:divBdr>
        <w:top w:val="none" w:sz="0" w:space="0" w:color="auto"/>
        <w:left w:val="none" w:sz="0" w:space="0" w:color="auto"/>
        <w:bottom w:val="none" w:sz="0" w:space="0" w:color="auto"/>
        <w:right w:val="none" w:sz="0" w:space="0" w:color="auto"/>
      </w:divBdr>
    </w:div>
    <w:div w:id="1796365389">
      <w:bodyDiv w:val="1"/>
      <w:marLeft w:val="0"/>
      <w:marRight w:val="0"/>
      <w:marTop w:val="0"/>
      <w:marBottom w:val="0"/>
      <w:divBdr>
        <w:top w:val="none" w:sz="0" w:space="0" w:color="auto"/>
        <w:left w:val="none" w:sz="0" w:space="0" w:color="auto"/>
        <w:bottom w:val="none" w:sz="0" w:space="0" w:color="auto"/>
        <w:right w:val="none" w:sz="0" w:space="0" w:color="auto"/>
      </w:divBdr>
    </w:div>
    <w:div w:id="1796871815">
      <w:bodyDiv w:val="1"/>
      <w:marLeft w:val="0"/>
      <w:marRight w:val="0"/>
      <w:marTop w:val="0"/>
      <w:marBottom w:val="0"/>
      <w:divBdr>
        <w:top w:val="none" w:sz="0" w:space="0" w:color="auto"/>
        <w:left w:val="none" w:sz="0" w:space="0" w:color="auto"/>
        <w:bottom w:val="none" w:sz="0" w:space="0" w:color="auto"/>
        <w:right w:val="none" w:sz="0" w:space="0" w:color="auto"/>
      </w:divBdr>
    </w:div>
    <w:div w:id="1797212282">
      <w:bodyDiv w:val="1"/>
      <w:marLeft w:val="0"/>
      <w:marRight w:val="0"/>
      <w:marTop w:val="0"/>
      <w:marBottom w:val="0"/>
      <w:divBdr>
        <w:top w:val="none" w:sz="0" w:space="0" w:color="auto"/>
        <w:left w:val="none" w:sz="0" w:space="0" w:color="auto"/>
        <w:bottom w:val="none" w:sz="0" w:space="0" w:color="auto"/>
        <w:right w:val="none" w:sz="0" w:space="0" w:color="auto"/>
      </w:divBdr>
    </w:div>
    <w:div w:id="18029658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434580">
      <w:bodyDiv w:val="1"/>
      <w:marLeft w:val="0"/>
      <w:marRight w:val="0"/>
      <w:marTop w:val="0"/>
      <w:marBottom w:val="0"/>
      <w:divBdr>
        <w:top w:val="none" w:sz="0" w:space="0" w:color="auto"/>
        <w:left w:val="none" w:sz="0" w:space="0" w:color="auto"/>
        <w:bottom w:val="none" w:sz="0" w:space="0" w:color="auto"/>
        <w:right w:val="none" w:sz="0" w:space="0" w:color="auto"/>
      </w:divBdr>
    </w:div>
    <w:div w:id="1807311629">
      <w:bodyDiv w:val="1"/>
      <w:marLeft w:val="0"/>
      <w:marRight w:val="0"/>
      <w:marTop w:val="0"/>
      <w:marBottom w:val="0"/>
      <w:divBdr>
        <w:top w:val="none" w:sz="0" w:space="0" w:color="auto"/>
        <w:left w:val="none" w:sz="0" w:space="0" w:color="auto"/>
        <w:bottom w:val="none" w:sz="0" w:space="0" w:color="auto"/>
        <w:right w:val="none" w:sz="0" w:space="0" w:color="auto"/>
      </w:divBdr>
    </w:div>
    <w:div w:id="1814523642">
      <w:bodyDiv w:val="1"/>
      <w:marLeft w:val="0"/>
      <w:marRight w:val="0"/>
      <w:marTop w:val="0"/>
      <w:marBottom w:val="0"/>
      <w:divBdr>
        <w:top w:val="none" w:sz="0" w:space="0" w:color="auto"/>
        <w:left w:val="none" w:sz="0" w:space="0" w:color="auto"/>
        <w:bottom w:val="none" w:sz="0" w:space="0" w:color="auto"/>
        <w:right w:val="none" w:sz="0" w:space="0" w:color="auto"/>
      </w:divBdr>
    </w:div>
    <w:div w:id="1816994202">
      <w:bodyDiv w:val="1"/>
      <w:marLeft w:val="0"/>
      <w:marRight w:val="0"/>
      <w:marTop w:val="0"/>
      <w:marBottom w:val="0"/>
      <w:divBdr>
        <w:top w:val="none" w:sz="0" w:space="0" w:color="auto"/>
        <w:left w:val="none" w:sz="0" w:space="0" w:color="auto"/>
        <w:bottom w:val="none" w:sz="0" w:space="0" w:color="auto"/>
        <w:right w:val="none" w:sz="0" w:space="0" w:color="auto"/>
      </w:divBdr>
    </w:div>
    <w:div w:id="181957161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952">
      <w:bodyDiv w:val="1"/>
      <w:marLeft w:val="0"/>
      <w:marRight w:val="0"/>
      <w:marTop w:val="0"/>
      <w:marBottom w:val="0"/>
      <w:divBdr>
        <w:top w:val="none" w:sz="0" w:space="0" w:color="auto"/>
        <w:left w:val="none" w:sz="0" w:space="0" w:color="auto"/>
        <w:bottom w:val="none" w:sz="0" w:space="0" w:color="auto"/>
        <w:right w:val="none" w:sz="0" w:space="0" w:color="auto"/>
      </w:divBdr>
    </w:div>
    <w:div w:id="1823614412">
      <w:bodyDiv w:val="1"/>
      <w:marLeft w:val="0"/>
      <w:marRight w:val="0"/>
      <w:marTop w:val="0"/>
      <w:marBottom w:val="0"/>
      <w:divBdr>
        <w:top w:val="none" w:sz="0" w:space="0" w:color="auto"/>
        <w:left w:val="none" w:sz="0" w:space="0" w:color="auto"/>
        <w:bottom w:val="none" w:sz="0" w:space="0" w:color="auto"/>
        <w:right w:val="none" w:sz="0" w:space="0" w:color="auto"/>
      </w:divBdr>
    </w:div>
    <w:div w:id="1823960396">
      <w:bodyDiv w:val="1"/>
      <w:marLeft w:val="0"/>
      <w:marRight w:val="0"/>
      <w:marTop w:val="0"/>
      <w:marBottom w:val="0"/>
      <w:divBdr>
        <w:top w:val="none" w:sz="0" w:space="0" w:color="auto"/>
        <w:left w:val="none" w:sz="0" w:space="0" w:color="auto"/>
        <w:bottom w:val="none" w:sz="0" w:space="0" w:color="auto"/>
        <w:right w:val="none" w:sz="0" w:space="0" w:color="auto"/>
      </w:divBdr>
    </w:div>
    <w:div w:id="1825731917">
      <w:bodyDiv w:val="1"/>
      <w:marLeft w:val="0"/>
      <w:marRight w:val="0"/>
      <w:marTop w:val="0"/>
      <w:marBottom w:val="0"/>
      <w:divBdr>
        <w:top w:val="none" w:sz="0" w:space="0" w:color="auto"/>
        <w:left w:val="none" w:sz="0" w:space="0" w:color="auto"/>
        <w:bottom w:val="none" w:sz="0" w:space="0" w:color="auto"/>
        <w:right w:val="none" w:sz="0" w:space="0" w:color="auto"/>
      </w:divBdr>
    </w:div>
    <w:div w:id="1828549278">
      <w:bodyDiv w:val="1"/>
      <w:marLeft w:val="0"/>
      <w:marRight w:val="0"/>
      <w:marTop w:val="0"/>
      <w:marBottom w:val="0"/>
      <w:divBdr>
        <w:top w:val="none" w:sz="0" w:space="0" w:color="auto"/>
        <w:left w:val="none" w:sz="0" w:space="0" w:color="auto"/>
        <w:bottom w:val="none" w:sz="0" w:space="0" w:color="auto"/>
        <w:right w:val="none" w:sz="0" w:space="0" w:color="auto"/>
      </w:divBdr>
    </w:div>
    <w:div w:id="1828784133">
      <w:bodyDiv w:val="1"/>
      <w:marLeft w:val="0"/>
      <w:marRight w:val="0"/>
      <w:marTop w:val="0"/>
      <w:marBottom w:val="0"/>
      <w:divBdr>
        <w:top w:val="none" w:sz="0" w:space="0" w:color="auto"/>
        <w:left w:val="none" w:sz="0" w:space="0" w:color="auto"/>
        <w:bottom w:val="none" w:sz="0" w:space="0" w:color="auto"/>
        <w:right w:val="none" w:sz="0" w:space="0" w:color="auto"/>
      </w:divBdr>
    </w:div>
    <w:div w:id="1831287186">
      <w:bodyDiv w:val="1"/>
      <w:marLeft w:val="0"/>
      <w:marRight w:val="0"/>
      <w:marTop w:val="0"/>
      <w:marBottom w:val="0"/>
      <w:divBdr>
        <w:top w:val="none" w:sz="0" w:space="0" w:color="auto"/>
        <w:left w:val="none" w:sz="0" w:space="0" w:color="auto"/>
        <w:bottom w:val="none" w:sz="0" w:space="0" w:color="auto"/>
        <w:right w:val="none" w:sz="0" w:space="0" w:color="auto"/>
      </w:divBdr>
    </w:div>
    <w:div w:id="1831481553">
      <w:bodyDiv w:val="1"/>
      <w:marLeft w:val="0"/>
      <w:marRight w:val="0"/>
      <w:marTop w:val="0"/>
      <w:marBottom w:val="0"/>
      <w:divBdr>
        <w:top w:val="none" w:sz="0" w:space="0" w:color="auto"/>
        <w:left w:val="none" w:sz="0" w:space="0" w:color="auto"/>
        <w:bottom w:val="none" w:sz="0" w:space="0" w:color="auto"/>
        <w:right w:val="none" w:sz="0" w:space="0" w:color="auto"/>
      </w:divBdr>
    </w:div>
    <w:div w:id="1831483591">
      <w:bodyDiv w:val="1"/>
      <w:marLeft w:val="0"/>
      <w:marRight w:val="0"/>
      <w:marTop w:val="0"/>
      <w:marBottom w:val="0"/>
      <w:divBdr>
        <w:top w:val="none" w:sz="0" w:space="0" w:color="auto"/>
        <w:left w:val="none" w:sz="0" w:space="0" w:color="auto"/>
        <w:bottom w:val="none" w:sz="0" w:space="0" w:color="auto"/>
        <w:right w:val="none" w:sz="0" w:space="0" w:color="auto"/>
      </w:divBdr>
    </w:div>
    <w:div w:id="1834418179">
      <w:bodyDiv w:val="1"/>
      <w:marLeft w:val="0"/>
      <w:marRight w:val="0"/>
      <w:marTop w:val="0"/>
      <w:marBottom w:val="0"/>
      <w:divBdr>
        <w:top w:val="none" w:sz="0" w:space="0" w:color="auto"/>
        <w:left w:val="none" w:sz="0" w:space="0" w:color="auto"/>
        <w:bottom w:val="none" w:sz="0" w:space="0" w:color="auto"/>
        <w:right w:val="none" w:sz="0" w:space="0" w:color="auto"/>
      </w:divBdr>
    </w:div>
    <w:div w:id="1834830388">
      <w:bodyDiv w:val="1"/>
      <w:marLeft w:val="0"/>
      <w:marRight w:val="0"/>
      <w:marTop w:val="0"/>
      <w:marBottom w:val="0"/>
      <w:divBdr>
        <w:top w:val="none" w:sz="0" w:space="0" w:color="auto"/>
        <w:left w:val="none" w:sz="0" w:space="0" w:color="auto"/>
        <w:bottom w:val="none" w:sz="0" w:space="0" w:color="auto"/>
        <w:right w:val="none" w:sz="0" w:space="0" w:color="auto"/>
      </w:divBdr>
    </w:div>
    <w:div w:id="1835489553">
      <w:bodyDiv w:val="1"/>
      <w:marLeft w:val="0"/>
      <w:marRight w:val="0"/>
      <w:marTop w:val="0"/>
      <w:marBottom w:val="0"/>
      <w:divBdr>
        <w:top w:val="none" w:sz="0" w:space="0" w:color="auto"/>
        <w:left w:val="none" w:sz="0" w:space="0" w:color="auto"/>
        <w:bottom w:val="none" w:sz="0" w:space="0" w:color="auto"/>
        <w:right w:val="none" w:sz="0" w:space="0" w:color="auto"/>
      </w:divBdr>
    </w:div>
    <w:div w:id="1841965189">
      <w:bodyDiv w:val="1"/>
      <w:marLeft w:val="0"/>
      <w:marRight w:val="0"/>
      <w:marTop w:val="0"/>
      <w:marBottom w:val="0"/>
      <w:divBdr>
        <w:top w:val="none" w:sz="0" w:space="0" w:color="auto"/>
        <w:left w:val="none" w:sz="0" w:space="0" w:color="auto"/>
        <w:bottom w:val="none" w:sz="0" w:space="0" w:color="auto"/>
        <w:right w:val="none" w:sz="0" w:space="0" w:color="auto"/>
      </w:divBdr>
    </w:div>
    <w:div w:id="1842307803">
      <w:bodyDiv w:val="1"/>
      <w:marLeft w:val="0"/>
      <w:marRight w:val="0"/>
      <w:marTop w:val="0"/>
      <w:marBottom w:val="0"/>
      <w:divBdr>
        <w:top w:val="none" w:sz="0" w:space="0" w:color="auto"/>
        <w:left w:val="none" w:sz="0" w:space="0" w:color="auto"/>
        <w:bottom w:val="none" w:sz="0" w:space="0" w:color="auto"/>
        <w:right w:val="none" w:sz="0" w:space="0" w:color="auto"/>
      </w:divBdr>
    </w:div>
    <w:div w:id="1842697658">
      <w:bodyDiv w:val="1"/>
      <w:marLeft w:val="0"/>
      <w:marRight w:val="0"/>
      <w:marTop w:val="0"/>
      <w:marBottom w:val="0"/>
      <w:divBdr>
        <w:top w:val="none" w:sz="0" w:space="0" w:color="auto"/>
        <w:left w:val="none" w:sz="0" w:space="0" w:color="auto"/>
        <w:bottom w:val="none" w:sz="0" w:space="0" w:color="auto"/>
        <w:right w:val="none" w:sz="0" w:space="0" w:color="auto"/>
      </w:divBdr>
    </w:div>
    <w:div w:id="1843278633">
      <w:bodyDiv w:val="1"/>
      <w:marLeft w:val="0"/>
      <w:marRight w:val="0"/>
      <w:marTop w:val="0"/>
      <w:marBottom w:val="0"/>
      <w:divBdr>
        <w:top w:val="none" w:sz="0" w:space="0" w:color="auto"/>
        <w:left w:val="none" w:sz="0" w:space="0" w:color="auto"/>
        <w:bottom w:val="none" w:sz="0" w:space="0" w:color="auto"/>
        <w:right w:val="none" w:sz="0" w:space="0" w:color="auto"/>
      </w:divBdr>
    </w:div>
    <w:div w:id="1843354720">
      <w:bodyDiv w:val="1"/>
      <w:marLeft w:val="0"/>
      <w:marRight w:val="0"/>
      <w:marTop w:val="0"/>
      <w:marBottom w:val="0"/>
      <w:divBdr>
        <w:top w:val="none" w:sz="0" w:space="0" w:color="auto"/>
        <w:left w:val="none" w:sz="0" w:space="0" w:color="auto"/>
        <w:bottom w:val="none" w:sz="0" w:space="0" w:color="auto"/>
        <w:right w:val="none" w:sz="0" w:space="0" w:color="auto"/>
      </w:divBdr>
    </w:div>
    <w:div w:id="1846091741">
      <w:bodyDiv w:val="1"/>
      <w:marLeft w:val="0"/>
      <w:marRight w:val="0"/>
      <w:marTop w:val="0"/>
      <w:marBottom w:val="0"/>
      <w:divBdr>
        <w:top w:val="none" w:sz="0" w:space="0" w:color="auto"/>
        <w:left w:val="none" w:sz="0" w:space="0" w:color="auto"/>
        <w:bottom w:val="none" w:sz="0" w:space="0" w:color="auto"/>
        <w:right w:val="none" w:sz="0" w:space="0" w:color="auto"/>
      </w:divBdr>
    </w:div>
    <w:div w:id="1848665564">
      <w:bodyDiv w:val="1"/>
      <w:marLeft w:val="0"/>
      <w:marRight w:val="0"/>
      <w:marTop w:val="0"/>
      <w:marBottom w:val="0"/>
      <w:divBdr>
        <w:top w:val="none" w:sz="0" w:space="0" w:color="auto"/>
        <w:left w:val="none" w:sz="0" w:space="0" w:color="auto"/>
        <w:bottom w:val="none" w:sz="0" w:space="0" w:color="auto"/>
        <w:right w:val="none" w:sz="0" w:space="0" w:color="auto"/>
      </w:divBdr>
    </w:div>
    <w:div w:id="1851145009">
      <w:bodyDiv w:val="1"/>
      <w:marLeft w:val="0"/>
      <w:marRight w:val="0"/>
      <w:marTop w:val="0"/>
      <w:marBottom w:val="0"/>
      <w:divBdr>
        <w:top w:val="none" w:sz="0" w:space="0" w:color="auto"/>
        <w:left w:val="none" w:sz="0" w:space="0" w:color="auto"/>
        <w:bottom w:val="none" w:sz="0" w:space="0" w:color="auto"/>
        <w:right w:val="none" w:sz="0" w:space="0" w:color="auto"/>
      </w:divBdr>
    </w:div>
    <w:div w:id="1852262200">
      <w:bodyDiv w:val="1"/>
      <w:marLeft w:val="0"/>
      <w:marRight w:val="0"/>
      <w:marTop w:val="0"/>
      <w:marBottom w:val="0"/>
      <w:divBdr>
        <w:top w:val="none" w:sz="0" w:space="0" w:color="auto"/>
        <w:left w:val="none" w:sz="0" w:space="0" w:color="auto"/>
        <w:bottom w:val="none" w:sz="0" w:space="0" w:color="auto"/>
        <w:right w:val="none" w:sz="0" w:space="0" w:color="auto"/>
      </w:divBdr>
    </w:div>
    <w:div w:id="1856726333">
      <w:bodyDiv w:val="1"/>
      <w:marLeft w:val="0"/>
      <w:marRight w:val="0"/>
      <w:marTop w:val="0"/>
      <w:marBottom w:val="0"/>
      <w:divBdr>
        <w:top w:val="none" w:sz="0" w:space="0" w:color="auto"/>
        <w:left w:val="none" w:sz="0" w:space="0" w:color="auto"/>
        <w:bottom w:val="none" w:sz="0" w:space="0" w:color="auto"/>
        <w:right w:val="none" w:sz="0" w:space="0" w:color="auto"/>
      </w:divBdr>
    </w:div>
    <w:div w:id="1858036739">
      <w:bodyDiv w:val="1"/>
      <w:marLeft w:val="0"/>
      <w:marRight w:val="0"/>
      <w:marTop w:val="0"/>
      <w:marBottom w:val="0"/>
      <w:divBdr>
        <w:top w:val="none" w:sz="0" w:space="0" w:color="auto"/>
        <w:left w:val="none" w:sz="0" w:space="0" w:color="auto"/>
        <w:bottom w:val="none" w:sz="0" w:space="0" w:color="auto"/>
        <w:right w:val="none" w:sz="0" w:space="0" w:color="auto"/>
      </w:divBdr>
    </w:div>
    <w:div w:id="1860123412">
      <w:bodyDiv w:val="1"/>
      <w:marLeft w:val="0"/>
      <w:marRight w:val="0"/>
      <w:marTop w:val="0"/>
      <w:marBottom w:val="0"/>
      <w:divBdr>
        <w:top w:val="none" w:sz="0" w:space="0" w:color="auto"/>
        <w:left w:val="none" w:sz="0" w:space="0" w:color="auto"/>
        <w:bottom w:val="none" w:sz="0" w:space="0" w:color="auto"/>
        <w:right w:val="none" w:sz="0" w:space="0" w:color="auto"/>
      </w:divBdr>
    </w:div>
    <w:div w:id="1862813184">
      <w:bodyDiv w:val="1"/>
      <w:marLeft w:val="0"/>
      <w:marRight w:val="0"/>
      <w:marTop w:val="0"/>
      <w:marBottom w:val="0"/>
      <w:divBdr>
        <w:top w:val="none" w:sz="0" w:space="0" w:color="auto"/>
        <w:left w:val="none" w:sz="0" w:space="0" w:color="auto"/>
        <w:bottom w:val="none" w:sz="0" w:space="0" w:color="auto"/>
        <w:right w:val="none" w:sz="0" w:space="0" w:color="auto"/>
      </w:divBdr>
    </w:div>
    <w:div w:id="1865434186">
      <w:bodyDiv w:val="1"/>
      <w:marLeft w:val="0"/>
      <w:marRight w:val="0"/>
      <w:marTop w:val="0"/>
      <w:marBottom w:val="0"/>
      <w:divBdr>
        <w:top w:val="none" w:sz="0" w:space="0" w:color="auto"/>
        <w:left w:val="none" w:sz="0" w:space="0" w:color="auto"/>
        <w:bottom w:val="none" w:sz="0" w:space="0" w:color="auto"/>
        <w:right w:val="none" w:sz="0" w:space="0" w:color="auto"/>
      </w:divBdr>
    </w:div>
    <w:div w:id="1865751952">
      <w:bodyDiv w:val="1"/>
      <w:marLeft w:val="0"/>
      <w:marRight w:val="0"/>
      <w:marTop w:val="0"/>
      <w:marBottom w:val="0"/>
      <w:divBdr>
        <w:top w:val="none" w:sz="0" w:space="0" w:color="auto"/>
        <w:left w:val="none" w:sz="0" w:space="0" w:color="auto"/>
        <w:bottom w:val="none" w:sz="0" w:space="0" w:color="auto"/>
        <w:right w:val="none" w:sz="0" w:space="0" w:color="auto"/>
      </w:divBdr>
    </w:div>
    <w:div w:id="1868523454">
      <w:bodyDiv w:val="1"/>
      <w:marLeft w:val="0"/>
      <w:marRight w:val="0"/>
      <w:marTop w:val="0"/>
      <w:marBottom w:val="0"/>
      <w:divBdr>
        <w:top w:val="none" w:sz="0" w:space="0" w:color="auto"/>
        <w:left w:val="none" w:sz="0" w:space="0" w:color="auto"/>
        <w:bottom w:val="none" w:sz="0" w:space="0" w:color="auto"/>
        <w:right w:val="none" w:sz="0" w:space="0" w:color="auto"/>
      </w:divBdr>
    </w:div>
    <w:div w:id="1869098891">
      <w:bodyDiv w:val="1"/>
      <w:marLeft w:val="0"/>
      <w:marRight w:val="0"/>
      <w:marTop w:val="0"/>
      <w:marBottom w:val="0"/>
      <w:divBdr>
        <w:top w:val="none" w:sz="0" w:space="0" w:color="auto"/>
        <w:left w:val="none" w:sz="0" w:space="0" w:color="auto"/>
        <w:bottom w:val="none" w:sz="0" w:space="0" w:color="auto"/>
        <w:right w:val="none" w:sz="0" w:space="0" w:color="auto"/>
      </w:divBdr>
    </w:div>
    <w:div w:id="1873493407">
      <w:bodyDiv w:val="1"/>
      <w:marLeft w:val="0"/>
      <w:marRight w:val="0"/>
      <w:marTop w:val="0"/>
      <w:marBottom w:val="0"/>
      <w:divBdr>
        <w:top w:val="none" w:sz="0" w:space="0" w:color="auto"/>
        <w:left w:val="none" w:sz="0" w:space="0" w:color="auto"/>
        <w:bottom w:val="none" w:sz="0" w:space="0" w:color="auto"/>
        <w:right w:val="none" w:sz="0" w:space="0" w:color="auto"/>
      </w:divBdr>
    </w:div>
    <w:div w:id="1875654981">
      <w:bodyDiv w:val="1"/>
      <w:marLeft w:val="0"/>
      <w:marRight w:val="0"/>
      <w:marTop w:val="0"/>
      <w:marBottom w:val="0"/>
      <w:divBdr>
        <w:top w:val="none" w:sz="0" w:space="0" w:color="auto"/>
        <w:left w:val="none" w:sz="0" w:space="0" w:color="auto"/>
        <w:bottom w:val="none" w:sz="0" w:space="0" w:color="auto"/>
        <w:right w:val="none" w:sz="0" w:space="0" w:color="auto"/>
      </w:divBdr>
    </w:div>
    <w:div w:id="1877698739">
      <w:bodyDiv w:val="1"/>
      <w:marLeft w:val="0"/>
      <w:marRight w:val="0"/>
      <w:marTop w:val="0"/>
      <w:marBottom w:val="0"/>
      <w:divBdr>
        <w:top w:val="none" w:sz="0" w:space="0" w:color="auto"/>
        <w:left w:val="none" w:sz="0" w:space="0" w:color="auto"/>
        <w:bottom w:val="none" w:sz="0" w:space="0" w:color="auto"/>
        <w:right w:val="none" w:sz="0" w:space="0" w:color="auto"/>
      </w:divBdr>
    </w:div>
    <w:div w:id="1877887359">
      <w:bodyDiv w:val="1"/>
      <w:marLeft w:val="0"/>
      <w:marRight w:val="0"/>
      <w:marTop w:val="0"/>
      <w:marBottom w:val="0"/>
      <w:divBdr>
        <w:top w:val="none" w:sz="0" w:space="0" w:color="auto"/>
        <w:left w:val="none" w:sz="0" w:space="0" w:color="auto"/>
        <w:bottom w:val="none" w:sz="0" w:space="0" w:color="auto"/>
        <w:right w:val="none" w:sz="0" w:space="0" w:color="auto"/>
      </w:divBdr>
    </w:div>
    <w:div w:id="1880775505">
      <w:bodyDiv w:val="1"/>
      <w:marLeft w:val="0"/>
      <w:marRight w:val="0"/>
      <w:marTop w:val="0"/>
      <w:marBottom w:val="0"/>
      <w:divBdr>
        <w:top w:val="none" w:sz="0" w:space="0" w:color="auto"/>
        <w:left w:val="none" w:sz="0" w:space="0" w:color="auto"/>
        <w:bottom w:val="none" w:sz="0" w:space="0" w:color="auto"/>
        <w:right w:val="none" w:sz="0" w:space="0" w:color="auto"/>
      </w:divBdr>
    </w:div>
    <w:div w:id="1883129443">
      <w:bodyDiv w:val="1"/>
      <w:marLeft w:val="0"/>
      <w:marRight w:val="0"/>
      <w:marTop w:val="0"/>
      <w:marBottom w:val="0"/>
      <w:divBdr>
        <w:top w:val="none" w:sz="0" w:space="0" w:color="auto"/>
        <w:left w:val="none" w:sz="0" w:space="0" w:color="auto"/>
        <w:bottom w:val="none" w:sz="0" w:space="0" w:color="auto"/>
        <w:right w:val="none" w:sz="0" w:space="0" w:color="auto"/>
      </w:divBdr>
    </w:div>
    <w:div w:id="1885171803">
      <w:bodyDiv w:val="1"/>
      <w:marLeft w:val="0"/>
      <w:marRight w:val="0"/>
      <w:marTop w:val="0"/>
      <w:marBottom w:val="0"/>
      <w:divBdr>
        <w:top w:val="none" w:sz="0" w:space="0" w:color="auto"/>
        <w:left w:val="none" w:sz="0" w:space="0" w:color="auto"/>
        <w:bottom w:val="none" w:sz="0" w:space="0" w:color="auto"/>
        <w:right w:val="none" w:sz="0" w:space="0" w:color="auto"/>
      </w:divBdr>
    </w:div>
    <w:div w:id="1887373648">
      <w:bodyDiv w:val="1"/>
      <w:marLeft w:val="0"/>
      <w:marRight w:val="0"/>
      <w:marTop w:val="0"/>
      <w:marBottom w:val="0"/>
      <w:divBdr>
        <w:top w:val="none" w:sz="0" w:space="0" w:color="auto"/>
        <w:left w:val="none" w:sz="0" w:space="0" w:color="auto"/>
        <w:bottom w:val="none" w:sz="0" w:space="0" w:color="auto"/>
        <w:right w:val="none" w:sz="0" w:space="0" w:color="auto"/>
      </w:divBdr>
    </w:div>
    <w:div w:id="1887374012">
      <w:bodyDiv w:val="1"/>
      <w:marLeft w:val="0"/>
      <w:marRight w:val="0"/>
      <w:marTop w:val="0"/>
      <w:marBottom w:val="0"/>
      <w:divBdr>
        <w:top w:val="none" w:sz="0" w:space="0" w:color="auto"/>
        <w:left w:val="none" w:sz="0" w:space="0" w:color="auto"/>
        <w:bottom w:val="none" w:sz="0" w:space="0" w:color="auto"/>
        <w:right w:val="none" w:sz="0" w:space="0" w:color="auto"/>
      </w:divBdr>
    </w:div>
    <w:div w:id="1887451627">
      <w:bodyDiv w:val="1"/>
      <w:marLeft w:val="0"/>
      <w:marRight w:val="0"/>
      <w:marTop w:val="0"/>
      <w:marBottom w:val="0"/>
      <w:divBdr>
        <w:top w:val="none" w:sz="0" w:space="0" w:color="auto"/>
        <w:left w:val="none" w:sz="0" w:space="0" w:color="auto"/>
        <w:bottom w:val="none" w:sz="0" w:space="0" w:color="auto"/>
        <w:right w:val="none" w:sz="0" w:space="0" w:color="auto"/>
      </w:divBdr>
    </w:div>
    <w:div w:id="1888449102">
      <w:bodyDiv w:val="1"/>
      <w:marLeft w:val="0"/>
      <w:marRight w:val="0"/>
      <w:marTop w:val="0"/>
      <w:marBottom w:val="0"/>
      <w:divBdr>
        <w:top w:val="none" w:sz="0" w:space="0" w:color="auto"/>
        <w:left w:val="none" w:sz="0" w:space="0" w:color="auto"/>
        <w:bottom w:val="none" w:sz="0" w:space="0" w:color="auto"/>
        <w:right w:val="none" w:sz="0" w:space="0" w:color="auto"/>
      </w:divBdr>
    </w:div>
    <w:div w:id="1888450668">
      <w:bodyDiv w:val="1"/>
      <w:marLeft w:val="0"/>
      <w:marRight w:val="0"/>
      <w:marTop w:val="0"/>
      <w:marBottom w:val="0"/>
      <w:divBdr>
        <w:top w:val="none" w:sz="0" w:space="0" w:color="auto"/>
        <w:left w:val="none" w:sz="0" w:space="0" w:color="auto"/>
        <w:bottom w:val="none" w:sz="0" w:space="0" w:color="auto"/>
        <w:right w:val="none" w:sz="0" w:space="0" w:color="auto"/>
      </w:divBdr>
    </w:div>
    <w:div w:id="1889871907">
      <w:bodyDiv w:val="1"/>
      <w:marLeft w:val="0"/>
      <w:marRight w:val="0"/>
      <w:marTop w:val="0"/>
      <w:marBottom w:val="0"/>
      <w:divBdr>
        <w:top w:val="none" w:sz="0" w:space="0" w:color="auto"/>
        <w:left w:val="none" w:sz="0" w:space="0" w:color="auto"/>
        <w:bottom w:val="none" w:sz="0" w:space="0" w:color="auto"/>
        <w:right w:val="none" w:sz="0" w:space="0" w:color="auto"/>
      </w:divBdr>
    </w:div>
    <w:div w:id="1892383953">
      <w:bodyDiv w:val="1"/>
      <w:marLeft w:val="0"/>
      <w:marRight w:val="0"/>
      <w:marTop w:val="0"/>
      <w:marBottom w:val="0"/>
      <w:divBdr>
        <w:top w:val="none" w:sz="0" w:space="0" w:color="auto"/>
        <w:left w:val="none" w:sz="0" w:space="0" w:color="auto"/>
        <w:bottom w:val="none" w:sz="0" w:space="0" w:color="auto"/>
        <w:right w:val="none" w:sz="0" w:space="0" w:color="auto"/>
      </w:divBdr>
    </w:div>
    <w:div w:id="1892690171">
      <w:bodyDiv w:val="1"/>
      <w:marLeft w:val="0"/>
      <w:marRight w:val="0"/>
      <w:marTop w:val="0"/>
      <w:marBottom w:val="0"/>
      <w:divBdr>
        <w:top w:val="none" w:sz="0" w:space="0" w:color="auto"/>
        <w:left w:val="none" w:sz="0" w:space="0" w:color="auto"/>
        <w:bottom w:val="none" w:sz="0" w:space="0" w:color="auto"/>
        <w:right w:val="none" w:sz="0" w:space="0" w:color="auto"/>
      </w:divBdr>
    </w:div>
    <w:div w:id="1894391971">
      <w:bodyDiv w:val="1"/>
      <w:marLeft w:val="0"/>
      <w:marRight w:val="0"/>
      <w:marTop w:val="0"/>
      <w:marBottom w:val="0"/>
      <w:divBdr>
        <w:top w:val="none" w:sz="0" w:space="0" w:color="auto"/>
        <w:left w:val="none" w:sz="0" w:space="0" w:color="auto"/>
        <w:bottom w:val="none" w:sz="0" w:space="0" w:color="auto"/>
        <w:right w:val="none" w:sz="0" w:space="0" w:color="auto"/>
      </w:divBdr>
    </w:div>
    <w:div w:id="1895046407">
      <w:bodyDiv w:val="1"/>
      <w:marLeft w:val="0"/>
      <w:marRight w:val="0"/>
      <w:marTop w:val="0"/>
      <w:marBottom w:val="0"/>
      <w:divBdr>
        <w:top w:val="none" w:sz="0" w:space="0" w:color="auto"/>
        <w:left w:val="none" w:sz="0" w:space="0" w:color="auto"/>
        <w:bottom w:val="none" w:sz="0" w:space="0" w:color="auto"/>
        <w:right w:val="none" w:sz="0" w:space="0" w:color="auto"/>
      </w:divBdr>
    </w:div>
    <w:div w:id="1895464278">
      <w:bodyDiv w:val="1"/>
      <w:marLeft w:val="0"/>
      <w:marRight w:val="0"/>
      <w:marTop w:val="0"/>
      <w:marBottom w:val="0"/>
      <w:divBdr>
        <w:top w:val="none" w:sz="0" w:space="0" w:color="auto"/>
        <w:left w:val="none" w:sz="0" w:space="0" w:color="auto"/>
        <w:bottom w:val="none" w:sz="0" w:space="0" w:color="auto"/>
        <w:right w:val="none" w:sz="0" w:space="0" w:color="auto"/>
      </w:divBdr>
    </w:div>
    <w:div w:id="1897550847">
      <w:bodyDiv w:val="1"/>
      <w:marLeft w:val="0"/>
      <w:marRight w:val="0"/>
      <w:marTop w:val="0"/>
      <w:marBottom w:val="0"/>
      <w:divBdr>
        <w:top w:val="none" w:sz="0" w:space="0" w:color="auto"/>
        <w:left w:val="none" w:sz="0" w:space="0" w:color="auto"/>
        <w:bottom w:val="none" w:sz="0" w:space="0" w:color="auto"/>
        <w:right w:val="none" w:sz="0" w:space="0" w:color="auto"/>
      </w:divBdr>
    </w:div>
    <w:div w:id="1898971986">
      <w:bodyDiv w:val="1"/>
      <w:marLeft w:val="0"/>
      <w:marRight w:val="0"/>
      <w:marTop w:val="0"/>
      <w:marBottom w:val="0"/>
      <w:divBdr>
        <w:top w:val="none" w:sz="0" w:space="0" w:color="auto"/>
        <w:left w:val="none" w:sz="0" w:space="0" w:color="auto"/>
        <w:bottom w:val="none" w:sz="0" w:space="0" w:color="auto"/>
        <w:right w:val="none" w:sz="0" w:space="0" w:color="auto"/>
      </w:divBdr>
    </w:div>
    <w:div w:id="1902016369">
      <w:bodyDiv w:val="1"/>
      <w:marLeft w:val="0"/>
      <w:marRight w:val="0"/>
      <w:marTop w:val="0"/>
      <w:marBottom w:val="0"/>
      <w:divBdr>
        <w:top w:val="none" w:sz="0" w:space="0" w:color="auto"/>
        <w:left w:val="none" w:sz="0" w:space="0" w:color="auto"/>
        <w:bottom w:val="none" w:sz="0" w:space="0" w:color="auto"/>
        <w:right w:val="none" w:sz="0" w:space="0" w:color="auto"/>
      </w:divBdr>
    </w:div>
    <w:div w:id="1902403259">
      <w:bodyDiv w:val="1"/>
      <w:marLeft w:val="0"/>
      <w:marRight w:val="0"/>
      <w:marTop w:val="0"/>
      <w:marBottom w:val="0"/>
      <w:divBdr>
        <w:top w:val="none" w:sz="0" w:space="0" w:color="auto"/>
        <w:left w:val="none" w:sz="0" w:space="0" w:color="auto"/>
        <w:bottom w:val="none" w:sz="0" w:space="0" w:color="auto"/>
        <w:right w:val="none" w:sz="0" w:space="0" w:color="auto"/>
      </w:divBdr>
    </w:div>
    <w:div w:id="1902785191">
      <w:bodyDiv w:val="1"/>
      <w:marLeft w:val="0"/>
      <w:marRight w:val="0"/>
      <w:marTop w:val="0"/>
      <w:marBottom w:val="0"/>
      <w:divBdr>
        <w:top w:val="none" w:sz="0" w:space="0" w:color="auto"/>
        <w:left w:val="none" w:sz="0" w:space="0" w:color="auto"/>
        <w:bottom w:val="none" w:sz="0" w:space="0" w:color="auto"/>
        <w:right w:val="none" w:sz="0" w:space="0" w:color="auto"/>
      </w:divBdr>
    </w:div>
    <w:div w:id="1903054283">
      <w:bodyDiv w:val="1"/>
      <w:marLeft w:val="0"/>
      <w:marRight w:val="0"/>
      <w:marTop w:val="0"/>
      <w:marBottom w:val="0"/>
      <w:divBdr>
        <w:top w:val="none" w:sz="0" w:space="0" w:color="auto"/>
        <w:left w:val="none" w:sz="0" w:space="0" w:color="auto"/>
        <w:bottom w:val="none" w:sz="0" w:space="0" w:color="auto"/>
        <w:right w:val="none" w:sz="0" w:space="0" w:color="auto"/>
      </w:divBdr>
    </w:div>
    <w:div w:id="1904832981">
      <w:bodyDiv w:val="1"/>
      <w:marLeft w:val="0"/>
      <w:marRight w:val="0"/>
      <w:marTop w:val="0"/>
      <w:marBottom w:val="0"/>
      <w:divBdr>
        <w:top w:val="none" w:sz="0" w:space="0" w:color="auto"/>
        <w:left w:val="none" w:sz="0" w:space="0" w:color="auto"/>
        <w:bottom w:val="none" w:sz="0" w:space="0" w:color="auto"/>
        <w:right w:val="none" w:sz="0" w:space="0" w:color="auto"/>
      </w:divBdr>
    </w:div>
    <w:div w:id="1908418710">
      <w:bodyDiv w:val="1"/>
      <w:marLeft w:val="0"/>
      <w:marRight w:val="0"/>
      <w:marTop w:val="0"/>
      <w:marBottom w:val="0"/>
      <w:divBdr>
        <w:top w:val="none" w:sz="0" w:space="0" w:color="auto"/>
        <w:left w:val="none" w:sz="0" w:space="0" w:color="auto"/>
        <w:bottom w:val="none" w:sz="0" w:space="0" w:color="auto"/>
        <w:right w:val="none" w:sz="0" w:space="0" w:color="auto"/>
      </w:divBdr>
    </w:div>
    <w:div w:id="1908563729">
      <w:bodyDiv w:val="1"/>
      <w:marLeft w:val="0"/>
      <w:marRight w:val="0"/>
      <w:marTop w:val="0"/>
      <w:marBottom w:val="0"/>
      <w:divBdr>
        <w:top w:val="none" w:sz="0" w:space="0" w:color="auto"/>
        <w:left w:val="none" w:sz="0" w:space="0" w:color="auto"/>
        <w:bottom w:val="none" w:sz="0" w:space="0" w:color="auto"/>
        <w:right w:val="none" w:sz="0" w:space="0" w:color="auto"/>
      </w:divBdr>
    </w:div>
    <w:div w:id="1908876850">
      <w:bodyDiv w:val="1"/>
      <w:marLeft w:val="0"/>
      <w:marRight w:val="0"/>
      <w:marTop w:val="0"/>
      <w:marBottom w:val="0"/>
      <w:divBdr>
        <w:top w:val="none" w:sz="0" w:space="0" w:color="auto"/>
        <w:left w:val="none" w:sz="0" w:space="0" w:color="auto"/>
        <w:bottom w:val="none" w:sz="0" w:space="0" w:color="auto"/>
        <w:right w:val="none" w:sz="0" w:space="0" w:color="auto"/>
      </w:divBdr>
    </w:div>
    <w:div w:id="1910845911">
      <w:bodyDiv w:val="1"/>
      <w:marLeft w:val="0"/>
      <w:marRight w:val="0"/>
      <w:marTop w:val="0"/>
      <w:marBottom w:val="0"/>
      <w:divBdr>
        <w:top w:val="none" w:sz="0" w:space="0" w:color="auto"/>
        <w:left w:val="none" w:sz="0" w:space="0" w:color="auto"/>
        <w:bottom w:val="none" w:sz="0" w:space="0" w:color="auto"/>
        <w:right w:val="none" w:sz="0" w:space="0" w:color="auto"/>
      </w:divBdr>
    </w:div>
    <w:div w:id="1911111149">
      <w:bodyDiv w:val="1"/>
      <w:marLeft w:val="0"/>
      <w:marRight w:val="0"/>
      <w:marTop w:val="0"/>
      <w:marBottom w:val="0"/>
      <w:divBdr>
        <w:top w:val="none" w:sz="0" w:space="0" w:color="auto"/>
        <w:left w:val="none" w:sz="0" w:space="0" w:color="auto"/>
        <w:bottom w:val="none" w:sz="0" w:space="0" w:color="auto"/>
        <w:right w:val="none" w:sz="0" w:space="0" w:color="auto"/>
      </w:divBdr>
    </w:div>
    <w:div w:id="1911189808">
      <w:bodyDiv w:val="1"/>
      <w:marLeft w:val="0"/>
      <w:marRight w:val="0"/>
      <w:marTop w:val="0"/>
      <w:marBottom w:val="0"/>
      <w:divBdr>
        <w:top w:val="none" w:sz="0" w:space="0" w:color="auto"/>
        <w:left w:val="none" w:sz="0" w:space="0" w:color="auto"/>
        <w:bottom w:val="none" w:sz="0" w:space="0" w:color="auto"/>
        <w:right w:val="none" w:sz="0" w:space="0" w:color="auto"/>
      </w:divBdr>
    </w:div>
    <w:div w:id="1912500051">
      <w:bodyDiv w:val="1"/>
      <w:marLeft w:val="0"/>
      <w:marRight w:val="0"/>
      <w:marTop w:val="0"/>
      <w:marBottom w:val="0"/>
      <w:divBdr>
        <w:top w:val="none" w:sz="0" w:space="0" w:color="auto"/>
        <w:left w:val="none" w:sz="0" w:space="0" w:color="auto"/>
        <w:bottom w:val="none" w:sz="0" w:space="0" w:color="auto"/>
        <w:right w:val="none" w:sz="0" w:space="0" w:color="auto"/>
      </w:divBdr>
    </w:div>
    <w:div w:id="1914124735">
      <w:bodyDiv w:val="1"/>
      <w:marLeft w:val="0"/>
      <w:marRight w:val="0"/>
      <w:marTop w:val="0"/>
      <w:marBottom w:val="0"/>
      <w:divBdr>
        <w:top w:val="none" w:sz="0" w:space="0" w:color="auto"/>
        <w:left w:val="none" w:sz="0" w:space="0" w:color="auto"/>
        <w:bottom w:val="none" w:sz="0" w:space="0" w:color="auto"/>
        <w:right w:val="none" w:sz="0" w:space="0" w:color="auto"/>
      </w:divBdr>
    </w:div>
    <w:div w:id="1914584226">
      <w:bodyDiv w:val="1"/>
      <w:marLeft w:val="0"/>
      <w:marRight w:val="0"/>
      <w:marTop w:val="0"/>
      <w:marBottom w:val="0"/>
      <w:divBdr>
        <w:top w:val="none" w:sz="0" w:space="0" w:color="auto"/>
        <w:left w:val="none" w:sz="0" w:space="0" w:color="auto"/>
        <w:bottom w:val="none" w:sz="0" w:space="0" w:color="auto"/>
        <w:right w:val="none" w:sz="0" w:space="0" w:color="auto"/>
      </w:divBdr>
    </w:div>
    <w:div w:id="1919287332">
      <w:bodyDiv w:val="1"/>
      <w:marLeft w:val="0"/>
      <w:marRight w:val="0"/>
      <w:marTop w:val="0"/>
      <w:marBottom w:val="0"/>
      <w:divBdr>
        <w:top w:val="none" w:sz="0" w:space="0" w:color="auto"/>
        <w:left w:val="none" w:sz="0" w:space="0" w:color="auto"/>
        <w:bottom w:val="none" w:sz="0" w:space="0" w:color="auto"/>
        <w:right w:val="none" w:sz="0" w:space="0" w:color="auto"/>
      </w:divBdr>
    </w:div>
    <w:div w:id="1925987717">
      <w:bodyDiv w:val="1"/>
      <w:marLeft w:val="0"/>
      <w:marRight w:val="0"/>
      <w:marTop w:val="0"/>
      <w:marBottom w:val="0"/>
      <w:divBdr>
        <w:top w:val="none" w:sz="0" w:space="0" w:color="auto"/>
        <w:left w:val="none" w:sz="0" w:space="0" w:color="auto"/>
        <w:bottom w:val="none" w:sz="0" w:space="0" w:color="auto"/>
        <w:right w:val="none" w:sz="0" w:space="0" w:color="auto"/>
      </w:divBdr>
    </w:div>
    <w:div w:id="1926189043">
      <w:bodyDiv w:val="1"/>
      <w:marLeft w:val="0"/>
      <w:marRight w:val="0"/>
      <w:marTop w:val="0"/>
      <w:marBottom w:val="0"/>
      <w:divBdr>
        <w:top w:val="none" w:sz="0" w:space="0" w:color="auto"/>
        <w:left w:val="none" w:sz="0" w:space="0" w:color="auto"/>
        <w:bottom w:val="none" w:sz="0" w:space="0" w:color="auto"/>
        <w:right w:val="none" w:sz="0" w:space="0" w:color="auto"/>
      </w:divBdr>
    </w:div>
    <w:div w:id="1926838468">
      <w:bodyDiv w:val="1"/>
      <w:marLeft w:val="0"/>
      <w:marRight w:val="0"/>
      <w:marTop w:val="0"/>
      <w:marBottom w:val="0"/>
      <w:divBdr>
        <w:top w:val="none" w:sz="0" w:space="0" w:color="auto"/>
        <w:left w:val="none" w:sz="0" w:space="0" w:color="auto"/>
        <w:bottom w:val="none" w:sz="0" w:space="0" w:color="auto"/>
        <w:right w:val="none" w:sz="0" w:space="0" w:color="auto"/>
      </w:divBdr>
    </w:div>
    <w:div w:id="1931810250">
      <w:bodyDiv w:val="1"/>
      <w:marLeft w:val="0"/>
      <w:marRight w:val="0"/>
      <w:marTop w:val="0"/>
      <w:marBottom w:val="0"/>
      <w:divBdr>
        <w:top w:val="none" w:sz="0" w:space="0" w:color="auto"/>
        <w:left w:val="none" w:sz="0" w:space="0" w:color="auto"/>
        <w:bottom w:val="none" w:sz="0" w:space="0" w:color="auto"/>
        <w:right w:val="none" w:sz="0" w:space="0" w:color="auto"/>
      </w:divBdr>
    </w:div>
    <w:div w:id="1931966236">
      <w:bodyDiv w:val="1"/>
      <w:marLeft w:val="0"/>
      <w:marRight w:val="0"/>
      <w:marTop w:val="0"/>
      <w:marBottom w:val="0"/>
      <w:divBdr>
        <w:top w:val="none" w:sz="0" w:space="0" w:color="auto"/>
        <w:left w:val="none" w:sz="0" w:space="0" w:color="auto"/>
        <w:bottom w:val="none" w:sz="0" w:space="0" w:color="auto"/>
        <w:right w:val="none" w:sz="0" w:space="0" w:color="auto"/>
      </w:divBdr>
    </w:div>
    <w:div w:id="1937397034">
      <w:bodyDiv w:val="1"/>
      <w:marLeft w:val="0"/>
      <w:marRight w:val="0"/>
      <w:marTop w:val="0"/>
      <w:marBottom w:val="0"/>
      <w:divBdr>
        <w:top w:val="none" w:sz="0" w:space="0" w:color="auto"/>
        <w:left w:val="none" w:sz="0" w:space="0" w:color="auto"/>
        <w:bottom w:val="none" w:sz="0" w:space="0" w:color="auto"/>
        <w:right w:val="none" w:sz="0" w:space="0" w:color="auto"/>
      </w:divBdr>
    </w:div>
    <w:div w:id="1937784323">
      <w:bodyDiv w:val="1"/>
      <w:marLeft w:val="0"/>
      <w:marRight w:val="0"/>
      <w:marTop w:val="0"/>
      <w:marBottom w:val="0"/>
      <w:divBdr>
        <w:top w:val="none" w:sz="0" w:space="0" w:color="auto"/>
        <w:left w:val="none" w:sz="0" w:space="0" w:color="auto"/>
        <w:bottom w:val="none" w:sz="0" w:space="0" w:color="auto"/>
        <w:right w:val="none" w:sz="0" w:space="0" w:color="auto"/>
      </w:divBdr>
    </w:div>
    <w:div w:id="1941832321">
      <w:bodyDiv w:val="1"/>
      <w:marLeft w:val="0"/>
      <w:marRight w:val="0"/>
      <w:marTop w:val="0"/>
      <w:marBottom w:val="0"/>
      <w:divBdr>
        <w:top w:val="none" w:sz="0" w:space="0" w:color="auto"/>
        <w:left w:val="none" w:sz="0" w:space="0" w:color="auto"/>
        <w:bottom w:val="none" w:sz="0" w:space="0" w:color="auto"/>
        <w:right w:val="none" w:sz="0" w:space="0" w:color="auto"/>
      </w:divBdr>
    </w:div>
    <w:div w:id="1949703228">
      <w:bodyDiv w:val="1"/>
      <w:marLeft w:val="0"/>
      <w:marRight w:val="0"/>
      <w:marTop w:val="0"/>
      <w:marBottom w:val="0"/>
      <w:divBdr>
        <w:top w:val="none" w:sz="0" w:space="0" w:color="auto"/>
        <w:left w:val="none" w:sz="0" w:space="0" w:color="auto"/>
        <w:bottom w:val="none" w:sz="0" w:space="0" w:color="auto"/>
        <w:right w:val="none" w:sz="0" w:space="0" w:color="auto"/>
      </w:divBdr>
    </w:div>
    <w:div w:id="1949852737">
      <w:bodyDiv w:val="1"/>
      <w:marLeft w:val="0"/>
      <w:marRight w:val="0"/>
      <w:marTop w:val="0"/>
      <w:marBottom w:val="0"/>
      <w:divBdr>
        <w:top w:val="none" w:sz="0" w:space="0" w:color="auto"/>
        <w:left w:val="none" w:sz="0" w:space="0" w:color="auto"/>
        <w:bottom w:val="none" w:sz="0" w:space="0" w:color="auto"/>
        <w:right w:val="none" w:sz="0" w:space="0" w:color="auto"/>
      </w:divBdr>
    </w:div>
    <w:div w:id="1951355643">
      <w:bodyDiv w:val="1"/>
      <w:marLeft w:val="0"/>
      <w:marRight w:val="0"/>
      <w:marTop w:val="0"/>
      <w:marBottom w:val="0"/>
      <w:divBdr>
        <w:top w:val="none" w:sz="0" w:space="0" w:color="auto"/>
        <w:left w:val="none" w:sz="0" w:space="0" w:color="auto"/>
        <w:bottom w:val="none" w:sz="0" w:space="0" w:color="auto"/>
        <w:right w:val="none" w:sz="0" w:space="0" w:color="auto"/>
      </w:divBdr>
    </w:div>
    <w:div w:id="1953825591">
      <w:bodyDiv w:val="1"/>
      <w:marLeft w:val="0"/>
      <w:marRight w:val="0"/>
      <w:marTop w:val="0"/>
      <w:marBottom w:val="0"/>
      <w:divBdr>
        <w:top w:val="none" w:sz="0" w:space="0" w:color="auto"/>
        <w:left w:val="none" w:sz="0" w:space="0" w:color="auto"/>
        <w:bottom w:val="none" w:sz="0" w:space="0" w:color="auto"/>
        <w:right w:val="none" w:sz="0" w:space="0" w:color="auto"/>
      </w:divBdr>
    </w:div>
    <w:div w:id="1955399163">
      <w:bodyDiv w:val="1"/>
      <w:marLeft w:val="0"/>
      <w:marRight w:val="0"/>
      <w:marTop w:val="0"/>
      <w:marBottom w:val="0"/>
      <w:divBdr>
        <w:top w:val="none" w:sz="0" w:space="0" w:color="auto"/>
        <w:left w:val="none" w:sz="0" w:space="0" w:color="auto"/>
        <w:bottom w:val="none" w:sz="0" w:space="0" w:color="auto"/>
        <w:right w:val="none" w:sz="0" w:space="0" w:color="auto"/>
      </w:divBdr>
    </w:div>
    <w:div w:id="1964798910">
      <w:bodyDiv w:val="1"/>
      <w:marLeft w:val="0"/>
      <w:marRight w:val="0"/>
      <w:marTop w:val="0"/>
      <w:marBottom w:val="0"/>
      <w:divBdr>
        <w:top w:val="none" w:sz="0" w:space="0" w:color="auto"/>
        <w:left w:val="none" w:sz="0" w:space="0" w:color="auto"/>
        <w:bottom w:val="none" w:sz="0" w:space="0" w:color="auto"/>
        <w:right w:val="none" w:sz="0" w:space="0" w:color="auto"/>
      </w:divBdr>
    </w:div>
    <w:div w:id="1971932716">
      <w:bodyDiv w:val="1"/>
      <w:marLeft w:val="0"/>
      <w:marRight w:val="0"/>
      <w:marTop w:val="0"/>
      <w:marBottom w:val="0"/>
      <w:divBdr>
        <w:top w:val="none" w:sz="0" w:space="0" w:color="auto"/>
        <w:left w:val="none" w:sz="0" w:space="0" w:color="auto"/>
        <w:bottom w:val="none" w:sz="0" w:space="0" w:color="auto"/>
        <w:right w:val="none" w:sz="0" w:space="0" w:color="auto"/>
      </w:divBdr>
    </w:div>
    <w:div w:id="1972321755">
      <w:bodyDiv w:val="1"/>
      <w:marLeft w:val="0"/>
      <w:marRight w:val="0"/>
      <w:marTop w:val="0"/>
      <w:marBottom w:val="0"/>
      <w:divBdr>
        <w:top w:val="none" w:sz="0" w:space="0" w:color="auto"/>
        <w:left w:val="none" w:sz="0" w:space="0" w:color="auto"/>
        <w:bottom w:val="none" w:sz="0" w:space="0" w:color="auto"/>
        <w:right w:val="none" w:sz="0" w:space="0" w:color="auto"/>
      </w:divBdr>
    </w:div>
    <w:div w:id="1974561679">
      <w:bodyDiv w:val="1"/>
      <w:marLeft w:val="0"/>
      <w:marRight w:val="0"/>
      <w:marTop w:val="0"/>
      <w:marBottom w:val="0"/>
      <w:divBdr>
        <w:top w:val="none" w:sz="0" w:space="0" w:color="auto"/>
        <w:left w:val="none" w:sz="0" w:space="0" w:color="auto"/>
        <w:bottom w:val="none" w:sz="0" w:space="0" w:color="auto"/>
        <w:right w:val="none" w:sz="0" w:space="0" w:color="auto"/>
      </w:divBdr>
    </w:div>
    <w:div w:id="1977762283">
      <w:bodyDiv w:val="1"/>
      <w:marLeft w:val="0"/>
      <w:marRight w:val="0"/>
      <w:marTop w:val="0"/>
      <w:marBottom w:val="0"/>
      <w:divBdr>
        <w:top w:val="none" w:sz="0" w:space="0" w:color="auto"/>
        <w:left w:val="none" w:sz="0" w:space="0" w:color="auto"/>
        <w:bottom w:val="none" w:sz="0" w:space="0" w:color="auto"/>
        <w:right w:val="none" w:sz="0" w:space="0" w:color="auto"/>
      </w:divBdr>
    </w:div>
    <w:div w:id="1979147856">
      <w:bodyDiv w:val="1"/>
      <w:marLeft w:val="0"/>
      <w:marRight w:val="0"/>
      <w:marTop w:val="0"/>
      <w:marBottom w:val="0"/>
      <w:divBdr>
        <w:top w:val="none" w:sz="0" w:space="0" w:color="auto"/>
        <w:left w:val="none" w:sz="0" w:space="0" w:color="auto"/>
        <w:bottom w:val="none" w:sz="0" w:space="0" w:color="auto"/>
        <w:right w:val="none" w:sz="0" w:space="0" w:color="auto"/>
      </w:divBdr>
    </w:div>
    <w:div w:id="1983459497">
      <w:bodyDiv w:val="1"/>
      <w:marLeft w:val="0"/>
      <w:marRight w:val="0"/>
      <w:marTop w:val="0"/>
      <w:marBottom w:val="0"/>
      <w:divBdr>
        <w:top w:val="none" w:sz="0" w:space="0" w:color="auto"/>
        <w:left w:val="none" w:sz="0" w:space="0" w:color="auto"/>
        <w:bottom w:val="none" w:sz="0" w:space="0" w:color="auto"/>
        <w:right w:val="none" w:sz="0" w:space="0" w:color="auto"/>
      </w:divBdr>
    </w:div>
    <w:div w:id="1984042294">
      <w:bodyDiv w:val="1"/>
      <w:marLeft w:val="0"/>
      <w:marRight w:val="0"/>
      <w:marTop w:val="0"/>
      <w:marBottom w:val="0"/>
      <w:divBdr>
        <w:top w:val="none" w:sz="0" w:space="0" w:color="auto"/>
        <w:left w:val="none" w:sz="0" w:space="0" w:color="auto"/>
        <w:bottom w:val="none" w:sz="0" w:space="0" w:color="auto"/>
        <w:right w:val="none" w:sz="0" w:space="0" w:color="auto"/>
      </w:divBdr>
    </w:div>
    <w:div w:id="1987590453">
      <w:bodyDiv w:val="1"/>
      <w:marLeft w:val="0"/>
      <w:marRight w:val="0"/>
      <w:marTop w:val="0"/>
      <w:marBottom w:val="0"/>
      <w:divBdr>
        <w:top w:val="none" w:sz="0" w:space="0" w:color="auto"/>
        <w:left w:val="none" w:sz="0" w:space="0" w:color="auto"/>
        <w:bottom w:val="none" w:sz="0" w:space="0" w:color="auto"/>
        <w:right w:val="none" w:sz="0" w:space="0" w:color="auto"/>
      </w:divBdr>
    </w:div>
    <w:div w:id="1992366600">
      <w:bodyDiv w:val="1"/>
      <w:marLeft w:val="0"/>
      <w:marRight w:val="0"/>
      <w:marTop w:val="0"/>
      <w:marBottom w:val="0"/>
      <w:divBdr>
        <w:top w:val="none" w:sz="0" w:space="0" w:color="auto"/>
        <w:left w:val="none" w:sz="0" w:space="0" w:color="auto"/>
        <w:bottom w:val="none" w:sz="0" w:space="0" w:color="auto"/>
        <w:right w:val="none" w:sz="0" w:space="0" w:color="auto"/>
      </w:divBdr>
    </w:div>
    <w:div w:id="1992830646">
      <w:bodyDiv w:val="1"/>
      <w:marLeft w:val="0"/>
      <w:marRight w:val="0"/>
      <w:marTop w:val="0"/>
      <w:marBottom w:val="0"/>
      <w:divBdr>
        <w:top w:val="none" w:sz="0" w:space="0" w:color="auto"/>
        <w:left w:val="none" w:sz="0" w:space="0" w:color="auto"/>
        <w:bottom w:val="none" w:sz="0" w:space="0" w:color="auto"/>
        <w:right w:val="none" w:sz="0" w:space="0" w:color="auto"/>
      </w:divBdr>
    </w:div>
    <w:div w:id="1992900931">
      <w:bodyDiv w:val="1"/>
      <w:marLeft w:val="0"/>
      <w:marRight w:val="0"/>
      <w:marTop w:val="0"/>
      <w:marBottom w:val="0"/>
      <w:divBdr>
        <w:top w:val="none" w:sz="0" w:space="0" w:color="auto"/>
        <w:left w:val="none" w:sz="0" w:space="0" w:color="auto"/>
        <w:bottom w:val="none" w:sz="0" w:space="0" w:color="auto"/>
        <w:right w:val="none" w:sz="0" w:space="0" w:color="auto"/>
      </w:divBdr>
    </w:div>
    <w:div w:id="1993679448">
      <w:bodyDiv w:val="1"/>
      <w:marLeft w:val="0"/>
      <w:marRight w:val="0"/>
      <w:marTop w:val="0"/>
      <w:marBottom w:val="0"/>
      <w:divBdr>
        <w:top w:val="none" w:sz="0" w:space="0" w:color="auto"/>
        <w:left w:val="none" w:sz="0" w:space="0" w:color="auto"/>
        <w:bottom w:val="none" w:sz="0" w:space="0" w:color="auto"/>
        <w:right w:val="none" w:sz="0" w:space="0" w:color="auto"/>
      </w:divBdr>
    </w:div>
    <w:div w:id="1996254344">
      <w:bodyDiv w:val="1"/>
      <w:marLeft w:val="0"/>
      <w:marRight w:val="0"/>
      <w:marTop w:val="0"/>
      <w:marBottom w:val="0"/>
      <w:divBdr>
        <w:top w:val="none" w:sz="0" w:space="0" w:color="auto"/>
        <w:left w:val="none" w:sz="0" w:space="0" w:color="auto"/>
        <w:bottom w:val="none" w:sz="0" w:space="0" w:color="auto"/>
        <w:right w:val="none" w:sz="0" w:space="0" w:color="auto"/>
      </w:divBdr>
    </w:div>
    <w:div w:id="1999334324">
      <w:bodyDiv w:val="1"/>
      <w:marLeft w:val="0"/>
      <w:marRight w:val="0"/>
      <w:marTop w:val="0"/>
      <w:marBottom w:val="0"/>
      <w:divBdr>
        <w:top w:val="none" w:sz="0" w:space="0" w:color="auto"/>
        <w:left w:val="none" w:sz="0" w:space="0" w:color="auto"/>
        <w:bottom w:val="none" w:sz="0" w:space="0" w:color="auto"/>
        <w:right w:val="none" w:sz="0" w:space="0" w:color="auto"/>
      </w:divBdr>
    </w:div>
    <w:div w:id="2000452558">
      <w:bodyDiv w:val="1"/>
      <w:marLeft w:val="0"/>
      <w:marRight w:val="0"/>
      <w:marTop w:val="0"/>
      <w:marBottom w:val="0"/>
      <w:divBdr>
        <w:top w:val="none" w:sz="0" w:space="0" w:color="auto"/>
        <w:left w:val="none" w:sz="0" w:space="0" w:color="auto"/>
        <w:bottom w:val="none" w:sz="0" w:space="0" w:color="auto"/>
        <w:right w:val="none" w:sz="0" w:space="0" w:color="auto"/>
      </w:divBdr>
    </w:div>
    <w:div w:id="2003896695">
      <w:bodyDiv w:val="1"/>
      <w:marLeft w:val="0"/>
      <w:marRight w:val="0"/>
      <w:marTop w:val="0"/>
      <w:marBottom w:val="0"/>
      <w:divBdr>
        <w:top w:val="none" w:sz="0" w:space="0" w:color="auto"/>
        <w:left w:val="none" w:sz="0" w:space="0" w:color="auto"/>
        <w:bottom w:val="none" w:sz="0" w:space="0" w:color="auto"/>
        <w:right w:val="none" w:sz="0" w:space="0" w:color="auto"/>
      </w:divBdr>
    </w:div>
    <w:div w:id="2004891772">
      <w:bodyDiv w:val="1"/>
      <w:marLeft w:val="0"/>
      <w:marRight w:val="0"/>
      <w:marTop w:val="0"/>
      <w:marBottom w:val="0"/>
      <w:divBdr>
        <w:top w:val="none" w:sz="0" w:space="0" w:color="auto"/>
        <w:left w:val="none" w:sz="0" w:space="0" w:color="auto"/>
        <w:bottom w:val="none" w:sz="0" w:space="0" w:color="auto"/>
        <w:right w:val="none" w:sz="0" w:space="0" w:color="auto"/>
      </w:divBdr>
    </w:div>
    <w:div w:id="2006391958">
      <w:bodyDiv w:val="1"/>
      <w:marLeft w:val="0"/>
      <w:marRight w:val="0"/>
      <w:marTop w:val="0"/>
      <w:marBottom w:val="0"/>
      <w:divBdr>
        <w:top w:val="none" w:sz="0" w:space="0" w:color="auto"/>
        <w:left w:val="none" w:sz="0" w:space="0" w:color="auto"/>
        <w:bottom w:val="none" w:sz="0" w:space="0" w:color="auto"/>
        <w:right w:val="none" w:sz="0" w:space="0" w:color="auto"/>
      </w:divBdr>
    </w:div>
    <w:div w:id="2006475113">
      <w:bodyDiv w:val="1"/>
      <w:marLeft w:val="0"/>
      <w:marRight w:val="0"/>
      <w:marTop w:val="0"/>
      <w:marBottom w:val="0"/>
      <w:divBdr>
        <w:top w:val="none" w:sz="0" w:space="0" w:color="auto"/>
        <w:left w:val="none" w:sz="0" w:space="0" w:color="auto"/>
        <w:bottom w:val="none" w:sz="0" w:space="0" w:color="auto"/>
        <w:right w:val="none" w:sz="0" w:space="0" w:color="auto"/>
      </w:divBdr>
    </w:div>
    <w:div w:id="2008551319">
      <w:bodyDiv w:val="1"/>
      <w:marLeft w:val="0"/>
      <w:marRight w:val="0"/>
      <w:marTop w:val="0"/>
      <w:marBottom w:val="0"/>
      <w:divBdr>
        <w:top w:val="none" w:sz="0" w:space="0" w:color="auto"/>
        <w:left w:val="none" w:sz="0" w:space="0" w:color="auto"/>
        <w:bottom w:val="none" w:sz="0" w:space="0" w:color="auto"/>
        <w:right w:val="none" w:sz="0" w:space="0" w:color="auto"/>
      </w:divBdr>
    </w:div>
    <w:div w:id="2009209163">
      <w:bodyDiv w:val="1"/>
      <w:marLeft w:val="0"/>
      <w:marRight w:val="0"/>
      <w:marTop w:val="0"/>
      <w:marBottom w:val="0"/>
      <w:divBdr>
        <w:top w:val="none" w:sz="0" w:space="0" w:color="auto"/>
        <w:left w:val="none" w:sz="0" w:space="0" w:color="auto"/>
        <w:bottom w:val="none" w:sz="0" w:space="0" w:color="auto"/>
        <w:right w:val="none" w:sz="0" w:space="0" w:color="auto"/>
      </w:divBdr>
    </w:div>
    <w:div w:id="2010323942">
      <w:bodyDiv w:val="1"/>
      <w:marLeft w:val="0"/>
      <w:marRight w:val="0"/>
      <w:marTop w:val="0"/>
      <w:marBottom w:val="0"/>
      <w:divBdr>
        <w:top w:val="none" w:sz="0" w:space="0" w:color="auto"/>
        <w:left w:val="none" w:sz="0" w:space="0" w:color="auto"/>
        <w:bottom w:val="none" w:sz="0" w:space="0" w:color="auto"/>
        <w:right w:val="none" w:sz="0" w:space="0" w:color="auto"/>
      </w:divBdr>
    </w:div>
    <w:div w:id="2012175679">
      <w:bodyDiv w:val="1"/>
      <w:marLeft w:val="0"/>
      <w:marRight w:val="0"/>
      <w:marTop w:val="0"/>
      <w:marBottom w:val="0"/>
      <w:divBdr>
        <w:top w:val="none" w:sz="0" w:space="0" w:color="auto"/>
        <w:left w:val="none" w:sz="0" w:space="0" w:color="auto"/>
        <w:bottom w:val="none" w:sz="0" w:space="0" w:color="auto"/>
        <w:right w:val="none" w:sz="0" w:space="0" w:color="auto"/>
      </w:divBdr>
    </w:div>
    <w:div w:id="2012223279">
      <w:bodyDiv w:val="1"/>
      <w:marLeft w:val="0"/>
      <w:marRight w:val="0"/>
      <w:marTop w:val="0"/>
      <w:marBottom w:val="0"/>
      <w:divBdr>
        <w:top w:val="none" w:sz="0" w:space="0" w:color="auto"/>
        <w:left w:val="none" w:sz="0" w:space="0" w:color="auto"/>
        <w:bottom w:val="none" w:sz="0" w:space="0" w:color="auto"/>
        <w:right w:val="none" w:sz="0" w:space="0" w:color="auto"/>
      </w:divBdr>
    </w:div>
    <w:div w:id="2012758890">
      <w:bodyDiv w:val="1"/>
      <w:marLeft w:val="0"/>
      <w:marRight w:val="0"/>
      <w:marTop w:val="0"/>
      <w:marBottom w:val="0"/>
      <w:divBdr>
        <w:top w:val="none" w:sz="0" w:space="0" w:color="auto"/>
        <w:left w:val="none" w:sz="0" w:space="0" w:color="auto"/>
        <w:bottom w:val="none" w:sz="0" w:space="0" w:color="auto"/>
        <w:right w:val="none" w:sz="0" w:space="0" w:color="auto"/>
      </w:divBdr>
    </w:div>
    <w:div w:id="2014642177">
      <w:bodyDiv w:val="1"/>
      <w:marLeft w:val="0"/>
      <w:marRight w:val="0"/>
      <w:marTop w:val="0"/>
      <w:marBottom w:val="0"/>
      <w:divBdr>
        <w:top w:val="none" w:sz="0" w:space="0" w:color="auto"/>
        <w:left w:val="none" w:sz="0" w:space="0" w:color="auto"/>
        <w:bottom w:val="none" w:sz="0" w:space="0" w:color="auto"/>
        <w:right w:val="none" w:sz="0" w:space="0" w:color="auto"/>
      </w:divBdr>
    </w:div>
    <w:div w:id="2018459141">
      <w:bodyDiv w:val="1"/>
      <w:marLeft w:val="0"/>
      <w:marRight w:val="0"/>
      <w:marTop w:val="0"/>
      <w:marBottom w:val="0"/>
      <w:divBdr>
        <w:top w:val="none" w:sz="0" w:space="0" w:color="auto"/>
        <w:left w:val="none" w:sz="0" w:space="0" w:color="auto"/>
        <w:bottom w:val="none" w:sz="0" w:space="0" w:color="auto"/>
        <w:right w:val="none" w:sz="0" w:space="0" w:color="auto"/>
      </w:divBdr>
    </w:div>
    <w:div w:id="2018841742">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3848284">
      <w:bodyDiv w:val="1"/>
      <w:marLeft w:val="0"/>
      <w:marRight w:val="0"/>
      <w:marTop w:val="0"/>
      <w:marBottom w:val="0"/>
      <w:divBdr>
        <w:top w:val="none" w:sz="0" w:space="0" w:color="auto"/>
        <w:left w:val="none" w:sz="0" w:space="0" w:color="auto"/>
        <w:bottom w:val="none" w:sz="0" w:space="0" w:color="auto"/>
        <w:right w:val="none" w:sz="0" w:space="0" w:color="auto"/>
      </w:divBdr>
    </w:div>
    <w:div w:id="2025591817">
      <w:bodyDiv w:val="1"/>
      <w:marLeft w:val="0"/>
      <w:marRight w:val="0"/>
      <w:marTop w:val="0"/>
      <w:marBottom w:val="0"/>
      <w:divBdr>
        <w:top w:val="none" w:sz="0" w:space="0" w:color="auto"/>
        <w:left w:val="none" w:sz="0" w:space="0" w:color="auto"/>
        <w:bottom w:val="none" w:sz="0" w:space="0" w:color="auto"/>
        <w:right w:val="none" w:sz="0" w:space="0" w:color="auto"/>
      </w:divBdr>
    </w:div>
    <w:div w:id="2028016945">
      <w:bodyDiv w:val="1"/>
      <w:marLeft w:val="0"/>
      <w:marRight w:val="0"/>
      <w:marTop w:val="0"/>
      <w:marBottom w:val="0"/>
      <w:divBdr>
        <w:top w:val="none" w:sz="0" w:space="0" w:color="auto"/>
        <w:left w:val="none" w:sz="0" w:space="0" w:color="auto"/>
        <w:bottom w:val="none" w:sz="0" w:space="0" w:color="auto"/>
        <w:right w:val="none" w:sz="0" w:space="0" w:color="auto"/>
      </w:divBdr>
    </w:div>
    <w:div w:id="2028602589">
      <w:bodyDiv w:val="1"/>
      <w:marLeft w:val="0"/>
      <w:marRight w:val="0"/>
      <w:marTop w:val="0"/>
      <w:marBottom w:val="0"/>
      <w:divBdr>
        <w:top w:val="none" w:sz="0" w:space="0" w:color="auto"/>
        <w:left w:val="none" w:sz="0" w:space="0" w:color="auto"/>
        <w:bottom w:val="none" w:sz="0" w:space="0" w:color="auto"/>
        <w:right w:val="none" w:sz="0" w:space="0" w:color="auto"/>
      </w:divBdr>
    </w:div>
    <w:div w:id="2034383664">
      <w:bodyDiv w:val="1"/>
      <w:marLeft w:val="0"/>
      <w:marRight w:val="0"/>
      <w:marTop w:val="0"/>
      <w:marBottom w:val="0"/>
      <w:divBdr>
        <w:top w:val="none" w:sz="0" w:space="0" w:color="auto"/>
        <w:left w:val="none" w:sz="0" w:space="0" w:color="auto"/>
        <w:bottom w:val="none" w:sz="0" w:space="0" w:color="auto"/>
        <w:right w:val="none" w:sz="0" w:space="0" w:color="auto"/>
      </w:divBdr>
    </w:div>
    <w:div w:id="2038265273">
      <w:bodyDiv w:val="1"/>
      <w:marLeft w:val="0"/>
      <w:marRight w:val="0"/>
      <w:marTop w:val="0"/>
      <w:marBottom w:val="0"/>
      <w:divBdr>
        <w:top w:val="none" w:sz="0" w:space="0" w:color="auto"/>
        <w:left w:val="none" w:sz="0" w:space="0" w:color="auto"/>
        <w:bottom w:val="none" w:sz="0" w:space="0" w:color="auto"/>
        <w:right w:val="none" w:sz="0" w:space="0" w:color="auto"/>
      </w:divBdr>
    </w:div>
    <w:div w:id="2040617321">
      <w:bodyDiv w:val="1"/>
      <w:marLeft w:val="0"/>
      <w:marRight w:val="0"/>
      <w:marTop w:val="0"/>
      <w:marBottom w:val="0"/>
      <w:divBdr>
        <w:top w:val="none" w:sz="0" w:space="0" w:color="auto"/>
        <w:left w:val="none" w:sz="0" w:space="0" w:color="auto"/>
        <w:bottom w:val="none" w:sz="0" w:space="0" w:color="auto"/>
        <w:right w:val="none" w:sz="0" w:space="0" w:color="auto"/>
      </w:divBdr>
    </w:div>
    <w:div w:id="2044790757">
      <w:bodyDiv w:val="1"/>
      <w:marLeft w:val="0"/>
      <w:marRight w:val="0"/>
      <w:marTop w:val="0"/>
      <w:marBottom w:val="0"/>
      <w:divBdr>
        <w:top w:val="none" w:sz="0" w:space="0" w:color="auto"/>
        <w:left w:val="none" w:sz="0" w:space="0" w:color="auto"/>
        <w:bottom w:val="none" w:sz="0" w:space="0" w:color="auto"/>
        <w:right w:val="none" w:sz="0" w:space="0" w:color="auto"/>
      </w:divBdr>
    </w:div>
    <w:div w:id="2049334188">
      <w:bodyDiv w:val="1"/>
      <w:marLeft w:val="0"/>
      <w:marRight w:val="0"/>
      <w:marTop w:val="0"/>
      <w:marBottom w:val="0"/>
      <w:divBdr>
        <w:top w:val="none" w:sz="0" w:space="0" w:color="auto"/>
        <w:left w:val="none" w:sz="0" w:space="0" w:color="auto"/>
        <w:bottom w:val="none" w:sz="0" w:space="0" w:color="auto"/>
        <w:right w:val="none" w:sz="0" w:space="0" w:color="auto"/>
      </w:divBdr>
    </w:div>
    <w:div w:id="2050297117">
      <w:bodyDiv w:val="1"/>
      <w:marLeft w:val="0"/>
      <w:marRight w:val="0"/>
      <w:marTop w:val="0"/>
      <w:marBottom w:val="0"/>
      <w:divBdr>
        <w:top w:val="none" w:sz="0" w:space="0" w:color="auto"/>
        <w:left w:val="none" w:sz="0" w:space="0" w:color="auto"/>
        <w:bottom w:val="none" w:sz="0" w:space="0" w:color="auto"/>
        <w:right w:val="none" w:sz="0" w:space="0" w:color="auto"/>
      </w:divBdr>
    </w:div>
    <w:div w:id="2050908555">
      <w:bodyDiv w:val="1"/>
      <w:marLeft w:val="0"/>
      <w:marRight w:val="0"/>
      <w:marTop w:val="0"/>
      <w:marBottom w:val="0"/>
      <w:divBdr>
        <w:top w:val="none" w:sz="0" w:space="0" w:color="auto"/>
        <w:left w:val="none" w:sz="0" w:space="0" w:color="auto"/>
        <w:bottom w:val="none" w:sz="0" w:space="0" w:color="auto"/>
        <w:right w:val="none" w:sz="0" w:space="0" w:color="auto"/>
      </w:divBdr>
    </w:div>
    <w:div w:id="2051152879">
      <w:bodyDiv w:val="1"/>
      <w:marLeft w:val="0"/>
      <w:marRight w:val="0"/>
      <w:marTop w:val="0"/>
      <w:marBottom w:val="0"/>
      <w:divBdr>
        <w:top w:val="none" w:sz="0" w:space="0" w:color="auto"/>
        <w:left w:val="none" w:sz="0" w:space="0" w:color="auto"/>
        <w:bottom w:val="none" w:sz="0" w:space="0" w:color="auto"/>
        <w:right w:val="none" w:sz="0" w:space="0" w:color="auto"/>
      </w:divBdr>
    </w:div>
    <w:div w:id="2051682834">
      <w:bodyDiv w:val="1"/>
      <w:marLeft w:val="0"/>
      <w:marRight w:val="0"/>
      <w:marTop w:val="0"/>
      <w:marBottom w:val="0"/>
      <w:divBdr>
        <w:top w:val="none" w:sz="0" w:space="0" w:color="auto"/>
        <w:left w:val="none" w:sz="0" w:space="0" w:color="auto"/>
        <w:bottom w:val="none" w:sz="0" w:space="0" w:color="auto"/>
        <w:right w:val="none" w:sz="0" w:space="0" w:color="auto"/>
      </w:divBdr>
    </w:div>
    <w:div w:id="2053533100">
      <w:bodyDiv w:val="1"/>
      <w:marLeft w:val="0"/>
      <w:marRight w:val="0"/>
      <w:marTop w:val="0"/>
      <w:marBottom w:val="0"/>
      <w:divBdr>
        <w:top w:val="none" w:sz="0" w:space="0" w:color="auto"/>
        <w:left w:val="none" w:sz="0" w:space="0" w:color="auto"/>
        <w:bottom w:val="none" w:sz="0" w:space="0" w:color="auto"/>
        <w:right w:val="none" w:sz="0" w:space="0" w:color="auto"/>
      </w:divBdr>
    </w:div>
    <w:div w:id="2055232396">
      <w:bodyDiv w:val="1"/>
      <w:marLeft w:val="0"/>
      <w:marRight w:val="0"/>
      <w:marTop w:val="0"/>
      <w:marBottom w:val="0"/>
      <w:divBdr>
        <w:top w:val="none" w:sz="0" w:space="0" w:color="auto"/>
        <w:left w:val="none" w:sz="0" w:space="0" w:color="auto"/>
        <w:bottom w:val="none" w:sz="0" w:space="0" w:color="auto"/>
        <w:right w:val="none" w:sz="0" w:space="0" w:color="auto"/>
      </w:divBdr>
    </w:div>
    <w:div w:id="2055687593">
      <w:bodyDiv w:val="1"/>
      <w:marLeft w:val="0"/>
      <w:marRight w:val="0"/>
      <w:marTop w:val="0"/>
      <w:marBottom w:val="0"/>
      <w:divBdr>
        <w:top w:val="none" w:sz="0" w:space="0" w:color="auto"/>
        <w:left w:val="none" w:sz="0" w:space="0" w:color="auto"/>
        <w:bottom w:val="none" w:sz="0" w:space="0" w:color="auto"/>
        <w:right w:val="none" w:sz="0" w:space="0" w:color="auto"/>
      </w:divBdr>
    </w:div>
    <w:div w:id="2057074906">
      <w:bodyDiv w:val="1"/>
      <w:marLeft w:val="0"/>
      <w:marRight w:val="0"/>
      <w:marTop w:val="0"/>
      <w:marBottom w:val="0"/>
      <w:divBdr>
        <w:top w:val="none" w:sz="0" w:space="0" w:color="auto"/>
        <w:left w:val="none" w:sz="0" w:space="0" w:color="auto"/>
        <w:bottom w:val="none" w:sz="0" w:space="0" w:color="auto"/>
        <w:right w:val="none" w:sz="0" w:space="0" w:color="auto"/>
      </w:divBdr>
    </w:div>
    <w:div w:id="2057922846">
      <w:bodyDiv w:val="1"/>
      <w:marLeft w:val="0"/>
      <w:marRight w:val="0"/>
      <w:marTop w:val="0"/>
      <w:marBottom w:val="0"/>
      <w:divBdr>
        <w:top w:val="none" w:sz="0" w:space="0" w:color="auto"/>
        <w:left w:val="none" w:sz="0" w:space="0" w:color="auto"/>
        <w:bottom w:val="none" w:sz="0" w:space="0" w:color="auto"/>
        <w:right w:val="none" w:sz="0" w:space="0" w:color="auto"/>
      </w:divBdr>
    </w:div>
    <w:div w:id="2058434903">
      <w:bodyDiv w:val="1"/>
      <w:marLeft w:val="0"/>
      <w:marRight w:val="0"/>
      <w:marTop w:val="0"/>
      <w:marBottom w:val="0"/>
      <w:divBdr>
        <w:top w:val="none" w:sz="0" w:space="0" w:color="auto"/>
        <w:left w:val="none" w:sz="0" w:space="0" w:color="auto"/>
        <w:bottom w:val="none" w:sz="0" w:space="0" w:color="auto"/>
        <w:right w:val="none" w:sz="0" w:space="0" w:color="auto"/>
      </w:divBdr>
    </w:div>
    <w:div w:id="2061705464">
      <w:bodyDiv w:val="1"/>
      <w:marLeft w:val="0"/>
      <w:marRight w:val="0"/>
      <w:marTop w:val="0"/>
      <w:marBottom w:val="0"/>
      <w:divBdr>
        <w:top w:val="none" w:sz="0" w:space="0" w:color="auto"/>
        <w:left w:val="none" w:sz="0" w:space="0" w:color="auto"/>
        <w:bottom w:val="none" w:sz="0" w:space="0" w:color="auto"/>
        <w:right w:val="none" w:sz="0" w:space="0" w:color="auto"/>
      </w:divBdr>
    </w:div>
    <w:div w:id="2063283407">
      <w:bodyDiv w:val="1"/>
      <w:marLeft w:val="0"/>
      <w:marRight w:val="0"/>
      <w:marTop w:val="0"/>
      <w:marBottom w:val="0"/>
      <w:divBdr>
        <w:top w:val="none" w:sz="0" w:space="0" w:color="auto"/>
        <w:left w:val="none" w:sz="0" w:space="0" w:color="auto"/>
        <w:bottom w:val="none" w:sz="0" w:space="0" w:color="auto"/>
        <w:right w:val="none" w:sz="0" w:space="0" w:color="auto"/>
      </w:divBdr>
    </w:div>
    <w:div w:id="2064404586">
      <w:bodyDiv w:val="1"/>
      <w:marLeft w:val="0"/>
      <w:marRight w:val="0"/>
      <w:marTop w:val="0"/>
      <w:marBottom w:val="0"/>
      <w:divBdr>
        <w:top w:val="none" w:sz="0" w:space="0" w:color="auto"/>
        <w:left w:val="none" w:sz="0" w:space="0" w:color="auto"/>
        <w:bottom w:val="none" w:sz="0" w:space="0" w:color="auto"/>
        <w:right w:val="none" w:sz="0" w:space="0" w:color="auto"/>
      </w:divBdr>
    </w:div>
    <w:div w:id="2072118657">
      <w:bodyDiv w:val="1"/>
      <w:marLeft w:val="0"/>
      <w:marRight w:val="0"/>
      <w:marTop w:val="0"/>
      <w:marBottom w:val="0"/>
      <w:divBdr>
        <w:top w:val="none" w:sz="0" w:space="0" w:color="auto"/>
        <w:left w:val="none" w:sz="0" w:space="0" w:color="auto"/>
        <w:bottom w:val="none" w:sz="0" w:space="0" w:color="auto"/>
        <w:right w:val="none" w:sz="0" w:space="0" w:color="auto"/>
      </w:divBdr>
    </w:div>
    <w:div w:id="2074965889">
      <w:bodyDiv w:val="1"/>
      <w:marLeft w:val="0"/>
      <w:marRight w:val="0"/>
      <w:marTop w:val="0"/>
      <w:marBottom w:val="0"/>
      <w:divBdr>
        <w:top w:val="none" w:sz="0" w:space="0" w:color="auto"/>
        <w:left w:val="none" w:sz="0" w:space="0" w:color="auto"/>
        <w:bottom w:val="none" w:sz="0" w:space="0" w:color="auto"/>
        <w:right w:val="none" w:sz="0" w:space="0" w:color="auto"/>
      </w:divBdr>
    </w:div>
    <w:div w:id="2078816146">
      <w:bodyDiv w:val="1"/>
      <w:marLeft w:val="0"/>
      <w:marRight w:val="0"/>
      <w:marTop w:val="0"/>
      <w:marBottom w:val="0"/>
      <w:divBdr>
        <w:top w:val="none" w:sz="0" w:space="0" w:color="auto"/>
        <w:left w:val="none" w:sz="0" w:space="0" w:color="auto"/>
        <w:bottom w:val="none" w:sz="0" w:space="0" w:color="auto"/>
        <w:right w:val="none" w:sz="0" w:space="0" w:color="auto"/>
      </w:divBdr>
    </w:div>
    <w:div w:id="2080133030">
      <w:bodyDiv w:val="1"/>
      <w:marLeft w:val="0"/>
      <w:marRight w:val="0"/>
      <w:marTop w:val="0"/>
      <w:marBottom w:val="0"/>
      <w:divBdr>
        <w:top w:val="none" w:sz="0" w:space="0" w:color="auto"/>
        <w:left w:val="none" w:sz="0" w:space="0" w:color="auto"/>
        <w:bottom w:val="none" w:sz="0" w:space="0" w:color="auto"/>
        <w:right w:val="none" w:sz="0" w:space="0" w:color="auto"/>
      </w:divBdr>
    </w:div>
    <w:div w:id="2081364024">
      <w:bodyDiv w:val="1"/>
      <w:marLeft w:val="0"/>
      <w:marRight w:val="0"/>
      <w:marTop w:val="0"/>
      <w:marBottom w:val="0"/>
      <w:divBdr>
        <w:top w:val="none" w:sz="0" w:space="0" w:color="auto"/>
        <w:left w:val="none" w:sz="0" w:space="0" w:color="auto"/>
        <w:bottom w:val="none" w:sz="0" w:space="0" w:color="auto"/>
        <w:right w:val="none" w:sz="0" w:space="0" w:color="auto"/>
      </w:divBdr>
    </w:div>
    <w:div w:id="208367642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467860">
      <w:bodyDiv w:val="1"/>
      <w:marLeft w:val="0"/>
      <w:marRight w:val="0"/>
      <w:marTop w:val="0"/>
      <w:marBottom w:val="0"/>
      <w:divBdr>
        <w:top w:val="none" w:sz="0" w:space="0" w:color="auto"/>
        <w:left w:val="none" w:sz="0" w:space="0" w:color="auto"/>
        <w:bottom w:val="none" w:sz="0" w:space="0" w:color="auto"/>
        <w:right w:val="none" w:sz="0" w:space="0" w:color="auto"/>
      </w:divBdr>
    </w:div>
    <w:div w:id="2090538622">
      <w:bodyDiv w:val="1"/>
      <w:marLeft w:val="0"/>
      <w:marRight w:val="0"/>
      <w:marTop w:val="0"/>
      <w:marBottom w:val="0"/>
      <w:divBdr>
        <w:top w:val="none" w:sz="0" w:space="0" w:color="auto"/>
        <w:left w:val="none" w:sz="0" w:space="0" w:color="auto"/>
        <w:bottom w:val="none" w:sz="0" w:space="0" w:color="auto"/>
        <w:right w:val="none" w:sz="0" w:space="0" w:color="auto"/>
      </w:divBdr>
    </w:div>
    <w:div w:id="2091459126">
      <w:bodyDiv w:val="1"/>
      <w:marLeft w:val="0"/>
      <w:marRight w:val="0"/>
      <w:marTop w:val="0"/>
      <w:marBottom w:val="0"/>
      <w:divBdr>
        <w:top w:val="none" w:sz="0" w:space="0" w:color="auto"/>
        <w:left w:val="none" w:sz="0" w:space="0" w:color="auto"/>
        <w:bottom w:val="none" w:sz="0" w:space="0" w:color="auto"/>
        <w:right w:val="none" w:sz="0" w:space="0" w:color="auto"/>
      </w:divBdr>
    </w:div>
    <w:div w:id="2091609505">
      <w:bodyDiv w:val="1"/>
      <w:marLeft w:val="0"/>
      <w:marRight w:val="0"/>
      <w:marTop w:val="0"/>
      <w:marBottom w:val="0"/>
      <w:divBdr>
        <w:top w:val="none" w:sz="0" w:space="0" w:color="auto"/>
        <w:left w:val="none" w:sz="0" w:space="0" w:color="auto"/>
        <w:bottom w:val="none" w:sz="0" w:space="0" w:color="auto"/>
        <w:right w:val="none" w:sz="0" w:space="0" w:color="auto"/>
      </w:divBdr>
    </w:div>
    <w:div w:id="2095279342">
      <w:bodyDiv w:val="1"/>
      <w:marLeft w:val="0"/>
      <w:marRight w:val="0"/>
      <w:marTop w:val="0"/>
      <w:marBottom w:val="0"/>
      <w:divBdr>
        <w:top w:val="none" w:sz="0" w:space="0" w:color="auto"/>
        <w:left w:val="none" w:sz="0" w:space="0" w:color="auto"/>
        <w:bottom w:val="none" w:sz="0" w:space="0" w:color="auto"/>
        <w:right w:val="none" w:sz="0" w:space="0" w:color="auto"/>
      </w:divBdr>
    </w:div>
    <w:div w:id="2097944914">
      <w:bodyDiv w:val="1"/>
      <w:marLeft w:val="0"/>
      <w:marRight w:val="0"/>
      <w:marTop w:val="0"/>
      <w:marBottom w:val="0"/>
      <w:divBdr>
        <w:top w:val="none" w:sz="0" w:space="0" w:color="auto"/>
        <w:left w:val="none" w:sz="0" w:space="0" w:color="auto"/>
        <w:bottom w:val="none" w:sz="0" w:space="0" w:color="auto"/>
        <w:right w:val="none" w:sz="0" w:space="0" w:color="auto"/>
      </w:divBdr>
    </w:div>
    <w:div w:id="2099712802">
      <w:bodyDiv w:val="1"/>
      <w:marLeft w:val="0"/>
      <w:marRight w:val="0"/>
      <w:marTop w:val="0"/>
      <w:marBottom w:val="0"/>
      <w:divBdr>
        <w:top w:val="none" w:sz="0" w:space="0" w:color="auto"/>
        <w:left w:val="none" w:sz="0" w:space="0" w:color="auto"/>
        <w:bottom w:val="none" w:sz="0" w:space="0" w:color="auto"/>
        <w:right w:val="none" w:sz="0" w:space="0" w:color="auto"/>
      </w:divBdr>
    </w:div>
    <w:div w:id="2101368350">
      <w:bodyDiv w:val="1"/>
      <w:marLeft w:val="0"/>
      <w:marRight w:val="0"/>
      <w:marTop w:val="0"/>
      <w:marBottom w:val="0"/>
      <w:divBdr>
        <w:top w:val="none" w:sz="0" w:space="0" w:color="auto"/>
        <w:left w:val="none" w:sz="0" w:space="0" w:color="auto"/>
        <w:bottom w:val="none" w:sz="0" w:space="0" w:color="auto"/>
        <w:right w:val="none" w:sz="0" w:space="0" w:color="auto"/>
      </w:divBdr>
    </w:div>
    <w:div w:id="2102330712">
      <w:bodyDiv w:val="1"/>
      <w:marLeft w:val="0"/>
      <w:marRight w:val="0"/>
      <w:marTop w:val="0"/>
      <w:marBottom w:val="0"/>
      <w:divBdr>
        <w:top w:val="none" w:sz="0" w:space="0" w:color="auto"/>
        <w:left w:val="none" w:sz="0" w:space="0" w:color="auto"/>
        <w:bottom w:val="none" w:sz="0" w:space="0" w:color="auto"/>
        <w:right w:val="none" w:sz="0" w:space="0" w:color="auto"/>
      </w:divBdr>
    </w:div>
    <w:div w:id="2108846651">
      <w:bodyDiv w:val="1"/>
      <w:marLeft w:val="0"/>
      <w:marRight w:val="0"/>
      <w:marTop w:val="0"/>
      <w:marBottom w:val="0"/>
      <w:divBdr>
        <w:top w:val="none" w:sz="0" w:space="0" w:color="auto"/>
        <w:left w:val="none" w:sz="0" w:space="0" w:color="auto"/>
        <w:bottom w:val="none" w:sz="0" w:space="0" w:color="auto"/>
        <w:right w:val="none" w:sz="0" w:space="0" w:color="auto"/>
      </w:divBdr>
    </w:div>
    <w:div w:id="210968835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938575">
      <w:bodyDiv w:val="1"/>
      <w:marLeft w:val="0"/>
      <w:marRight w:val="0"/>
      <w:marTop w:val="0"/>
      <w:marBottom w:val="0"/>
      <w:divBdr>
        <w:top w:val="none" w:sz="0" w:space="0" w:color="auto"/>
        <w:left w:val="none" w:sz="0" w:space="0" w:color="auto"/>
        <w:bottom w:val="none" w:sz="0" w:space="0" w:color="auto"/>
        <w:right w:val="none" w:sz="0" w:space="0" w:color="auto"/>
      </w:divBdr>
    </w:div>
    <w:div w:id="2115009168">
      <w:bodyDiv w:val="1"/>
      <w:marLeft w:val="0"/>
      <w:marRight w:val="0"/>
      <w:marTop w:val="0"/>
      <w:marBottom w:val="0"/>
      <w:divBdr>
        <w:top w:val="none" w:sz="0" w:space="0" w:color="auto"/>
        <w:left w:val="none" w:sz="0" w:space="0" w:color="auto"/>
        <w:bottom w:val="none" w:sz="0" w:space="0" w:color="auto"/>
        <w:right w:val="none" w:sz="0" w:space="0" w:color="auto"/>
      </w:divBdr>
    </w:div>
    <w:div w:id="2116898256">
      <w:bodyDiv w:val="1"/>
      <w:marLeft w:val="0"/>
      <w:marRight w:val="0"/>
      <w:marTop w:val="0"/>
      <w:marBottom w:val="0"/>
      <w:divBdr>
        <w:top w:val="none" w:sz="0" w:space="0" w:color="auto"/>
        <w:left w:val="none" w:sz="0" w:space="0" w:color="auto"/>
        <w:bottom w:val="none" w:sz="0" w:space="0" w:color="auto"/>
        <w:right w:val="none" w:sz="0" w:space="0" w:color="auto"/>
      </w:divBdr>
    </w:div>
    <w:div w:id="2117485254">
      <w:bodyDiv w:val="1"/>
      <w:marLeft w:val="0"/>
      <w:marRight w:val="0"/>
      <w:marTop w:val="0"/>
      <w:marBottom w:val="0"/>
      <w:divBdr>
        <w:top w:val="none" w:sz="0" w:space="0" w:color="auto"/>
        <w:left w:val="none" w:sz="0" w:space="0" w:color="auto"/>
        <w:bottom w:val="none" w:sz="0" w:space="0" w:color="auto"/>
        <w:right w:val="none" w:sz="0" w:space="0" w:color="auto"/>
      </w:divBdr>
    </w:div>
    <w:div w:id="2119636183">
      <w:bodyDiv w:val="1"/>
      <w:marLeft w:val="0"/>
      <w:marRight w:val="0"/>
      <w:marTop w:val="0"/>
      <w:marBottom w:val="0"/>
      <w:divBdr>
        <w:top w:val="none" w:sz="0" w:space="0" w:color="auto"/>
        <w:left w:val="none" w:sz="0" w:space="0" w:color="auto"/>
        <w:bottom w:val="none" w:sz="0" w:space="0" w:color="auto"/>
        <w:right w:val="none" w:sz="0" w:space="0" w:color="auto"/>
      </w:divBdr>
    </w:div>
    <w:div w:id="2120221103">
      <w:bodyDiv w:val="1"/>
      <w:marLeft w:val="0"/>
      <w:marRight w:val="0"/>
      <w:marTop w:val="0"/>
      <w:marBottom w:val="0"/>
      <w:divBdr>
        <w:top w:val="none" w:sz="0" w:space="0" w:color="auto"/>
        <w:left w:val="none" w:sz="0" w:space="0" w:color="auto"/>
        <w:bottom w:val="none" w:sz="0" w:space="0" w:color="auto"/>
        <w:right w:val="none" w:sz="0" w:space="0" w:color="auto"/>
      </w:divBdr>
    </w:div>
    <w:div w:id="2121800430">
      <w:bodyDiv w:val="1"/>
      <w:marLeft w:val="0"/>
      <w:marRight w:val="0"/>
      <w:marTop w:val="0"/>
      <w:marBottom w:val="0"/>
      <w:divBdr>
        <w:top w:val="none" w:sz="0" w:space="0" w:color="auto"/>
        <w:left w:val="none" w:sz="0" w:space="0" w:color="auto"/>
        <w:bottom w:val="none" w:sz="0" w:space="0" w:color="auto"/>
        <w:right w:val="none" w:sz="0" w:space="0" w:color="auto"/>
      </w:divBdr>
    </w:div>
    <w:div w:id="2121990740">
      <w:bodyDiv w:val="1"/>
      <w:marLeft w:val="0"/>
      <w:marRight w:val="0"/>
      <w:marTop w:val="0"/>
      <w:marBottom w:val="0"/>
      <w:divBdr>
        <w:top w:val="none" w:sz="0" w:space="0" w:color="auto"/>
        <w:left w:val="none" w:sz="0" w:space="0" w:color="auto"/>
        <w:bottom w:val="none" w:sz="0" w:space="0" w:color="auto"/>
        <w:right w:val="none" w:sz="0" w:space="0" w:color="auto"/>
      </w:divBdr>
    </w:div>
    <w:div w:id="2123184746">
      <w:bodyDiv w:val="1"/>
      <w:marLeft w:val="0"/>
      <w:marRight w:val="0"/>
      <w:marTop w:val="0"/>
      <w:marBottom w:val="0"/>
      <w:divBdr>
        <w:top w:val="none" w:sz="0" w:space="0" w:color="auto"/>
        <w:left w:val="none" w:sz="0" w:space="0" w:color="auto"/>
        <w:bottom w:val="none" w:sz="0" w:space="0" w:color="auto"/>
        <w:right w:val="none" w:sz="0" w:space="0" w:color="auto"/>
      </w:divBdr>
    </w:div>
    <w:div w:id="2127192464">
      <w:bodyDiv w:val="1"/>
      <w:marLeft w:val="0"/>
      <w:marRight w:val="0"/>
      <w:marTop w:val="0"/>
      <w:marBottom w:val="0"/>
      <w:divBdr>
        <w:top w:val="none" w:sz="0" w:space="0" w:color="auto"/>
        <w:left w:val="none" w:sz="0" w:space="0" w:color="auto"/>
        <w:bottom w:val="none" w:sz="0" w:space="0" w:color="auto"/>
        <w:right w:val="none" w:sz="0" w:space="0" w:color="auto"/>
      </w:divBdr>
    </w:div>
    <w:div w:id="2129201991">
      <w:bodyDiv w:val="1"/>
      <w:marLeft w:val="0"/>
      <w:marRight w:val="0"/>
      <w:marTop w:val="0"/>
      <w:marBottom w:val="0"/>
      <w:divBdr>
        <w:top w:val="none" w:sz="0" w:space="0" w:color="auto"/>
        <w:left w:val="none" w:sz="0" w:space="0" w:color="auto"/>
        <w:bottom w:val="none" w:sz="0" w:space="0" w:color="auto"/>
        <w:right w:val="none" w:sz="0" w:space="0" w:color="auto"/>
      </w:divBdr>
    </w:div>
    <w:div w:id="2129741932">
      <w:bodyDiv w:val="1"/>
      <w:marLeft w:val="0"/>
      <w:marRight w:val="0"/>
      <w:marTop w:val="0"/>
      <w:marBottom w:val="0"/>
      <w:divBdr>
        <w:top w:val="none" w:sz="0" w:space="0" w:color="auto"/>
        <w:left w:val="none" w:sz="0" w:space="0" w:color="auto"/>
        <w:bottom w:val="none" w:sz="0" w:space="0" w:color="auto"/>
        <w:right w:val="none" w:sz="0" w:space="0" w:color="auto"/>
      </w:divBdr>
    </w:div>
    <w:div w:id="2129884359">
      <w:bodyDiv w:val="1"/>
      <w:marLeft w:val="0"/>
      <w:marRight w:val="0"/>
      <w:marTop w:val="0"/>
      <w:marBottom w:val="0"/>
      <w:divBdr>
        <w:top w:val="none" w:sz="0" w:space="0" w:color="auto"/>
        <w:left w:val="none" w:sz="0" w:space="0" w:color="auto"/>
        <w:bottom w:val="none" w:sz="0" w:space="0" w:color="auto"/>
        <w:right w:val="none" w:sz="0" w:space="0" w:color="auto"/>
      </w:divBdr>
    </w:div>
    <w:div w:id="2131435118">
      <w:bodyDiv w:val="1"/>
      <w:marLeft w:val="0"/>
      <w:marRight w:val="0"/>
      <w:marTop w:val="0"/>
      <w:marBottom w:val="0"/>
      <w:divBdr>
        <w:top w:val="none" w:sz="0" w:space="0" w:color="auto"/>
        <w:left w:val="none" w:sz="0" w:space="0" w:color="auto"/>
        <w:bottom w:val="none" w:sz="0" w:space="0" w:color="auto"/>
        <w:right w:val="none" w:sz="0" w:space="0" w:color="auto"/>
      </w:divBdr>
    </w:div>
    <w:div w:id="2135981666">
      <w:bodyDiv w:val="1"/>
      <w:marLeft w:val="0"/>
      <w:marRight w:val="0"/>
      <w:marTop w:val="0"/>
      <w:marBottom w:val="0"/>
      <w:divBdr>
        <w:top w:val="none" w:sz="0" w:space="0" w:color="auto"/>
        <w:left w:val="none" w:sz="0" w:space="0" w:color="auto"/>
        <w:bottom w:val="none" w:sz="0" w:space="0" w:color="auto"/>
        <w:right w:val="none" w:sz="0" w:space="0" w:color="auto"/>
      </w:divBdr>
    </w:div>
    <w:div w:id="2146046258">
      <w:bodyDiv w:val="1"/>
      <w:marLeft w:val="0"/>
      <w:marRight w:val="0"/>
      <w:marTop w:val="0"/>
      <w:marBottom w:val="0"/>
      <w:divBdr>
        <w:top w:val="none" w:sz="0" w:space="0" w:color="auto"/>
        <w:left w:val="none" w:sz="0" w:space="0" w:color="auto"/>
        <w:bottom w:val="none" w:sz="0" w:space="0" w:color="auto"/>
        <w:right w:val="none" w:sz="0" w:space="0" w:color="auto"/>
      </w:divBdr>
    </w:div>
    <w:div w:id="2146313776">
      <w:bodyDiv w:val="1"/>
      <w:marLeft w:val="0"/>
      <w:marRight w:val="0"/>
      <w:marTop w:val="0"/>
      <w:marBottom w:val="0"/>
      <w:divBdr>
        <w:top w:val="none" w:sz="0" w:space="0" w:color="auto"/>
        <w:left w:val="none" w:sz="0" w:space="0" w:color="auto"/>
        <w:bottom w:val="none" w:sz="0" w:space="0" w:color="auto"/>
        <w:right w:val="none" w:sz="0" w:space="0" w:color="auto"/>
      </w:divBdr>
    </w:div>
    <w:div w:id="21464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r w:rsidRPr="00561874">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r w:rsidRPr="00D1240B">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D4B56A1641B147BEA63304F62D2BB491"/>
        <w:category>
          <w:name w:val="General"/>
          <w:gallery w:val="placeholder"/>
        </w:category>
        <w:types>
          <w:type w:val="bbPlcHdr"/>
        </w:types>
        <w:behaviors>
          <w:behavior w:val="content"/>
        </w:behaviors>
        <w:guid w:val="{6BBDC79D-F485-403A-9B60-2EEA505F45C3}"/>
      </w:docPartPr>
      <w:docPartBody>
        <w:p w:rsidR="00A03005" w:rsidRDefault="00493C50">
          <w:r w:rsidRPr="00F02455">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F21"/>
    <w:rsid w:val="000067F8"/>
    <w:rsid w:val="000A0B75"/>
    <w:rsid w:val="000A0C3B"/>
    <w:rsid w:val="000A52C0"/>
    <w:rsid w:val="000B3A98"/>
    <w:rsid w:val="000E14E7"/>
    <w:rsid w:val="00116E5C"/>
    <w:rsid w:val="00122BE0"/>
    <w:rsid w:val="001476C7"/>
    <w:rsid w:val="00164B5A"/>
    <w:rsid w:val="002137F4"/>
    <w:rsid w:val="00252452"/>
    <w:rsid w:val="002550FD"/>
    <w:rsid w:val="0029484D"/>
    <w:rsid w:val="002E0DDA"/>
    <w:rsid w:val="002F3049"/>
    <w:rsid w:val="00305826"/>
    <w:rsid w:val="00350199"/>
    <w:rsid w:val="00357127"/>
    <w:rsid w:val="00373D49"/>
    <w:rsid w:val="003748B3"/>
    <w:rsid w:val="003A04DC"/>
    <w:rsid w:val="003A7D24"/>
    <w:rsid w:val="003E5CB2"/>
    <w:rsid w:val="00402273"/>
    <w:rsid w:val="00485FB7"/>
    <w:rsid w:val="00493C50"/>
    <w:rsid w:val="004A7BA2"/>
    <w:rsid w:val="004B60D9"/>
    <w:rsid w:val="004C5D1B"/>
    <w:rsid w:val="004E1667"/>
    <w:rsid w:val="004F20BF"/>
    <w:rsid w:val="00511494"/>
    <w:rsid w:val="00576F78"/>
    <w:rsid w:val="005A1920"/>
    <w:rsid w:val="005D0629"/>
    <w:rsid w:val="005D7ECE"/>
    <w:rsid w:val="005E3EBE"/>
    <w:rsid w:val="005F3245"/>
    <w:rsid w:val="006048BF"/>
    <w:rsid w:val="0062143A"/>
    <w:rsid w:val="00682070"/>
    <w:rsid w:val="00683126"/>
    <w:rsid w:val="006A0540"/>
    <w:rsid w:val="00701069"/>
    <w:rsid w:val="007060F1"/>
    <w:rsid w:val="007154C5"/>
    <w:rsid w:val="00780702"/>
    <w:rsid w:val="00780C80"/>
    <w:rsid w:val="007865E0"/>
    <w:rsid w:val="007C121A"/>
    <w:rsid w:val="007D6531"/>
    <w:rsid w:val="007F1081"/>
    <w:rsid w:val="00821BD5"/>
    <w:rsid w:val="00835E07"/>
    <w:rsid w:val="008375F1"/>
    <w:rsid w:val="0087134D"/>
    <w:rsid w:val="00883EB5"/>
    <w:rsid w:val="008847E5"/>
    <w:rsid w:val="00886503"/>
    <w:rsid w:val="008A38AD"/>
    <w:rsid w:val="008A7DBC"/>
    <w:rsid w:val="008E6E67"/>
    <w:rsid w:val="008F733E"/>
    <w:rsid w:val="00920DF1"/>
    <w:rsid w:val="00972B41"/>
    <w:rsid w:val="00976FA9"/>
    <w:rsid w:val="009C4285"/>
    <w:rsid w:val="009E4F28"/>
    <w:rsid w:val="009F564B"/>
    <w:rsid w:val="00A03005"/>
    <w:rsid w:val="00A0311D"/>
    <w:rsid w:val="00A52F60"/>
    <w:rsid w:val="00A93F11"/>
    <w:rsid w:val="00AA12E0"/>
    <w:rsid w:val="00AD6E3B"/>
    <w:rsid w:val="00B22665"/>
    <w:rsid w:val="00B43374"/>
    <w:rsid w:val="00B506E6"/>
    <w:rsid w:val="00B92D56"/>
    <w:rsid w:val="00BB2BAA"/>
    <w:rsid w:val="00BB7B6D"/>
    <w:rsid w:val="00BD6DC1"/>
    <w:rsid w:val="00BE2CAC"/>
    <w:rsid w:val="00C21043"/>
    <w:rsid w:val="00C81862"/>
    <w:rsid w:val="00CA10A9"/>
    <w:rsid w:val="00CA123F"/>
    <w:rsid w:val="00CD10A9"/>
    <w:rsid w:val="00CE4B0C"/>
    <w:rsid w:val="00CF0687"/>
    <w:rsid w:val="00D24285"/>
    <w:rsid w:val="00D473D4"/>
    <w:rsid w:val="00D75606"/>
    <w:rsid w:val="00D8501A"/>
    <w:rsid w:val="00DA03A3"/>
    <w:rsid w:val="00DB4022"/>
    <w:rsid w:val="00DC4D3C"/>
    <w:rsid w:val="00DC572F"/>
    <w:rsid w:val="00DD7BA4"/>
    <w:rsid w:val="00E24D23"/>
    <w:rsid w:val="00E318CE"/>
    <w:rsid w:val="00E37F7B"/>
    <w:rsid w:val="00E5080D"/>
    <w:rsid w:val="00E646E1"/>
    <w:rsid w:val="00E8792E"/>
    <w:rsid w:val="00EE7C08"/>
    <w:rsid w:val="00F104D1"/>
    <w:rsid w:val="00F72710"/>
    <w:rsid w:val="00F906B3"/>
    <w:rsid w:val="00FB2AEA"/>
    <w:rsid w:val="00FB7253"/>
    <w:rsid w:val="00FF5F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C50"/>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 w:type="paragraph" w:customStyle="1" w:styleId="7B9BDFF14BD54958B10F73A803ABCB8B">
    <w:name w:val="7B9BDFF14BD54958B10F73A803ABCB8B"/>
    <w:rsid w:val="00972B41"/>
  </w:style>
  <w:style w:type="paragraph" w:customStyle="1" w:styleId="F3FB15E9A72848068FA89CE326497337">
    <w:name w:val="F3FB15E9A72848068FA89CE326497337"/>
    <w:rsid w:val="00493C50"/>
    <w:pPr>
      <w:spacing w:line="278" w:lineRule="auto"/>
    </w:pPr>
    <w:rPr>
      <w:kern w:val="2"/>
      <w:sz w:val="24"/>
      <w:szCs w:val="24"/>
      <w14:ligatures w14:val="standardContextual"/>
    </w:rPr>
  </w:style>
  <w:style w:type="paragraph" w:customStyle="1" w:styleId="73D0ABEBC6D94CF180EDE7E9322EC32A">
    <w:name w:val="73D0ABEBC6D94CF180EDE7E9322EC32A"/>
    <w:rsid w:val="00493C50"/>
    <w:pPr>
      <w:spacing w:line="278" w:lineRule="auto"/>
    </w:pPr>
    <w:rPr>
      <w:kern w:val="2"/>
      <w:sz w:val="24"/>
      <w:szCs w:val="24"/>
      <w14:ligatures w14:val="standardContextual"/>
    </w:rPr>
  </w:style>
  <w:style w:type="paragraph" w:customStyle="1" w:styleId="A3DA82D620654AF4A27D846DE809EB32">
    <w:name w:val="A3DA82D620654AF4A27D846DE809EB32"/>
    <w:rsid w:val="00493C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7.xml><?xml version="1.0" encoding="utf-8"?>
<b:Sources xmlns:b="http://schemas.openxmlformats.org/officeDocument/2006/bibliography" xmlns="http://schemas.openxmlformats.org/officeDocument/2006/bibliography" SelectedStyle="\IEEE2006OfficeOnline.xsl" StyleName="IEEE" Version="2006">
  <b:Source>
    <b:Tag>ONRSAPs</b:Tag>
    <b:SourceType>Book</b:SourceType>
    <b:Guid>{5917DBE2-99A6-4A7E-A95A-BC86D5CE2ACF}</b:Guid>
    <b:Author>
      <b:Author>
        <b:Corporate>ONR</b:Corporate>
      </b:Author>
    </b:Author>
    <b:Title>Safety Assessment Principles for Nuclear Facilities’, 2014 Edition, Rev 1, January 2020, www.onr.org.uk/saps/saps2014.pdf</b:Title>
    <b:RefOrder>2</b:RefOrder>
  </b:Source>
  <b:Source>
    <b:Tag>BRE</b:Tag>
    <b:SourceType>Book</b:SourceType>
    <b:Guid>{2BDA4418-6835-49BB-AB05-E9BEA766683E}</b:Guid>
    <b:Author>
      <b:Author>
        <b:Corporate>BRE</b:Corporate>
      </b:Author>
    </b:Author>
    <b:Title>Building Research Establishment document, A review of materials used as waterbars and sealants in pond structures, 2010, CM9 2020/260321</b:Title>
    <b:RefOrder>28</b:RefOrder>
  </b:Source>
  <b:Source>
    <b:Tag>JRC</b:Tag>
    <b:SourceType>Book</b:SourceType>
    <b:Guid>{1E190228-0A2D-4255-BF7E-F815EE9BA18A}</b:Guid>
    <b:Author>
      <b:Author>
        <b:Corporate>JRC Science and Technology Report</b:Corporate>
      </b:Author>
    </b:Author>
    <b:Title>New European Technical Rules for the Assessment and Retrofitting of Existing Structures, European Commission Joint Research Centre, 2015, CM9 2020/314976</b:Title>
    <b:RefOrder>58</b:RefOrder>
  </b:Source>
  <b:Source>
    <b:Tag>ASC</b:Tag>
    <b:SourceType>Report</b:SourceType>
    <b:Guid>{DCD3AD9E-F5D9-4E6B-8867-13E2AA323D0D}</b:Guid>
    <b:Author>
      <b:Author>
        <b:Corporate>ASCE/SEI</b:Corporate>
      </b:Author>
    </b:Author>
    <b:Title>ASCE/SEI 4-16, ‘Seismic analysis of safety-related nuclear structures’ </b:Title>
    <b:RefOrder>22</b:RefOrder>
  </b:Source>
  <b:Source>
    <b:Tag>HSE</b:Tag>
    <b:SourceType>Report</b:SourceType>
    <b:Guid>{995D17F3-866D-4CA7-B39C-836645BDB701}</b:Guid>
    <b:Author>
      <b:Author>
        <b:Corporate>HSE</b:Corporate>
      </b:Author>
    </b:Author>
    <b:Title>L153, Managing Health and Safety in Construction, Construction (Design and Management) Regulations 2015</b:Title>
    <b:Year>2015</b:Year>
    <b:RefOrder>32</b:RefOrder>
  </b:Source>
  <b:Source>
    <b:Tag>HSE15</b:Tag>
    <b:SourceType>Report</b:SourceType>
    <b:Guid>{069457A7-F81B-472F-9BA4-970173158782}</b:Guid>
    <b:Author>
      <b:Author>
        <b:Corporate>HSE</b:Corporate>
      </b:Author>
    </b:Author>
    <b:Title>INDG411, A short guide for clients on the Construction (Design and Management) Regulations 2015 Rev 1</b:Title>
    <b:Year>April 2015</b:Year>
    <b:RefOrder>52</b:RefOrder>
  </b:Source>
  <b:Source>
    <b:Tag>BSI4</b:Tag>
    <b:SourceType>Report</b:SourceType>
    <b:Guid>{10FC568A-FC80-4AA8-9CE3-CFB0228B612D}</b:Guid>
    <b:Author>
      <b:Author>
        <b:Corporate>BSI</b:Corporate>
      </b:Author>
    </b:Author>
    <b:Title>BS 5930:2015+A1:2020, Code of practice for ground investigations</b:Title>
    <b:RefOrder>4</b:RefOrder>
  </b:Source>
  <b:Source>
    <b:Tag>IAE191</b:Tag>
    <b:SourceType>Report</b:SourceType>
    <b:Guid>{5EA5E612-F167-4D46-BBDB-E2AEE63CF76C}</b:Guid>
    <b:Author>
      <b:Author>
        <b:Corporate>IAEA</b:Corporate>
      </b:Author>
    </b:Author>
    <b:Title>SSR-1, Site Evaluation for Nuclear Installations</b:Title>
    <b:Year>2019</b:Year>
    <b:RefOrder>19</b:RefOrder>
  </b:Source>
  <b:Source>
    <b:Tag>IAE04</b:Tag>
    <b:SourceType>Report</b:SourceType>
    <b:Guid>{FB1FC489-7210-4CDA-962C-80D0A55B8AAE}</b:Guid>
    <b:Author>
      <b:Author>
        <b:Corporate>IAEA</b:Corporate>
      </b:Author>
    </b:Author>
    <b:Title> NS-G-3.6, Geotechnical Aspects of Site Evaluation and Foundations for Nuclear Power Plants</b:Title>
    <b:Year>2004</b:Year>
    <b:RefOrder>11</b:RefOrder>
  </b:Source>
  <b:Source>
    <b:Tag>IAE151</b:Tag>
    <b:SourceType>Report</b:SourceType>
    <b:Guid>{EF676894-C3D9-4869-A423-F350DE261DD8}</b:Guid>
    <b:Author>
      <b:Author>
        <b:Corporate>IAEA</b:Corporate>
      </b:Author>
    </b:Author>
    <b:Title> SSG-35, Site Survey and Site Selection for Nuclear Installations</b:Title>
    <b:Year>2015</b:Year>
    <b:RefOrder>12</b:RefOrder>
  </b:Source>
  <b:Source>
    <b:Tag>HSE141</b:Tag>
    <b:SourceType>Report</b:SourceType>
    <b:Guid>{4511D79E-44E9-4AD1-90B6-D5819AD75B3B}</b:Guid>
    <b:Author>
      <b:Author>
        <b:Corporate>HSE</b:Corporate>
      </b:Author>
    </b:Author>
    <b:Title>HSG 47, Avoiding danger from underground services (Third Edition)</b:Title>
    <b:Year>2014</b:Year>
    <b:RefOrder>9</b:RefOrder>
  </b:Source>
  <b:Source>
    <b:Tag>BSI5</b:Tag>
    <b:SourceType>Report</b:SourceType>
    <b:Guid>{877D3373-2F50-40F7-A21E-3FE165757D49}</b:Guid>
    <b:Author>
      <b:Author>
        <b:Corporate>BSI</b:Corporate>
      </b:Author>
    </b:Author>
    <b:Title>BS EN 1997-2:2007, Eurocode 7 - Geotechnical design - Part 2: Ground investigation and testing</b:Title>
    <b:RefOrder>10</b:RefOrder>
  </b:Source>
  <b:Source>
    <b:Tag>HIg</b:Tag>
    <b:SourceType>Report</b:SourceType>
    <b:Guid>{5F792C05-FDFA-4FA3-8D3A-AF50295C3AFB}</b:Guid>
    <b:Author>
      <b:Author>
        <b:Corporate>Highways England</b:Corporate>
      </b:Author>
    </b:Author>
    <b:Title>CD 622, Managing geotechnical risk, version 2.0.0.0</b:Title>
    <b:RefOrder>13</b:RefOrder>
  </b:Source>
  <b:Source>
    <b:Tag>BSI7</b:Tag>
    <b:SourceType>Report</b:SourceType>
    <b:Guid>{AD126542-A598-478F-B7C8-DB46146E4943}</b:Guid>
    <b:Author>
      <b:Author>
        <b:Corporate>BSI</b:Corporate>
      </b:Author>
    </b:Author>
    <b:Title>BS EN 1997-1:2024, Eurocode 7 - Geotechnical design - Part 1: General rules</b:Title>
    <b:RefOrder>20</b:RefOrder>
  </b:Source>
  <b:Source>
    <b:Tag>AFC10</b:Tag>
    <b:SourceType>Report</b:SourceType>
    <b:Guid>{10D2B5AB-9ADE-4C6C-B352-370CF0E9428A}</b:Guid>
    <b:Author>
      <b:Author>
        <b:Corporate>AFCEN</b:Corporate>
      </b:Author>
    </b:Author>
    <b:Title>ETC-C EPR Technical Code for Civil Works</b:Title>
    <b:Year>2010</b:Year>
    <b:RefOrder>23</b:RefOrder>
  </b:Source>
  <b:Source>
    <b:Tag>IAE22</b:Tag>
    <b:SourceType>Report</b:SourceType>
    <b:Guid>{C2E71EA0-7986-470E-B017-55F232239153}</b:Guid>
    <b:Author>
      <b:Author>
        <b:Corporate>IAEA</b:Corporate>
      </b:Author>
    </b:Author>
    <b:Title>IAEA-TECDOC-1990, Methodologies for Seismic Soil-Structure Interaction Analysis in the Design and Assessment of Nuclear Installations</b:Title>
    <b:Year>2022</b:Year>
    <b:RefOrder>24</b:RefOrder>
  </b:Source>
  <b:Source>
    <b:Tag>NAF13</b:Tag>
    <b:SourceType>Report</b:SourceType>
    <b:Guid>{56B62B8D-090B-48DC-971B-18F47AC6809B}</b:Guid>
    <b:Author>
      <b:Author>
        <b:Corporate>NAFEMS</b:Corporate>
      </b:Author>
    </b:Author>
    <b:Title>Validating Numerical Modelling in Geotechnical Engineering</b:Title>
    <b:Year>December 2013</b:Year>
    <b:RefOrder>25</b:RefOrder>
  </b:Source>
  <b:Source>
    <b:Tag>HSE05</b:Tag>
    <b:SourceType>Report</b:SourceType>
    <b:Guid>{C3C29A78-DA54-4858-A6EB-F8175C482764}</b:Guid>
    <b:Author>
      <b:Author>
        <b:Corporate>HSE</b:Corporate>
      </b:Author>
    </b:Author>
    <b:Title>Research Report 319, Safer foundations by design</b:Title>
    <b:Year>2005</b:Year>
    <b:RefOrder>26</b:RefOrder>
  </b:Source>
  <b:Source>
    <b:Tag>BRE05</b:Tag>
    <b:SourceType>Report</b:SourceType>
    <b:Guid>{2D85EC04-8BFB-47E5-B9C7-A9B69840C19A}</b:Guid>
    <b:Author>
      <b:Author>
        <b:Corporate>BRE</b:Corporate>
      </b:Author>
    </b:Author>
    <b:Title>Special Digest 1, Concrete in Aggressive Ground</b:Title>
    <b:Year>2005</b:Year>
    <b:RefOrder>27</b:RefOrder>
  </b:Source>
  <b:Source>
    <b:Tag>CIR16</b:Tag>
    <b:SourceType>Report</b:SourceType>
    <b:Guid>{1A2C1DF8-80C0-4146-A242-CE400C23CD3D}</b:Guid>
    <b:Author>
      <b:Author>
        <b:Corporate>CIRIA</b:Corporate>
      </b:Author>
    </b:Author>
    <b:Title>C750, ‘Groundwater control: design and practice (second edition)’</b:Title>
    <b:Year>2016</b:Year>
    <b:RefOrder>31</b:RefOrder>
  </b:Source>
  <b:Source>
    <b:Tag>BSI9</b:Tag>
    <b:SourceType>Report</b:SourceType>
    <b:Guid>{F414FDB0-EA40-4D7F-B740-05923B855DC0}</b:Guid>
    <b:Author>
      <b:Author>
        <b:Corporate>BSI</b:Corporate>
      </b:Author>
    </b:Author>
    <b:Title>BS EN ISO 22477-5:2018, ‘Geotechnical Investigation and Testing – Testing of geotechnical structures. Testing of grouted anchors’ </b:Title>
    <b:RefOrder>35</b:RefOrder>
  </b:Source>
  <b:Source>
    <b:Tag>BSI8</b:Tag>
    <b:SourceType>Report</b:SourceType>
    <b:Guid>{B4FE8811-D5C6-448D-91C5-3B63542047C4}</b:Guid>
    <b:Author>
      <b:Author>
        <b:Corporate>BSI</b:Corporate>
      </b:Author>
    </b:Author>
    <b:Title>BS 8081:2015+A2:2018 ‘Code of practice for grouted anchors’</b:Title>
    <b:RefOrder>34</b:RefOrder>
  </b:Source>
  <b:Source>
    <b:Tag>BSI10</b:Tag>
    <b:SourceType>Report</b:SourceType>
    <b:Guid>{79C8F51F-05BC-4883-9381-39A09DC22CB4}</b:Guid>
    <b:Author>
      <b:Author>
        <b:Corporate>BSI</b:Corporate>
      </b:Author>
    </b:Author>
    <b:Title>BS EN 1537:2013 ‘Execution of special geotechnical work’</b:Title>
    <b:RefOrder>36</b:RefOrder>
  </b:Source>
  <b:Source>
    <b:Tag>BSI11</b:Tag>
    <b:SourceType>Report</b:SourceType>
    <b:Guid>{C5119C06-45B1-4A24-B6E6-0F68ECF453E1}</b:Guid>
    <b:Author>
      <b:Author>
        <b:Corporate>BSI</b:Corporate>
      </b:Author>
    </b:Author>
    <b:Title>BS EN 1997-3:2025, ‘Eurocode 7 – Geotechnical Design, Part 3:Geotechnical structures’</b:Title>
    <b:RefOrder>37</b:RefOrder>
  </b:Source>
  <b:Source>
    <b:Tag>IAE05</b:Tag>
    <b:SourceType>Report</b:SourceType>
    <b:Guid>{86C6E60D-D589-4490-8EB7-F53AED1CECB9}</b:Guid>
    <b:Author>
      <b:Author>
        <b:Corporate>IAEA</b:Corporate>
      </b:Author>
    </b:Author>
    <b:Title>Technical Reports Series No. 433, 'Upgrading of Near Surface Repositories for Nuclear Waste'</b:Title>
    <b:Year>2005</b:Year>
    <b:RefOrder>39</b:RefOrder>
  </b:Source>
  <b:Source>
    <b:Tag>BSI12</b:Tag>
    <b:SourceType>Report</b:SourceType>
    <b:Guid>{78D5ADFF-0268-433C-9AD6-7F97AAB3111D}</b:Guid>
    <b:Author>
      <b:Author>
        <b:Corporate>BSI</b:Corporate>
      </b:Author>
    </b:Author>
    <b:Title>BS EN 16933-1:2022, 'Drain and sewer systems outside buildings - Design - Part 1:Layout Principles'</b:Title>
    <b:RefOrder>40</b:RefOrder>
  </b:Source>
  <b:Source>
    <b:Tag>BSI13</b:Tag>
    <b:SourceType>Report</b:SourceType>
    <b:Guid>{B6537852-F5E6-4C6F-9842-79F808A833B9}</b:Guid>
    <b:Author>
      <b:Author>
        <b:Corporate>BSI</b:Corporate>
      </b:Author>
    </b:Author>
    <b:Title>BS EN 16933-2:2022, 'Drain and sewer systems outside buildings - Design - Part 1:Hydraulic Design'</b:Title>
    <b:RefOrder>41</b:RefOrder>
  </b:Source>
  <b:Source>
    <b:Tag>CIR753</b:Tag>
    <b:SourceType>Report</b:SourceType>
    <b:Guid>{379676AD-3D20-48B7-A3AE-A7028A708EA4}</b:Guid>
    <b:Author>
      <b:Author>
        <b:Corporate>CIRIA</b:Corporate>
      </b:Author>
    </b:Author>
    <b:Title>The SuDS Manual (C753)</b:Title>
    <b:RefOrder>42</b:RefOrder>
  </b:Source>
  <b:Source>
    <b:Tag>Eur</b:Tag>
    <b:SourceType>InternetSite</b:SourceType>
    <b:Guid>{E55D95D3-F8C3-4B66-812F-716DC51C5F29}</b:Guid>
    <b:Title>Overtopping Manual</b:Title>
    <b:Author>
      <b:Author>
        <b:Corporate>EurOtop</b:Corporate>
      </b:Author>
    </b:Author>
    <b:URL>https://www.overtopping-manual.com/</b:URL>
    <b:RefOrder>43</b:RefOrder>
  </b:Source>
  <b:Source>
    <b:Tag>Sta</b:Tag>
    <b:SourceType>InternetSite</b:SourceType>
    <b:Guid>{1FBA9948-202E-4CB7-BACA-93F1618176B2}</b:Guid>
    <b:Title>Standard Review Plan for the Review of Safety Analysis Reports for Nuclear Power Plants: LWR Edition (NUREG-0800, Formerly issued as NUREG-75/087)</b:Title>
    <b:URL>https://www.nrc.gov/reading-rm/doc-collections/nuregs/staff/sr0800/index</b:URL>
    <b:Author>
      <b:Author>
        <b:Corporate>USNRC</b:Corporate>
      </b:Author>
    </b:Author>
    <b:RefOrder>54</b:RefOrder>
  </b:Source>
  <b:Source>
    <b:Tag>BSI14</b:Tag>
    <b:SourceType>Report</b:SourceType>
    <b:Guid>{47A4271F-2ECD-4DB7-91E1-9F6A5DA27EE2}</b:Guid>
    <b:Title>BS 1377. 'Methods of test for soils for civil engineering purposes'</b:Title>
    <b:Author>
      <b:Author>
        <b:Corporate>BSI</b:Corporate>
      </b:Author>
    </b:Author>
    <b:RefOrder>55</b:RefOrder>
  </b:Source>
  <b:Source>
    <b:Tag>BSI15</b:Tag>
    <b:SourceType>Report</b:SourceType>
    <b:Guid>{D548001C-ECF9-4DD9-ABE9-D66F81851C87}</b:Guid>
    <b:Author>
      <b:Author>
        <b:Corporate>BSI</b:Corporate>
      </b:Author>
    </b:Author>
    <b:Title>BS 8004:2015+A1:2020, 'Code of practice for foundations' </b:Title>
    <b:RefOrder>56</b:RefOrder>
  </b:Source>
  <b:Source>
    <b:Tag>BSI16</b:Tag>
    <b:SourceType>Report</b:SourceType>
    <b:Guid>{BE1AAE98-5951-415E-92A9-C9358B288740}</b:Guid>
    <b:Author>
      <b:Author>
        <b:Corporate>BSI</b:Corporate>
      </b:Author>
    </b:Author>
    <b:Title>BS 8002:2015, 'Code of practice for earth retaining structures'</b:Title>
    <b:RefOrder>57</b:RefOrder>
  </b:Source>
  <b:Source>
    <b:Tag>NST1</b:Tag>
    <b:SourceType>DocumentFromInternetSite</b:SourceType>
    <b:Guid>{309C78BD-86A5-4C80-8997-9AAC22CBD57C}</b:Guid>
    <b:Title>NS-TAST-GD-017 - Civil Engineering</b:Title>
    <b:Author>
      <b:Author>
        <b:Corporate>ONR</b:Corporate>
      </b:Author>
    </b:Author>
    <b:URL>ONR website</b:URL>
    <b:RefOrder>1</b:RefOrder>
  </b:Source>
  <b:Source>
    <b:Tag>ONR82</b:Tag>
    <b:SourceType>InternetSite</b:SourceType>
    <b:Guid>{C2B003B2-3FA4-4EE1-8049-5C25BA6EF1A5}</b:Guid>
    <b:Author>
      <b:Author>
        <b:Corporate>ONR</b:Corporate>
      </b:Author>
    </b:Author>
    <b:Title>NS-TAST-GD-013 - External Hazards</b:Title>
    <b:URL>ONR website</b:URL>
    <b:RefOrder>3</b:RefOrder>
  </b:Source>
  <b:Source>
    <b:Tag>ONR161</b:Tag>
    <b:SourceType>DocumentFromInternetSite</b:SourceType>
    <b:Guid>{9BDB2493-78C0-4B30-8782-610DF1DB44A2}</b:Guid>
    <b:Author>
      <b:Author>
        <b:Corporate>ONR</b:Corporate>
      </b:Author>
    </b:Author>
    <b:Title>NS-TAST-GD-017 - Annex 1 - Design</b:Title>
    <b:URL>ONR website</b:URL>
    <b:RefOrder>5</b:RefOrder>
  </b:Source>
  <b:Source>
    <b:Tag>ONR162</b:Tag>
    <b:SourceType>DocumentFromInternetSite</b:SourceType>
    <b:Guid>{1A821CD1-60FD-4297-8C0B-C4CD8EDC03D5}</b:Guid>
    <b:Author>
      <b:Author>
        <b:Corporate>ONR</b:Corporate>
      </b:Author>
    </b:Author>
    <b:Title>NS-TAST-GD-017 - Annex 4 - Civil Engineering – Construction Assurance</b:Title>
    <b:URL>ONR website</b:URL>
    <b:RefOrder>6</b:RefOrder>
  </b:Source>
  <b:Source>
    <b:Tag>ONR166</b:Tag>
    <b:SourceType>DocumentFromInternetSite</b:SourceType>
    <b:Guid>{6CBF3FE7-E930-4D33-B6DD-D0B61CE193CF}</b:Guid>
    <b:Author>
      <b:Author>
        <b:Corporate>ONR</b:Corporate>
      </b:Author>
    </b:Author>
    <b:Title>NS-TAST-GD-017 - Annex 6 - Civil Engineering – Post Operation</b:Title>
    <b:URL>ONR website</b:URL>
    <b:RefOrder>7</b:RefOrder>
  </b:Source>
  <b:Source>
    <b:Tag>ONR100</b:Tag>
    <b:SourceType>InternetSite</b:SourceType>
    <b:Guid>{5F90CB9A-1BDC-4ECF-BBED-5EF1CE28EA63}</b:Guid>
    <b:Author>
      <b:Author>
        <b:Corporate>ONR</b:Corporate>
      </b:Author>
    </b:Author>
    <b:Title>NS-TAST-GD-005 - Regulating duties to reduce risks to ALARP</b:Title>
    <b:URL>ONR website</b:URL>
    <b:RefOrder>8</b:RefOrder>
  </b:Source>
  <b:Source>
    <b:Tag>ONR51</b:Tag>
    <b:SourceType>DocumentFromInternetSite</b:SourceType>
    <b:Guid>{33D1BA8D-1973-4D02-8195-75333124F608}</b:Guid>
    <b:Author>
      <b:Author>
        <b:Corporate>ONR</b:Corporate>
      </b:Author>
    </b:Author>
    <b:Title>NS-TAST-GD-027 - Training and Assuring Personnel Competence</b:Title>
    <b:URL>ONR website</b:URL>
    <b:RefOrder>14</b:RefOrder>
  </b:Source>
  <b:Source>
    <b:Tag>ONR143</b:Tag>
    <b:SourceType>InternetSite</b:SourceType>
    <b:Guid>{7A5A4BB7-688E-422A-B8AB-A927DEC15297}</b:Guid>
    <b:Title>NS-TAST-GD-049 - Licensee Core Safety and Intelligent Customer Capabilities</b:Title>
    <b:Author>
      <b:Author>
        <b:Corporate>ONR</b:Corporate>
      </b:Author>
    </b:Author>
    <b:URL>ONR website</b:URL>
    <b:RefOrder>15</b:RefOrder>
  </b:Source>
  <b:Source>
    <b:Tag>ONR102</b:Tag>
    <b:SourceType>InternetSite</b:SourceType>
    <b:Guid>{7B4C1B6B-4564-4985-A6F0-D961E434F38F}</b:Guid>
    <b:Title>NS-TAST-GD-079 - Licensee Design Authority Capability</b:Title>
    <b:Author>
      <b:Author>
        <b:Corporate>ONR</b:Corporate>
      </b:Author>
    </b:Author>
    <b:URL>ONR website</b:URL>
    <b:RefOrder>16</b:RefOrder>
  </b:Source>
  <b:Source>
    <b:Tag>ONR131</b:Tag>
    <b:SourceType>DocumentFromInternetSite</b:SourceType>
    <b:Guid>{749327A4-901B-4B26-BE94-9632F25039B6}</b:Guid>
    <b:Author>
      <b:Author>
        <b:Corporate>ONR</b:Corporate>
      </b:Author>
    </b:Author>
    <b:Title>NS-INSP-GD-010 - LC10 Training</b:Title>
    <b:URL>ONR website</b:URL>
    <b:RefOrder>17</b:RefOrder>
  </b:Source>
  <b:Source>
    <b:Tag>TAG13</b:Tag>
    <b:SourceType>DocumentFromInternetSite</b:SourceType>
    <b:Guid>{D577793C-5DCD-4DB9-94D8-9B48C89A3DE4}</b:Guid>
    <b:Author>
      <b:Author>
        <b:Corporate>ONR</b:Corporate>
      </b:Author>
    </b:Author>
    <b:Title>NS-TAST-GD-013 - Annex 1 - Seismic hazards</b:Title>
    <b:URL>ONR website</b:URL>
    <b:RefOrder>18</b:RefOrder>
  </b:Source>
  <b:Source>
    <b:Tag>ONR551</b:Tag>
    <b:SourceType>DocumentFromInternetSite</b:SourceType>
    <b:Guid>{4C92D8EF-1CFB-4338-94AD-6E8907ED11DF}</b:Guid>
    <b:Author>
      <b:Author>
        <b:Corporate>ONR</b:Corporate>
      </b:Author>
    </b:Author>
    <b:Title>NS-TAST-GD-033 - Management of records</b:Title>
    <b:URL>ONR website</b:URL>
    <b:RefOrder>21</b:RefOrder>
  </b:Source>
  <b:Source>
    <b:Tag>ONR22</b:Tag>
    <b:SourceType>DocumentFromInternetSite</b:SourceType>
    <b:Guid>{DB5174AC-D2B9-4389-BE4B-CEE761EFFD10}</b:Guid>
    <b:Author>
      <b:Author>
        <b:Corporate>ONR</b:Corporate>
      </b:Author>
    </b:Author>
    <b:Title>NS-TAST-GD-006 - Design Basis Analysis</b:Title>
    <b:URL>ONR website</b:URL>
    <b:RefOrder>29</b:RefOrder>
  </b:Source>
  <b:Source>
    <b:Tag>ONR76</b:Tag>
    <b:SourceType>DocumentFromInternetSite</b:SourceType>
    <b:Guid>{F0C39A0A-48E1-4C49-AF40-03C8E0E8E4DF}</b:Guid>
    <b:Author>
      <b:Author>
        <b:Corporate>ONR</b:Corporate>
      </b:Author>
    </b:Author>
    <b:Title>NS-TAST-GD-077 - Supply Chain Management Arrangements for the Procurement of Nuclear Safety Related Items or Services</b:Title>
    <b:URL>ONR website</b:URL>
    <b:RefOrder>30</b:RefOrder>
  </b:Source>
  <b:Source>
    <b:Tag>ONR163</b:Tag>
    <b:SourceType>DocumentFromInternetSite</b:SourceType>
    <b:Guid>{2D588127-90EC-4B73-B737-CA138754017D}</b:Guid>
    <b:Author>
      <b:Author>
        <b:Corporate>ONR</b:Corporate>
      </b:Author>
    </b:Author>
    <b:Title>NS-TAST-GD-017 - Annex 2 - Containment structures</b:Title>
    <b:URL>ONR website</b:URL>
    <b:RefOrder>33</b:RefOrder>
  </b:Source>
  <b:Source>
    <b:Tag>ONR165</b:Tag>
    <b:SourceType>DocumentFromInternetSite</b:SourceType>
    <b:Guid>{D76DD3FD-41BB-4A4C-B306-F18C0D8A5F5B}</b:Guid>
    <b:Author>
      <b:Author>
        <b:Corporate>ONR</b:Corporate>
      </b:Author>
    </b:Author>
    <b:Title>NS-TAST-GD-017 - Annex 5 - Civil Engineering – Ageing Management and Damaged Structures</b:Title>
    <b:URL>ONR website</b:URL>
    <b:RefOrder>38</b:RefOrder>
  </b:Source>
  <b:Source>
    <b:Tag>HSE30</b:Tag>
    <b:SourceType>ElectronicSource</b:SourceType>
    <b:Guid>{3273D09F-1C2E-48A8-881B-C8B0F24A0FC3}</b:Guid>
    <b:Author>
      <b:Author>
        <b:Corporate>HSE</b:Corporate>
      </b:Author>
    </b:Author>
    <b:Title>L101 - Safe work in confined spaces - Confined Spaces Regulations 1997: Approved Code of Practice, Regulations and guidance</b:Title>
    <b:RefOrder>44</b:RefOrder>
  </b:Source>
  <b:Source>
    <b:Tag>HSE192</b:Tag>
    <b:SourceType>Report</b:SourceType>
    <b:Guid>{CD324788-85F7-4DF8-84C5-5EC48DB61316}</b:Guid>
    <b:Title>L140 - Hand-arm vibration - The Control of Vibration at Work Regulations 2005</b:Title>
    <b:Year>2019</b:Year>
    <b:Author>
      <b:Author>
        <b:Corporate>HSE</b:Corporate>
      </b:Author>
    </b:Author>
    <b:RefOrder>45</b:RefOrder>
  </b:Source>
  <b:Source>
    <b:Tag>HSE138</b:Tag>
    <b:SourceType>Report</b:SourceType>
    <b:Guid>{62158A95-D37A-4E2F-ADA0-10850126714F}</b:Guid>
    <b:Author>
      <b:Author>
        <b:Corporate>HSE</b:Corporate>
      </b:Author>
    </b:Author>
    <b:Title>HSG85 - Electricity at Work Safe Working Practices </b:Title>
    <b:Year>2013</b:Year>
    <b:RefOrder>46</b:RefOrder>
  </b:Source>
  <b:Source>
    <b:Tag>HSE1510</b:Tag>
    <b:SourceType>Report</b:SourceType>
    <b:Guid>{8E0DF5A7-57AE-4D88-AB8A-D222FE626C01}</b:Guid>
    <b:Author>
      <b:Author>
        <b:Corporate>HSE</b:Corporate>
      </b:Author>
    </b:Author>
    <b:Title>HSR25 - The Electricity at Work Regulations 1989</b:Title>
    <b:Year>2015</b:Year>
    <b:RefOrder>47</b:RefOrder>
  </b:Source>
  <b:Source>
    <b:Tag>HSE137</b:Tag>
    <b:SourceType>Report</b:SourceType>
    <b:Guid>{8A2D14D8-6F52-44ED-84A8-EB1A39AE9B0E}</b:Guid>
    <b:Title>HSG65 - Managing for health and safety</b:Title>
    <b:Year>2013</b:Year>
    <b:URL>https://www.hse.gov.uk/pubns/books/hsg65.htm</b:URL>
    <b:Author>
      <b:Author>
        <b:Corporate>HSE</b:Corporate>
      </b:Author>
    </b:Author>
    <b:RefOrder>48</b:RefOrder>
  </b:Source>
  <b:Source>
    <b:Tag>HSE31</b:Tag>
    <b:SourceType>ElectronicSource</b:SourceType>
    <b:Guid>{D8331D03-C5E6-4460-B8C7-CCE24CB7C64B}</b:Guid>
    <b:Author>
      <b:Author>
        <b:Corporate>HSE</b:Corporate>
      </b:Author>
    </b:Author>
    <b:Title>HSG159 - Managing Contractors </b:Title>
    <b:RefOrder>49</b:RefOrder>
  </b:Source>
  <b:Source>
    <b:Tag>HSE97</b:Tag>
    <b:SourceType>Report</b:SourceType>
    <b:Guid>{00BC6D86-0C22-422A-A293-CFCFEF616CDD}</b:Guid>
    <b:Author>
      <b:Author>
        <b:Corporate>HSE</b:Corporate>
      </b:Author>
    </b:Author>
    <b:Title>HSG170 - Vibration solutions: Practical ways to reduce the risk of hand-arm vibration injury</b:Title>
    <b:Year>1997</b:Year>
    <b:RefOrder>50</b:RefOrder>
  </b:Source>
  <b:Source>
    <b:Tag>HSE144</b:Tag>
    <b:SourceType>ElectronicSource</b:SourceType>
    <b:Guid>{B2AF7AD7-2E79-406E-86AC-765ED821F834}</b:Guid>
    <b:Author>
      <b:Author>
        <b:Corporate>HSE</b:Corporate>
      </b:Author>
    </b:Author>
    <b:Title>HSG268 - The health and safety toolbox: how to control risks at work</b:Title>
    <b:Year>2014</b:Year>
    <b:RefOrder>51</b:RefOrder>
  </b:Source>
  <b:Source>
    <b:Tag>HSE33</b:Tag>
    <b:SourceType>ElectronicSource</b:SourceType>
    <b:Guid>{114433B9-E35B-479D-A0EF-5E79F7DF93B6}</b:Guid>
    <b:Author>
      <b:Author>
        <b:Corporate>HSE</b:Corporate>
      </b:Author>
    </b:Author>
    <b:Title>RR319 - Safer foundations by design (buildability)</b:Title>
    <b:RefOrder>53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9E212E-0A9E-41BA-B5D7-D7E8473A0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1DA1C-059F-44CB-BC71-5D1A7C58C7A2}">
  <ds:schemaRefs>
    <ds:schemaRef ds:uri="Microsoft.SharePoint.Taxonomy.ContentTypeSync"/>
  </ds:schemaRefs>
</ds:datastoreItem>
</file>

<file path=customXml/itemProps4.xml><?xml version="1.0" encoding="utf-8"?>
<ds:datastoreItem xmlns:ds="http://schemas.openxmlformats.org/officeDocument/2006/customXml" ds:itemID="{D938B63E-6FE8-438E-AFEF-A3EECEC28CC7}">
  <ds:schemaRefs>
    <ds:schemaRef ds:uri="http://schemas.microsoft.com/sharepoint/events"/>
  </ds:schemaRefs>
</ds:datastoreItem>
</file>

<file path=customXml/itemProps5.xml><?xml version="1.0" encoding="utf-8"?>
<ds:datastoreItem xmlns:ds="http://schemas.openxmlformats.org/officeDocument/2006/customXml" ds:itemID="{792FC125-60BD-44FF-A9EB-2E6F0C49F82C}">
  <ds:schemaRefs>
    <ds:schemaRef ds:uri="http://schemas.microsoft.com/sharepoint/v3/contenttype/forms"/>
  </ds:schemaRefs>
</ds:datastoreItem>
</file>

<file path=customXml/itemProps6.xml><?xml version="1.0" encoding="utf-8"?>
<ds:datastoreItem xmlns:ds="http://schemas.openxmlformats.org/officeDocument/2006/customXml" ds:itemID="{92D7B034-509F-43CB-965F-65A1EBFC836B}">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7.xml><?xml version="1.0" encoding="utf-8"?>
<ds:datastoreItem xmlns:ds="http://schemas.openxmlformats.org/officeDocument/2006/customXml" ds:itemID="{52E434B0-7AAD-48FE-AB66-AEE0300D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67</Pages>
  <Words>19741</Words>
  <Characters>112524</Characters>
  <Application>Microsoft Office Word</Application>
  <DocSecurity>0</DocSecurity>
  <Lines>2083</Lines>
  <Paragraphs>987</Paragraphs>
  <ScaleCrop>false</ScaleCrop>
  <Manager>Office for Nuclear Regulation</Manager>
  <Company>Office for Nuclear Regulation</Company>
  <LinksUpToDate>false</LinksUpToDate>
  <CharactersWithSpaces>131278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3) – Ground engineering, geotechnics and underground structures</dc:title>
  <dc:subject>[Subtitle or description]</dc:subject>
  <cp:keywords>[Key words separated by commas]</cp:keywords>
  <dc:description/>
  <cp:revision>5</cp:revision>
  <cp:lastPrinted>2016-11-28T11:35:00Z</cp:lastPrinted>
  <dcterms:created xsi:type="dcterms:W3CDTF">2026-07-13T08:17:00Z</dcterms:created>
  <dcterms:modified xsi:type="dcterms:W3CDTF">2026-07-13T10:01:00Z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