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2D53" w14:textId="099B70BA" w:rsidR="008D78C1" w:rsidRPr="00EC6831" w:rsidRDefault="00B94D68" w:rsidP="7428B94A">
      <w:pPr>
        <w:jc w:val="center"/>
        <w:rPr>
          <w:rFonts w:asciiTheme="minorBidi" w:hAnsiTheme="minorBidi"/>
          <w:b/>
          <w:bCs/>
          <w:sz w:val="40"/>
          <w:szCs w:val="40"/>
        </w:rPr>
      </w:pPr>
      <w:bookmarkStart w:id="0" w:name="_Hlk169534485"/>
      <w:r w:rsidRPr="7428B94A">
        <w:rPr>
          <w:rFonts w:asciiTheme="minorBidi" w:hAnsiTheme="minorBidi"/>
          <w:b/>
          <w:bCs/>
          <w:sz w:val="40"/>
          <w:szCs w:val="40"/>
        </w:rPr>
        <w:t>Generic Design Assessment</w:t>
      </w:r>
    </w:p>
    <w:p w14:paraId="3683CE2C" w14:textId="54674822" w:rsidR="00293091" w:rsidRPr="00EC6831" w:rsidRDefault="00293091" w:rsidP="00293091">
      <w:pPr>
        <w:jc w:val="center"/>
        <w:rPr>
          <w:rFonts w:asciiTheme="minorBidi" w:hAnsiTheme="minorBidi"/>
          <w:b/>
          <w:bCs/>
          <w:sz w:val="40"/>
          <w:szCs w:val="40"/>
        </w:rPr>
      </w:pPr>
      <w:r w:rsidRPr="00EC6831">
        <w:rPr>
          <w:rFonts w:asciiTheme="minorBidi" w:hAnsiTheme="minorBidi"/>
          <w:b/>
          <w:bCs/>
          <w:sz w:val="40"/>
          <w:szCs w:val="40"/>
        </w:rPr>
        <w:t>S</w:t>
      </w:r>
      <w:r w:rsidR="00B94D68" w:rsidRPr="00EC6831">
        <w:rPr>
          <w:rFonts w:asciiTheme="minorBidi" w:hAnsiTheme="minorBidi"/>
          <w:b/>
          <w:bCs/>
          <w:sz w:val="40"/>
          <w:szCs w:val="40"/>
        </w:rPr>
        <w:t>tep 2 Statement</w:t>
      </w:r>
    </w:p>
    <w:p w14:paraId="1082CAFA" w14:textId="554F3AEC" w:rsidR="00293091" w:rsidRPr="00EC6831" w:rsidRDefault="00B94D68" w:rsidP="00293091">
      <w:pPr>
        <w:jc w:val="center"/>
        <w:rPr>
          <w:rFonts w:asciiTheme="minorBidi" w:hAnsiTheme="minorBidi"/>
          <w:b/>
          <w:bCs/>
          <w:sz w:val="40"/>
          <w:szCs w:val="40"/>
        </w:rPr>
      </w:pPr>
      <w:r w:rsidRPr="00EC6831">
        <w:rPr>
          <w:rFonts w:asciiTheme="minorBidi" w:hAnsiTheme="minorBidi"/>
          <w:b/>
          <w:bCs/>
          <w:sz w:val="40"/>
          <w:szCs w:val="40"/>
        </w:rPr>
        <w:t xml:space="preserve">for the </w:t>
      </w:r>
      <w:r w:rsidR="00883890">
        <w:rPr>
          <w:rFonts w:asciiTheme="minorBidi" w:hAnsiTheme="minorBidi"/>
          <w:b/>
          <w:bCs/>
          <w:sz w:val="40"/>
          <w:szCs w:val="40"/>
        </w:rPr>
        <w:t>Holtec SMR-300</w:t>
      </w:r>
    </w:p>
    <w:bookmarkEnd w:id="0"/>
    <w:p w14:paraId="0CD5D466" w14:textId="3E52D9DC" w:rsidR="006158E6" w:rsidRDefault="006158E6" w:rsidP="08C1E0BD">
      <w:pPr>
        <w:rPr>
          <w:rFonts w:asciiTheme="minorBidi" w:hAnsiTheme="minorBidi"/>
          <w:szCs w:val="24"/>
        </w:rPr>
      </w:pPr>
      <w:r w:rsidRPr="08C1E0BD">
        <w:rPr>
          <w:rFonts w:asciiTheme="minorBidi" w:hAnsiTheme="minorBidi"/>
          <w:szCs w:val="24"/>
        </w:rPr>
        <w:t xml:space="preserve">The Office for Nuclear Regulation (ONR), in accordance with the document 'New Nuclear </w:t>
      </w:r>
      <w:r w:rsidR="00987AF4" w:rsidRPr="08C1E0BD">
        <w:rPr>
          <w:rFonts w:asciiTheme="minorBidi" w:hAnsiTheme="minorBidi"/>
          <w:szCs w:val="24"/>
        </w:rPr>
        <w:t>Power Plants</w:t>
      </w:r>
      <w:r w:rsidRPr="08C1E0BD">
        <w:rPr>
          <w:rFonts w:asciiTheme="minorBidi" w:hAnsiTheme="minorBidi"/>
          <w:szCs w:val="24"/>
        </w:rPr>
        <w:t>: Generic Design Assessment Guidance to Requesting Partie</w:t>
      </w:r>
      <w:r w:rsidR="0032466C" w:rsidRPr="08C1E0BD">
        <w:rPr>
          <w:rFonts w:asciiTheme="minorBidi" w:hAnsiTheme="minorBidi"/>
          <w:szCs w:val="24"/>
        </w:rPr>
        <w:t>s’</w:t>
      </w:r>
      <w:r w:rsidRPr="08C1E0BD">
        <w:rPr>
          <w:rFonts w:asciiTheme="minorBidi" w:hAnsiTheme="minorBidi"/>
          <w:szCs w:val="24"/>
        </w:rPr>
        <w:t>, ONR-GDA-GD-00</w:t>
      </w:r>
      <w:r w:rsidR="0032466C" w:rsidRPr="08C1E0BD">
        <w:rPr>
          <w:rFonts w:asciiTheme="minorBidi" w:hAnsiTheme="minorBidi"/>
          <w:szCs w:val="24"/>
        </w:rPr>
        <w:t>6</w:t>
      </w:r>
      <w:r w:rsidRPr="08C1E0BD">
        <w:rPr>
          <w:rFonts w:asciiTheme="minorBidi" w:hAnsiTheme="minorBidi"/>
          <w:szCs w:val="24"/>
        </w:rPr>
        <w:t xml:space="preserve"> </w:t>
      </w:r>
      <w:r w:rsidR="006B51A0" w:rsidRPr="08C1E0BD">
        <w:rPr>
          <w:rFonts w:asciiTheme="minorBidi" w:hAnsiTheme="minorBidi"/>
          <w:szCs w:val="24"/>
        </w:rPr>
        <w:t>Issue</w:t>
      </w:r>
      <w:r w:rsidRPr="08C1E0BD">
        <w:rPr>
          <w:rFonts w:asciiTheme="minorBidi" w:hAnsiTheme="minorBidi"/>
          <w:szCs w:val="24"/>
        </w:rPr>
        <w:t xml:space="preserve"> </w:t>
      </w:r>
      <w:r w:rsidR="006B51A0" w:rsidRPr="08C1E0BD">
        <w:rPr>
          <w:rFonts w:asciiTheme="minorBidi" w:hAnsiTheme="minorBidi"/>
          <w:szCs w:val="24"/>
        </w:rPr>
        <w:t>1</w:t>
      </w:r>
      <w:r w:rsidRPr="08C1E0BD">
        <w:rPr>
          <w:rFonts w:asciiTheme="minorBidi" w:hAnsiTheme="minorBidi"/>
          <w:szCs w:val="24"/>
        </w:rPr>
        <w:t xml:space="preserve">, </w:t>
      </w:r>
      <w:r w:rsidR="006B51A0" w:rsidRPr="08C1E0BD">
        <w:rPr>
          <w:rFonts w:asciiTheme="minorBidi" w:hAnsiTheme="minorBidi"/>
          <w:szCs w:val="24"/>
        </w:rPr>
        <w:t>August 2024</w:t>
      </w:r>
      <w:r w:rsidRPr="08C1E0BD">
        <w:rPr>
          <w:rFonts w:asciiTheme="minorBidi" w:hAnsiTheme="minorBidi"/>
          <w:szCs w:val="24"/>
        </w:rPr>
        <w:t xml:space="preserve">, hereby gives </w:t>
      </w:r>
      <w:r w:rsidR="00D91B69">
        <w:rPr>
          <w:rFonts w:asciiTheme="minorBidi" w:hAnsiTheme="minorBidi"/>
          <w:szCs w:val="24"/>
        </w:rPr>
        <w:t>Holtec International</w:t>
      </w:r>
      <w:r w:rsidR="007B19EF" w:rsidRPr="08C1E0BD">
        <w:rPr>
          <w:rFonts w:asciiTheme="minorBidi" w:hAnsiTheme="minorBidi"/>
          <w:szCs w:val="24"/>
        </w:rPr>
        <w:t xml:space="preserve"> </w:t>
      </w:r>
      <w:r w:rsidRPr="08C1E0BD">
        <w:rPr>
          <w:rFonts w:asciiTheme="minorBidi" w:hAnsiTheme="minorBidi"/>
          <w:szCs w:val="24"/>
        </w:rPr>
        <w:t xml:space="preserve">a </w:t>
      </w:r>
      <w:r w:rsidR="004C3EDC" w:rsidRPr="08C1E0BD">
        <w:rPr>
          <w:rFonts w:asciiTheme="minorBidi" w:hAnsiTheme="minorBidi"/>
          <w:szCs w:val="24"/>
        </w:rPr>
        <w:t xml:space="preserve">Generic Design Assessment </w:t>
      </w:r>
      <w:r w:rsidR="00222009" w:rsidRPr="08C1E0BD">
        <w:rPr>
          <w:rFonts w:asciiTheme="minorBidi" w:hAnsiTheme="minorBidi"/>
          <w:szCs w:val="24"/>
        </w:rPr>
        <w:t xml:space="preserve">(GDA) </w:t>
      </w:r>
      <w:r w:rsidR="004C3EDC" w:rsidRPr="08C1E0BD">
        <w:rPr>
          <w:rFonts w:asciiTheme="minorBidi" w:hAnsiTheme="minorBidi"/>
          <w:szCs w:val="24"/>
        </w:rPr>
        <w:t xml:space="preserve">Step 2 </w:t>
      </w:r>
      <w:r w:rsidR="00361641" w:rsidRPr="08C1E0BD">
        <w:rPr>
          <w:rFonts w:asciiTheme="minorBidi" w:hAnsiTheme="minorBidi"/>
          <w:szCs w:val="24"/>
        </w:rPr>
        <w:t xml:space="preserve">Statement </w:t>
      </w:r>
      <w:r w:rsidR="004C3EDC" w:rsidRPr="08C1E0BD">
        <w:rPr>
          <w:rFonts w:asciiTheme="minorBidi" w:hAnsiTheme="minorBidi"/>
          <w:szCs w:val="24"/>
        </w:rPr>
        <w:t xml:space="preserve">for the </w:t>
      </w:r>
      <w:r w:rsidR="000531ED" w:rsidRPr="08C1E0BD">
        <w:rPr>
          <w:rFonts w:asciiTheme="minorBidi" w:hAnsiTheme="minorBidi"/>
          <w:szCs w:val="24"/>
        </w:rPr>
        <w:t xml:space="preserve">generic </w:t>
      </w:r>
      <w:r w:rsidR="00D91B69">
        <w:rPr>
          <w:rFonts w:asciiTheme="minorBidi" w:hAnsiTheme="minorBidi"/>
          <w:szCs w:val="24"/>
        </w:rPr>
        <w:t>SMR-300</w:t>
      </w:r>
      <w:r w:rsidR="00A935DE" w:rsidRPr="08C1E0BD">
        <w:rPr>
          <w:rFonts w:asciiTheme="minorBidi" w:hAnsiTheme="minorBidi"/>
          <w:szCs w:val="24"/>
        </w:rPr>
        <w:t xml:space="preserve"> </w:t>
      </w:r>
      <w:r w:rsidR="000531ED" w:rsidRPr="08C1E0BD">
        <w:rPr>
          <w:rFonts w:asciiTheme="minorBidi" w:hAnsiTheme="minorBidi"/>
          <w:szCs w:val="24"/>
        </w:rPr>
        <w:t>design</w:t>
      </w:r>
      <w:r w:rsidRPr="08C1E0BD">
        <w:rPr>
          <w:rFonts w:asciiTheme="minorBidi" w:hAnsiTheme="minorBidi"/>
          <w:szCs w:val="24"/>
        </w:rPr>
        <w:t xml:space="preserve">. </w:t>
      </w:r>
    </w:p>
    <w:p w14:paraId="51A986C9" w14:textId="44F67219" w:rsidR="00CA32BD" w:rsidRPr="002D7FB8" w:rsidRDefault="00AE002F" w:rsidP="2EE043C2">
      <w:pPr>
        <w:rPr>
          <w:rFonts w:asciiTheme="minorBidi" w:hAnsiTheme="minorBidi"/>
        </w:rPr>
      </w:pPr>
      <w:r w:rsidRPr="264F4B5A">
        <w:rPr>
          <w:rFonts w:asciiTheme="minorBidi" w:hAnsiTheme="minorBidi"/>
        </w:rPr>
        <w:t>Based upon assessment to date</w:t>
      </w:r>
      <w:r w:rsidR="00A02B51" w:rsidRPr="264F4B5A">
        <w:rPr>
          <w:rFonts w:asciiTheme="minorBidi" w:hAnsiTheme="minorBidi"/>
        </w:rPr>
        <w:t xml:space="preserve"> </w:t>
      </w:r>
      <w:r w:rsidR="00CA32BD" w:rsidRPr="264F4B5A">
        <w:rPr>
          <w:rFonts w:asciiTheme="minorBidi" w:hAnsiTheme="minorBidi"/>
        </w:rPr>
        <w:t>ONR has not identified any significant issues that</w:t>
      </w:r>
      <w:r w:rsidR="00A935DE" w:rsidRPr="264F4B5A">
        <w:rPr>
          <w:rFonts w:asciiTheme="minorBidi" w:hAnsiTheme="minorBidi"/>
        </w:rPr>
        <w:t>:</w:t>
      </w:r>
      <w:r w:rsidR="00CA32BD" w:rsidRPr="264F4B5A">
        <w:rPr>
          <w:rFonts w:asciiTheme="minorBidi" w:hAnsiTheme="minorBidi"/>
        </w:rPr>
        <w:t xml:space="preserve"> may prevent ONR from issuing a </w:t>
      </w:r>
      <w:r w:rsidR="003726C2" w:rsidRPr="264F4B5A">
        <w:rPr>
          <w:rFonts w:asciiTheme="minorBidi" w:hAnsiTheme="minorBidi"/>
        </w:rPr>
        <w:t>Design Assessment Confirmation (</w:t>
      </w:r>
      <w:r w:rsidR="00CA32BD" w:rsidRPr="264F4B5A">
        <w:rPr>
          <w:rFonts w:asciiTheme="minorBidi" w:hAnsiTheme="minorBidi"/>
        </w:rPr>
        <w:t>DAC</w:t>
      </w:r>
      <w:r w:rsidR="003726C2" w:rsidRPr="264F4B5A">
        <w:rPr>
          <w:rFonts w:asciiTheme="minorBidi" w:hAnsiTheme="minorBidi"/>
        </w:rPr>
        <w:t>)</w:t>
      </w:r>
      <w:r w:rsidR="00CA32BD" w:rsidRPr="264F4B5A">
        <w:rPr>
          <w:rFonts w:asciiTheme="minorBidi" w:hAnsiTheme="minorBidi"/>
        </w:rPr>
        <w:t xml:space="preserve">, might prevent ONR </w:t>
      </w:r>
      <w:r w:rsidR="00112538" w:rsidRPr="264F4B5A">
        <w:rPr>
          <w:rFonts w:asciiTheme="minorBidi" w:hAnsiTheme="minorBidi"/>
        </w:rPr>
        <w:t xml:space="preserve">granting </w:t>
      </w:r>
      <w:r w:rsidR="00CA32BD" w:rsidRPr="264F4B5A">
        <w:rPr>
          <w:rFonts w:asciiTheme="minorBidi" w:hAnsiTheme="minorBidi"/>
        </w:rPr>
        <w:t>permission</w:t>
      </w:r>
      <w:r w:rsidR="00112538" w:rsidRPr="264F4B5A">
        <w:rPr>
          <w:rFonts w:asciiTheme="minorBidi" w:hAnsiTheme="minorBidi"/>
        </w:rPr>
        <w:t xml:space="preserve"> for</w:t>
      </w:r>
      <w:r w:rsidR="00CA32BD" w:rsidRPr="264F4B5A">
        <w:rPr>
          <w:rFonts w:asciiTheme="minorBidi" w:hAnsiTheme="minorBidi"/>
        </w:rPr>
        <w:t xml:space="preserve"> </w:t>
      </w:r>
      <w:r w:rsidR="66700496" w:rsidRPr="264F4B5A">
        <w:rPr>
          <w:rFonts w:asciiTheme="minorBidi" w:hAnsiTheme="minorBidi"/>
        </w:rPr>
        <w:t>construction</w:t>
      </w:r>
      <w:r w:rsidR="00CA32BD" w:rsidRPr="264F4B5A">
        <w:rPr>
          <w:rFonts w:asciiTheme="minorBidi" w:hAnsiTheme="minorBidi"/>
        </w:rPr>
        <w:t xml:space="preserve"> of a </w:t>
      </w:r>
      <w:r w:rsidR="00070152" w:rsidRPr="264F4B5A">
        <w:rPr>
          <w:rFonts w:asciiTheme="minorBidi" w:hAnsiTheme="minorBidi"/>
        </w:rPr>
        <w:t>nuclear power plant</w:t>
      </w:r>
      <w:r w:rsidR="00CA32BD" w:rsidRPr="264F4B5A">
        <w:rPr>
          <w:rFonts w:asciiTheme="minorBidi" w:hAnsiTheme="minorBidi"/>
        </w:rPr>
        <w:t xml:space="preserve"> based upon that design</w:t>
      </w:r>
      <w:r w:rsidR="0067315F" w:rsidRPr="264F4B5A">
        <w:rPr>
          <w:rFonts w:asciiTheme="minorBidi" w:hAnsiTheme="minorBidi"/>
        </w:rPr>
        <w:t>,</w:t>
      </w:r>
      <w:r w:rsidR="00CA32BD" w:rsidRPr="264F4B5A">
        <w:rPr>
          <w:rFonts w:asciiTheme="minorBidi" w:hAnsiTheme="minorBidi"/>
        </w:rPr>
        <w:t xml:space="preserve"> or which might be in conflict with </w:t>
      </w:r>
      <w:r w:rsidR="003726C2" w:rsidRPr="264F4B5A">
        <w:rPr>
          <w:rFonts w:asciiTheme="minorBidi" w:hAnsiTheme="minorBidi"/>
        </w:rPr>
        <w:t xml:space="preserve">relevant </w:t>
      </w:r>
      <w:r w:rsidR="00007592" w:rsidRPr="264F4B5A">
        <w:rPr>
          <w:rFonts w:asciiTheme="minorBidi" w:hAnsiTheme="minorBidi"/>
        </w:rPr>
        <w:t>g</w:t>
      </w:r>
      <w:r w:rsidR="00CA32BD" w:rsidRPr="264F4B5A">
        <w:rPr>
          <w:rFonts w:asciiTheme="minorBidi" w:hAnsiTheme="minorBidi"/>
        </w:rPr>
        <w:t>overnment policy</w:t>
      </w:r>
      <w:r w:rsidR="00361641" w:rsidRPr="264F4B5A">
        <w:rPr>
          <w:rFonts w:asciiTheme="minorBidi" w:hAnsiTheme="minorBidi"/>
        </w:rPr>
        <w:t>;</w:t>
      </w:r>
    </w:p>
    <w:p w14:paraId="534942C9" w14:textId="0D0D9FEF" w:rsidR="00A02B51" w:rsidRPr="002D7FB8" w:rsidRDefault="00A02B51" w:rsidP="002D7FB8">
      <w:pPr>
        <w:rPr>
          <w:rFonts w:asciiTheme="minorBidi" w:hAnsiTheme="minorBidi"/>
          <w:szCs w:val="24"/>
        </w:rPr>
      </w:pPr>
      <w:r w:rsidRPr="002D7FB8">
        <w:rPr>
          <w:rFonts w:asciiTheme="minorBidi" w:hAnsiTheme="minorBidi"/>
          <w:szCs w:val="24"/>
        </w:rPr>
        <w:t>This judgement:</w:t>
      </w:r>
    </w:p>
    <w:p w14:paraId="36B1EE3A" w14:textId="79C263B8" w:rsidR="00293500" w:rsidRPr="00721B79" w:rsidRDefault="006158E6" w:rsidP="00293500">
      <w:pPr>
        <w:pStyle w:val="ListParagraph"/>
        <w:numPr>
          <w:ilvl w:val="0"/>
          <w:numId w:val="7"/>
        </w:numPr>
        <w:ind w:hanging="720"/>
        <w:rPr>
          <w:rFonts w:asciiTheme="minorBidi" w:hAnsiTheme="minorBidi"/>
          <w:szCs w:val="24"/>
        </w:rPr>
      </w:pPr>
      <w:r w:rsidRPr="00A02B51">
        <w:rPr>
          <w:rFonts w:asciiTheme="minorBidi" w:hAnsiTheme="minorBidi"/>
          <w:szCs w:val="24"/>
        </w:rPr>
        <w:t xml:space="preserve">is given </w:t>
      </w:r>
      <w:r w:rsidR="003726C2" w:rsidRPr="00A02B51">
        <w:rPr>
          <w:rFonts w:asciiTheme="minorBidi" w:hAnsiTheme="minorBidi"/>
          <w:szCs w:val="24"/>
        </w:rPr>
        <w:t>based</w:t>
      </w:r>
      <w:r w:rsidR="003726C2" w:rsidRPr="00721B79">
        <w:rPr>
          <w:rFonts w:asciiTheme="minorBidi" w:hAnsiTheme="minorBidi"/>
          <w:szCs w:val="24"/>
        </w:rPr>
        <w:t xml:space="preserve"> upon </w:t>
      </w:r>
      <w:r w:rsidRPr="00721B79">
        <w:rPr>
          <w:rFonts w:asciiTheme="minorBidi" w:hAnsiTheme="minorBidi"/>
          <w:szCs w:val="24"/>
        </w:rPr>
        <w:t>the assessment described in the Annex</w:t>
      </w:r>
      <w:r w:rsidR="0015467D">
        <w:rPr>
          <w:rFonts w:asciiTheme="minorBidi" w:hAnsiTheme="minorBidi"/>
          <w:szCs w:val="24"/>
        </w:rPr>
        <w:t xml:space="preserve">. </w:t>
      </w:r>
      <w:r w:rsidR="0015467D" w:rsidRPr="0015467D">
        <w:rPr>
          <w:rFonts w:asciiTheme="minorBidi" w:hAnsiTheme="minorBidi"/>
          <w:szCs w:val="24"/>
        </w:rPr>
        <w:t xml:space="preserve">The regulatory findings made during Step 2 are based on the scope and design maturity described </w:t>
      </w:r>
      <w:r w:rsidR="0015467D">
        <w:rPr>
          <w:rFonts w:asciiTheme="minorBidi" w:hAnsiTheme="minorBidi"/>
          <w:szCs w:val="24"/>
        </w:rPr>
        <w:t>in the Annex</w:t>
      </w:r>
      <w:r w:rsidR="00D37021">
        <w:rPr>
          <w:rFonts w:asciiTheme="minorBidi" w:hAnsiTheme="minorBidi"/>
          <w:szCs w:val="24"/>
        </w:rPr>
        <w:t>;</w:t>
      </w:r>
    </w:p>
    <w:p w14:paraId="04D77D19" w14:textId="77BC0047" w:rsidR="00293500" w:rsidRPr="00721B79" w:rsidRDefault="006158E6" w:rsidP="00293500">
      <w:pPr>
        <w:pStyle w:val="ListParagraph"/>
        <w:numPr>
          <w:ilvl w:val="0"/>
          <w:numId w:val="7"/>
        </w:numPr>
        <w:ind w:hanging="720"/>
        <w:rPr>
          <w:rFonts w:asciiTheme="minorBidi" w:hAnsiTheme="minorBidi"/>
          <w:szCs w:val="24"/>
        </w:rPr>
      </w:pPr>
      <w:r w:rsidRPr="00721B79">
        <w:rPr>
          <w:rFonts w:asciiTheme="minorBidi" w:hAnsiTheme="minorBidi"/>
          <w:szCs w:val="24"/>
        </w:rPr>
        <w:t xml:space="preserve">does not guarantee that ONR will grant permission for the construction of a power station </w:t>
      </w:r>
      <w:r w:rsidRPr="00981A1C">
        <w:rPr>
          <w:rFonts w:asciiTheme="minorBidi" w:hAnsiTheme="minorBidi"/>
          <w:szCs w:val="24"/>
        </w:rPr>
        <w:t xml:space="preserve">based on the </w:t>
      </w:r>
      <w:r w:rsidR="00D91B69">
        <w:rPr>
          <w:rFonts w:asciiTheme="minorBidi" w:hAnsiTheme="minorBidi"/>
          <w:szCs w:val="24"/>
        </w:rPr>
        <w:t>SMR-300</w:t>
      </w:r>
      <w:r w:rsidR="00A935DE">
        <w:rPr>
          <w:rFonts w:asciiTheme="minorBidi" w:hAnsiTheme="minorBidi"/>
          <w:szCs w:val="24"/>
        </w:rPr>
        <w:t xml:space="preserve"> </w:t>
      </w:r>
      <w:r w:rsidRPr="00981A1C">
        <w:rPr>
          <w:rFonts w:asciiTheme="minorBidi" w:hAnsiTheme="minorBidi"/>
          <w:szCs w:val="24"/>
        </w:rPr>
        <w:t>design at a particular site in Great Britain. Any organisation intending to build and operate a</w:t>
      </w:r>
      <w:r w:rsidR="00D91B69">
        <w:rPr>
          <w:rFonts w:asciiTheme="minorBidi" w:hAnsiTheme="minorBidi"/>
          <w:szCs w:val="24"/>
        </w:rPr>
        <w:t>n</w:t>
      </w:r>
      <w:r w:rsidRPr="00981A1C">
        <w:rPr>
          <w:rFonts w:asciiTheme="minorBidi" w:hAnsiTheme="minorBidi"/>
          <w:szCs w:val="24"/>
        </w:rPr>
        <w:t xml:space="preserve"> </w:t>
      </w:r>
      <w:r w:rsidR="00D91B69">
        <w:rPr>
          <w:rFonts w:asciiTheme="minorBidi" w:hAnsiTheme="minorBidi"/>
          <w:szCs w:val="24"/>
        </w:rPr>
        <w:t>SMR-300</w:t>
      </w:r>
      <w:r w:rsidR="00C33BD0">
        <w:rPr>
          <w:rFonts w:asciiTheme="minorBidi" w:hAnsiTheme="minorBidi"/>
          <w:szCs w:val="24"/>
        </w:rPr>
        <w:t xml:space="preserve"> </w:t>
      </w:r>
      <w:r w:rsidRPr="00981A1C">
        <w:rPr>
          <w:rFonts w:asciiTheme="minorBidi" w:hAnsiTheme="minorBidi"/>
          <w:szCs w:val="24"/>
        </w:rPr>
        <w:t>in Great Britain must first obtain from ONR a nuclear site licence, as required under the Nuclear Installations</w:t>
      </w:r>
      <w:r w:rsidRPr="00721B79">
        <w:rPr>
          <w:rFonts w:asciiTheme="minorBidi" w:hAnsiTheme="minorBidi"/>
          <w:szCs w:val="24"/>
        </w:rPr>
        <w:t xml:space="preserve"> Act 1965; and </w:t>
      </w:r>
    </w:p>
    <w:p w14:paraId="066566F0" w14:textId="11BE2502" w:rsidR="00293500" w:rsidRPr="00721B79" w:rsidRDefault="006158E6" w:rsidP="00293500">
      <w:pPr>
        <w:pStyle w:val="ListParagraph"/>
        <w:numPr>
          <w:ilvl w:val="0"/>
          <w:numId w:val="7"/>
        </w:numPr>
        <w:ind w:hanging="720"/>
        <w:rPr>
          <w:rFonts w:asciiTheme="minorBidi" w:hAnsiTheme="minorBidi"/>
          <w:szCs w:val="24"/>
        </w:rPr>
      </w:pPr>
      <w:r w:rsidRPr="00721B79">
        <w:rPr>
          <w:rFonts w:asciiTheme="minorBidi" w:hAnsiTheme="minorBidi"/>
          <w:szCs w:val="24"/>
        </w:rPr>
        <w:t xml:space="preserve">is valid for a period of ten years beginning on the date on which it is issued. </w:t>
      </w:r>
    </w:p>
    <w:p w14:paraId="011809C0" w14:textId="488E2EFC" w:rsidR="001B733D" w:rsidRPr="001B733D" w:rsidRDefault="001B733D" w:rsidP="001B733D">
      <w:pPr>
        <w:rPr>
          <w:rFonts w:asciiTheme="minorBidi" w:hAnsiTheme="minorBidi"/>
          <w:szCs w:val="24"/>
        </w:rPr>
      </w:pPr>
      <w:r w:rsidRPr="001B733D">
        <w:rPr>
          <w:rFonts w:asciiTheme="minorBidi" w:hAnsiTheme="minorBidi"/>
          <w:szCs w:val="24"/>
        </w:rPr>
        <w:t xml:space="preserve">This conclusion will be taken into account by ONR in any subsequent work </w:t>
      </w:r>
      <w:r w:rsidR="005C5892">
        <w:rPr>
          <w:rFonts w:asciiTheme="minorBidi" w:hAnsiTheme="minorBidi"/>
          <w:szCs w:val="24"/>
        </w:rPr>
        <w:t xml:space="preserve">as part of a GDA </w:t>
      </w:r>
      <w:r w:rsidRPr="001B733D">
        <w:rPr>
          <w:rFonts w:asciiTheme="minorBidi" w:hAnsiTheme="minorBidi"/>
          <w:szCs w:val="24"/>
        </w:rPr>
        <w:t xml:space="preserve">or to grant a future permission. Wherever possible, ONR will not look to reassess those aspects considered </w:t>
      </w:r>
      <w:r w:rsidR="00C947DB">
        <w:rPr>
          <w:rFonts w:asciiTheme="minorBidi" w:hAnsiTheme="minorBidi"/>
          <w:szCs w:val="24"/>
        </w:rPr>
        <w:t xml:space="preserve">adequate </w:t>
      </w:r>
      <w:r w:rsidRPr="001B733D">
        <w:rPr>
          <w:rFonts w:asciiTheme="minorBidi" w:hAnsiTheme="minorBidi"/>
          <w:szCs w:val="24"/>
        </w:rPr>
        <w:t xml:space="preserve">in the GDA </w:t>
      </w:r>
      <w:r w:rsidR="001764BF">
        <w:rPr>
          <w:rFonts w:asciiTheme="minorBidi" w:hAnsiTheme="minorBidi"/>
          <w:szCs w:val="24"/>
        </w:rPr>
        <w:t>S</w:t>
      </w:r>
      <w:r w:rsidRPr="001B733D">
        <w:rPr>
          <w:rFonts w:asciiTheme="minorBidi" w:hAnsiTheme="minorBidi"/>
          <w:szCs w:val="24"/>
        </w:rPr>
        <w:t xml:space="preserve">tatement. However, given the nature of the Step 2 assessment, the likelihood of continuing design development, and the </w:t>
      </w:r>
      <w:r w:rsidR="00C947DB">
        <w:rPr>
          <w:rFonts w:asciiTheme="minorBidi" w:hAnsiTheme="minorBidi"/>
          <w:szCs w:val="24"/>
        </w:rPr>
        <w:t>broader</w:t>
      </w:r>
      <w:r w:rsidR="00C947DB" w:rsidRPr="001B733D">
        <w:rPr>
          <w:rFonts w:asciiTheme="minorBidi" w:hAnsiTheme="minorBidi"/>
          <w:szCs w:val="24"/>
        </w:rPr>
        <w:t xml:space="preserve"> </w:t>
      </w:r>
      <w:r w:rsidRPr="001B733D">
        <w:rPr>
          <w:rFonts w:asciiTheme="minorBidi" w:hAnsiTheme="minorBidi"/>
          <w:szCs w:val="24"/>
        </w:rPr>
        <w:t xml:space="preserve">and more detailed scope of any </w:t>
      </w:r>
      <w:r w:rsidR="006471F5">
        <w:rPr>
          <w:rFonts w:asciiTheme="minorBidi" w:hAnsiTheme="minorBidi"/>
          <w:szCs w:val="24"/>
        </w:rPr>
        <w:t xml:space="preserve">subsequent </w:t>
      </w:r>
      <w:r w:rsidRPr="001B733D">
        <w:rPr>
          <w:rFonts w:asciiTheme="minorBidi" w:hAnsiTheme="minorBidi"/>
          <w:szCs w:val="24"/>
        </w:rPr>
        <w:t>assessment</w:t>
      </w:r>
      <w:r w:rsidR="006471F5">
        <w:rPr>
          <w:rFonts w:asciiTheme="minorBidi" w:hAnsiTheme="minorBidi"/>
          <w:szCs w:val="24"/>
        </w:rPr>
        <w:t>s</w:t>
      </w:r>
      <w:r w:rsidRPr="001B733D">
        <w:rPr>
          <w:rFonts w:asciiTheme="minorBidi" w:hAnsiTheme="minorBidi"/>
          <w:szCs w:val="24"/>
        </w:rPr>
        <w:t xml:space="preserve">, some aspects may need to </w:t>
      </w:r>
      <w:r w:rsidR="006471F5">
        <w:rPr>
          <w:rFonts w:asciiTheme="minorBidi" w:hAnsiTheme="minorBidi"/>
          <w:szCs w:val="24"/>
        </w:rPr>
        <w:t xml:space="preserve">be </w:t>
      </w:r>
      <w:r w:rsidRPr="001B733D">
        <w:rPr>
          <w:rFonts w:asciiTheme="minorBidi" w:hAnsiTheme="minorBidi"/>
          <w:szCs w:val="24"/>
        </w:rPr>
        <w:t>re-examined</w:t>
      </w:r>
      <w:r w:rsidR="008B3F3B">
        <w:rPr>
          <w:rFonts w:asciiTheme="minorBidi" w:hAnsiTheme="minorBidi"/>
          <w:szCs w:val="24"/>
        </w:rPr>
        <w:t xml:space="preserve"> to ensure the conclusion remains valid</w:t>
      </w:r>
      <w:r w:rsidR="0076572E">
        <w:rPr>
          <w:rFonts w:asciiTheme="minorBidi" w:hAnsiTheme="minorBidi"/>
          <w:szCs w:val="24"/>
        </w:rPr>
        <w:t>.</w:t>
      </w:r>
    </w:p>
    <w:p w14:paraId="3C3E607B" w14:textId="2975CEAB" w:rsidR="007559F1" w:rsidRPr="00C05A62" w:rsidRDefault="006158E6" w:rsidP="00293500">
      <w:pPr>
        <w:rPr>
          <w:rFonts w:asciiTheme="minorBidi" w:hAnsiTheme="minorBidi"/>
          <w:b/>
          <w:bCs/>
          <w:szCs w:val="24"/>
        </w:rPr>
      </w:pPr>
      <w:r w:rsidRPr="00C05A62">
        <w:rPr>
          <w:rFonts w:asciiTheme="minorBidi" w:hAnsiTheme="minorBidi"/>
          <w:b/>
          <w:bCs/>
          <w:szCs w:val="24"/>
        </w:rPr>
        <w:t xml:space="preserve">Signed </w:t>
      </w:r>
      <w:r w:rsidR="007559F1" w:rsidRPr="00C05A62">
        <w:rPr>
          <w:rFonts w:asciiTheme="minorBidi" w:hAnsiTheme="minorBidi"/>
          <w:b/>
          <w:bCs/>
          <w:szCs w:val="24"/>
        </w:rPr>
        <w:t xml:space="preserve">                                                                              </w:t>
      </w:r>
      <w:r w:rsidRPr="00C05A62">
        <w:rPr>
          <w:rFonts w:asciiTheme="minorBidi" w:hAnsiTheme="minorBidi"/>
          <w:b/>
          <w:bCs/>
          <w:szCs w:val="24"/>
        </w:rPr>
        <w:t xml:space="preserve">Date of Issue </w:t>
      </w:r>
    </w:p>
    <w:p w14:paraId="7FC77301" w14:textId="3214D03B" w:rsidR="00C33BD0" w:rsidRDefault="008B317C" w:rsidP="00293500">
      <w:pPr>
        <w:rPr>
          <w:noProof/>
        </w:rPr>
      </w:pPr>
      <w:r w:rsidRPr="4A89461D">
        <w:rPr>
          <w:rFonts w:asciiTheme="minorBidi" w:hAnsiTheme="minorBidi"/>
        </w:rPr>
        <w:t xml:space="preserve"> </w:t>
      </w:r>
      <w:r w:rsidR="00A71CA7" w:rsidRPr="4A89461D">
        <w:rPr>
          <w:rFonts w:asciiTheme="minorBidi" w:hAnsiTheme="minorBidi"/>
        </w:rPr>
        <w:t xml:space="preserve">       </w:t>
      </w:r>
    </w:p>
    <w:p w14:paraId="04FDC2A6" w14:textId="443C871E" w:rsidR="007559F1" w:rsidRPr="00721B79" w:rsidRDefault="00A71CA7" w:rsidP="4A89461D">
      <w:pPr>
        <w:rPr>
          <w:rFonts w:asciiTheme="minorBidi" w:hAnsiTheme="minorBidi"/>
        </w:rPr>
      </w:pPr>
      <w:r w:rsidRPr="4A89461D">
        <w:rPr>
          <w:rFonts w:asciiTheme="minorBidi" w:hAnsiTheme="minorBidi"/>
        </w:rPr>
        <w:t xml:space="preserve">                                                                                 </w:t>
      </w:r>
      <w:r>
        <w:tab/>
      </w:r>
      <w:r w:rsidR="00C33BD0" w:rsidRPr="4A89461D">
        <w:rPr>
          <w:rFonts w:asciiTheme="minorBidi" w:hAnsiTheme="minorBidi"/>
        </w:rPr>
        <w:t xml:space="preserve">     </w:t>
      </w:r>
      <w:r w:rsidR="004804BB" w:rsidRPr="4A89461D">
        <w:rPr>
          <w:rFonts w:asciiTheme="minorBidi" w:hAnsiTheme="minorBidi"/>
        </w:rPr>
        <w:t>16</w:t>
      </w:r>
      <w:r w:rsidR="00C33BD0" w:rsidRPr="4A89461D">
        <w:rPr>
          <w:rFonts w:asciiTheme="minorBidi" w:hAnsiTheme="minorBidi"/>
        </w:rPr>
        <w:t xml:space="preserve"> </w:t>
      </w:r>
      <w:r w:rsidR="004804BB" w:rsidRPr="4A89461D">
        <w:rPr>
          <w:rFonts w:asciiTheme="minorBidi" w:hAnsiTheme="minorBidi"/>
        </w:rPr>
        <w:t>January</w:t>
      </w:r>
      <w:r w:rsidR="00C33BD0" w:rsidRPr="4A89461D">
        <w:rPr>
          <w:rFonts w:asciiTheme="minorBidi" w:hAnsiTheme="minorBidi"/>
        </w:rPr>
        <w:t xml:space="preserve"> </w:t>
      </w:r>
      <w:r w:rsidRPr="4A89461D">
        <w:rPr>
          <w:rFonts w:asciiTheme="minorBidi" w:hAnsiTheme="minorBidi"/>
        </w:rPr>
        <w:t>202</w:t>
      </w:r>
      <w:r w:rsidR="004804BB" w:rsidRPr="4A89461D">
        <w:rPr>
          <w:rFonts w:asciiTheme="minorBidi" w:hAnsiTheme="minorBidi"/>
        </w:rPr>
        <w:t>6</w:t>
      </w:r>
    </w:p>
    <w:p w14:paraId="264CF9D0" w14:textId="4E8F563B" w:rsidR="00D26A31" w:rsidRPr="00D26A31" w:rsidRDefault="00666C5B" w:rsidP="00D26A31">
      <w:pPr>
        <w:spacing w:after="0" w:line="240" w:lineRule="auto"/>
        <w:rPr>
          <w:rFonts w:asciiTheme="minorBidi" w:hAnsiTheme="minorBidi"/>
          <w:b/>
          <w:bCs/>
          <w:szCs w:val="24"/>
        </w:rPr>
      </w:pPr>
      <w:r>
        <w:rPr>
          <w:rFonts w:asciiTheme="minorBidi" w:hAnsiTheme="minorBidi"/>
          <w:b/>
          <w:bCs/>
          <w:szCs w:val="24"/>
        </w:rPr>
        <w:t>Paul Dicks</w:t>
      </w:r>
      <w:r w:rsidR="00D26A31" w:rsidRPr="00D26A31">
        <w:rPr>
          <w:rFonts w:asciiTheme="minorBidi" w:hAnsiTheme="minorBidi"/>
          <w:szCs w:val="24"/>
        </w:rPr>
        <w:t xml:space="preserve"> </w:t>
      </w:r>
      <w:r w:rsidR="00D26A31">
        <w:rPr>
          <w:rFonts w:asciiTheme="minorBidi" w:hAnsiTheme="minorBidi"/>
          <w:szCs w:val="24"/>
        </w:rPr>
        <w:t xml:space="preserve">                </w:t>
      </w:r>
      <w:r w:rsidR="00690DA8">
        <w:rPr>
          <w:rFonts w:asciiTheme="minorBidi" w:hAnsiTheme="minorBidi"/>
          <w:szCs w:val="24"/>
        </w:rPr>
        <w:t xml:space="preserve">                                                      </w:t>
      </w:r>
    </w:p>
    <w:p w14:paraId="6D33BEE0" w14:textId="77777777" w:rsidR="000E1B91" w:rsidRDefault="00D26A31" w:rsidP="00D26A31">
      <w:pPr>
        <w:rPr>
          <w:rFonts w:asciiTheme="minorBidi" w:hAnsiTheme="minorBidi"/>
          <w:szCs w:val="24"/>
        </w:rPr>
      </w:pPr>
      <w:r w:rsidRPr="00D26A31">
        <w:rPr>
          <w:rFonts w:asciiTheme="minorBidi" w:hAnsiTheme="minorBidi"/>
          <w:szCs w:val="24"/>
        </w:rPr>
        <w:t>Director of Regulation – New Nuclear Reactors</w:t>
      </w:r>
    </w:p>
    <w:p w14:paraId="769F1C01" w14:textId="77777777" w:rsidR="002435C4" w:rsidRDefault="002435C4" w:rsidP="00D26A31">
      <w:pPr>
        <w:rPr>
          <w:rFonts w:asciiTheme="minorBidi" w:hAnsiTheme="minorBidi"/>
          <w:szCs w:val="24"/>
        </w:rPr>
        <w:sectPr w:rsidR="002435C4">
          <w:headerReference w:type="default" r:id="rId8"/>
          <w:footerReference w:type="default" r:id="rId9"/>
          <w:pgSz w:w="11906" w:h="16838"/>
          <w:pgMar w:top="1440" w:right="1440" w:bottom="1440" w:left="1440" w:header="708" w:footer="708" w:gutter="0"/>
          <w:cols w:space="708"/>
          <w:docGrid w:linePitch="360"/>
        </w:sectPr>
      </w:pPr>
    </w:p>
    <w:p w14:paraId="68E56414" w14:textId="418FADBB" w:rsidR="004A26C8" w:rsidRPr="002435C4" w:rsidRDefault="00B94D68" w:rsidP="002435C4">
      <w:pPr>
        <w:rPr>
          <w:rFonts w:asciiTheme="minorBidi" w:hAnsiTheme="minorBidi"/>
          <w:szCs w:val="24"/>
        </w:rPr>
      </w:pPr>
      <w:r>
        <w:rPr>
          <w:rFonts w:cs="Arial"/>
          <w:b/>
          <w:bCs/>
          <w:sz w:val="36"/>
          <w:szCs w:val="36"/>
        </w:rPr>
        <w:lastRenderedPageBreak/>
        <w:t>Annex</w:t>
      </w:r>
    </w:p>
    <w:p w14:paraId="0C7B4B1E" w14:textId="59CA023B" w:rsidR="00014743" w:rsidRPr="00D71470" w:rsidRDefault="009E5CD9">
      <w:pPr>
        <w:rPr>
          <w:rFonts w:cs="Arial"/>
          <w:b/>
          <w:bCs/>
          <w:szCs w:val="24"/>
        </w:rPr>
      </w:pPr>
      <w:r w:rsidRPr="00D71470">
        <w:rPr>
          <w:rFonts w:cs="Arial"/>
          <w:b/>
          <w:bCs/>
          <w:szCs w:val="24"/>
        </w:rPr>
        <w:t>I</w:t>
      </w:r>
      <w:r w:rsidR="00014743" w:rsidRPr="00D71470">
        <w:rPr>
          <w:rFonts w:cs="Arial"/>
          <w:b/>
          <w:bCs/>
          <w:szCs w:val="24"/>
        </w:rPr>
        <w:t>ntroduction</w:t>
      </w:r>
    </w:p>
    <w:p w14:paraId="13E73944" w14:textId="29F95363" w:rsidR="00260EA2" w:rsidRPr="00D71470" w:rsidRDefault="00920C85" w:rsidP="00260EA2">
      <w:pPr>
        <w:pStyle w:val="Numberedparagraph"/>
        <w:numPr>
          <w:ilvl w:val="0"/>
          <w:numId w:val="0"/>
        </w:numPr>
      </w:pPr>
      <w:r w:rsidRPr="00A24679">
        <w:t xml:space="preserve">The </w:t>
      </w:r>
      <w:r w:rsidR="009A40D3">
        <w:t>SMR-300</w:t>
      </w:r>
      <w:r w:rsidRPr="00A24679">
        <w:t xml:space="preserve"> is a </w:t>
      </w:r>
      <w:r w:rsidR="00825F9C">
        <w:t>pressurised</w:t>
      </w:r>
      <w:r w:rsidRPr="00A24679">
        <w:t xml:space="preserve"> water reactor </w:t>
      </w:r>
      <w:r w:rsidR="00825F9C">
        <w:t>w</w:t>
      </w:r>
      <w:r w:rsidRPr="00A24679">
        <w:t>ith a power of ~</w:t>
      </w:r>
      <w:r w:rsidR="00825F9C">
        <w:t>1050</w:t>
      </w:r>
      <w:r w:rsidRPr="00A24679">
        <w:t xml:space="preserve"> MW (thermal) and a generating capacity of ~ 3</w:t>
      </w:r>
      <w:r w:rsidR="00825F9C">
        <w:t>2</w:t>
      </w:r>
      <w:r w:rsidRPr="00A24679">
        <w:t xml:space="preserve">0 MW (electrical) and is designed to have an operational life of </w:t>
      </w:r>
      <w:r w:rsidR="00825F9C">
        <w:t>8</w:t>
      </w:r>
      <w:r w:rsidRPr="00A24679">
        <w:t>0 years.</w:t>
      </w:r>
      <w:r w:rsidR="006B7531" w:rsidRPr="006A214B">
        <w:t xml:space="preserve"> </w:t>
      </w:r>
      <w:r w:rsidR="006B7531" w:rsidRPr="00EE6575">
        <w:t>The GDA is being conducted on a twin unit design, comprising two SMR-300 reactors and associated plant</w:t>
      </w:r>
      <w:r w:rsidRPr="00A24679">
        <w:t>. </w:t>
      </w:r>
      <w:r w:rsidR="00825F9C">
        <w:t>Holtec International</w:t>
      </w:r>
      <w:r w:rsidRPr="00A24679">
        <w:t xml:space="preserve"> is the </w:t>
      </w:r>
      <w:r w:rsidR="00825F9C">
        <w:t xml:space="preserve">designer and </w:t>
      </w:r>
      <w:r w:rsidRPr="00A24679">
        <w:t xml:space="preserve">requesting party (RP) for GDA. </w:t>
      </w:r>
    </w:p>
    <w:p w14:paraId="3BB8CAF4" w14:textId="73469BF8" w:rsidR="00F70EF5" w:rsidRPr="00D71470" w:rsidRDefault="00260EA2" w:rsidP="00F70EF5">
      <w:pPr>
        <w:pStyle w:val="Numberedparagraph"/>
        <w:numPr>
          <w:ilvl w:val="0"/>
          <w:numId w:val="0"/>
        </w:numPr>
        <w:rPr>
          <w:szCs w:val="24"/>
        </w:rPr>
      </w:pPr>
      <w:r w:rsidRPr="00D71470">
        <w:rPr>
          <w:szCs w:val="24"/>
        </w:rPr>
        <w:t xml:space="preserve">The objective </w:t>
      </w:r>
      <w:r w:rsidR="00BD3BB6" w:rsidRPr="00D71470">
        <w:rPr>
          <w:szCs w:val="24"/>
        </w:rPr>
        <w:t xml:space="preserve">of Step 2 </w:t>
      </w:r>
      <w:r w:rsidR="00A40580" w:rsidRPr="00D71470">
        <w:rPr>
          <w:szCs w:val="24"/>
        </w:rPr>
        <w:t>was</w:t>
      </w:r>
      <w:r w:rsidRPr="00D71470">
        <w:rPr>
          <w:szCs w:val="24"/>
        </w:rPr>
        <w:t xml:space="preserve"> to undertake an assessment of the </w:t>
      </w:r>
      <w:r w:rsidR="00047F3F" w:rsidRPr="00D71470">
        <w:rPr>
          <w:szCs w:val="24"/>
        </w:rPr>
        <w:t xml:space="preserve">generic </w:t>
      </w:r>
      <w:r w:rsidRPr="00D71470">
        <w:rPr>
          <w:szCs w:val="24"/>
        </w:rPr>
        <w:t>design against regulatory expectations to identify any fundamental safety</w:t>
      </w:r>
      <w:r w:rsidR="00047F3F" w:rsidRPr="00D71470">
        <w:rPr>
          <w:szCs w:val="24"/>
        </w:rPr>
        <w:t xml:space="preserve">, </w:t>
      </w:r>
      <w:r w:rsidRPr="00D71470">
        <w:rPr>
          <w:szCs w:val="24"/>
        </w:rPr>
        <w:t>security</w:t>
      </w:r>
      <w:r w:rsidR="00047F3F" w:rsidRPr="00D71470">
        <w:rPr>
          <w:szCs w:val="24"/>
        </w:rPr>
        <w:t xml:space="preserve"> or safeguard</w:t>
      </w:r>
      <w:r w:rsidRPr="00D71470">
        <w:rPr>
          <w:szCs w:val="24"/>
        </w:rPr>
        <w:t xml:space="preserve"> shortfalls that could prevent ONR </w:t>
      </w:r>
      <w:r w:rsidR="00614F9A">
        <w:rPr>
          <w:szCs w:val="24"/>
        </w:rPr>
        <w:t xml:space="preserve">granting </w:t>
      </w:r>
      <w:r w:rsidRPr="00D71470">
        <w:rPr>
          <w:szCs w:val="24"/>
        </w:rPr>
        <w:t>permission</w:t>
      </w:r>
      <w:r w:rsidR="00614F9A">
        <w:rPr>
          <w:szCs w:val="24"/>
        </w:rPr>
        <w:t xml:space="preserve"> for</w:t>
      </w:r>
      <w:r w:rsidRPr="00D71470">
        <w:rPr>
          <w:szCs w:val="24"/>
        </w:rPr>
        <w:t xml:space="preserve"> the construction of a power station based on the design</w:t>
      </w:r>
      <w:r w:rsidR="007F7FEB" w:rsidRPr="00D71470">
        <w:rPr>
          <w:szCs w:val="24"/>
        </w:rPr>
        <w:t xml:space="preserve"> </w:t>
      </w:r>
      <w:r w:rsidR="001550CD" w:rsidRPr="00A90739">
        <w:rPr>
          <w:szCs w:val="24"/>
        </w:rPr>
        <w:t>(ref.</w:t>
      </w:r>
      <w:sdt>
        <w:sdtPr>
          <w:rPr>
            <w:szCs w:val="24"/>
          </w:rPr>
          <w:id w:val="47349773"/>
          <w:citation/>
        </w:sdtPr>
        <w:sdtEndPr/>
        <w:sdtContent>
          <w:r w:rsidR="00C62557" w:rsidRPr="00A90739">
            <w:rPr>
              <w:szCs w:val="24"/>
            </w:rPr>
            <w:fldChar w:fldCharType="begin"/>
          </w:r>
          <w:r w:rsidR="0099536E" w:rsidRPr="00A90739">
            <w:rPr>
              <w:szCs w:val="24"/>
            </w:rPr>
            <w:instrText xml:space="preserve">CITATION ONRcx \l 2057 </w:instrText>
          </w:r>
          <w:r w:rsidR="00C62557" w:rsidRPr="00A90739">
            <w:rPr>
              <w:szCs w:val="24"/>
            </w:rPr>
            <w:fldChar w:fldCharType="separate"/>
          </w:r>
          <w:r w:rsidR="00DC7D56">
            <w:rPr>
              <w:noProof/>
              <w:szCs w:val="24"/>
            </w:rPr>
            <w:t xml:space="preserve"> </w:t>
          </w:r>
          <w:r w:rsidR="00DC7D56" w:rsidRPr="00DC7D56">
            <w:rPr>
              <w:noProof/>
              <w:szCs w:val="24"/>
            </w:rPr>
            <w:t>[1]</w:t>
          </w:r>
          <w:r w:rsidR="00C62557" w:rsidRPr="00A90739">
            <w:rPr>
              <w:szCs w:val="24"/>
            </w:rPr>
            <w:fldChar w:fldCharType="end"/>
          </w:r>
        </w:sdtContent>
      </w:sdt>
      <w:r w:rsidR="001550CD" w:rsidRPr="00A90739">
        <w:rPr>
          <w:szCs w:val="24"/>
        </w:rPr>
        <w:t>)</w:t>
      </w:r>
      <w:r w:rsidRPr="00A90739">
        <w:rPr>
          <w:szCs w:val="24"/>
        </w:rPr>
        <w:t>.</w:t>
      </w:r>
      <w:r w:rsidR="00F70EF5" w:rsidRPr="00A90739">
        <w:rPr>
          <w:szCs w:val="24"/>
        </w:rPr>
        <w:t xml:space="preserve"> O</w:t>
      </w:r>
      <w:r w:rsidR="00B216BF" w:rsidRPr="00A90739">
        <w:rPr>
          <w:szCs w:val="24"/>
        </w:rPr>
        <w:t>ur</w:t>
      </w:r>
      <w:r w:rsidR="00F70EF5" w:rsidRPr="00D71470">
        <w:rPr>
          <w:szCs w:val="24"/>
        </w:rPr>
        <w:t xml:space="preserve"> assessment is summarised in a Step 2 </w:t>
      </w:r>
      <w:r w:rsidR="00357CC4" w:rsidRPr="00D71470">
        <w:rPr>
          <w:szCs w:val="24"/>
        </w:rPr>
        <w:t xml:space="preserve">summary </w:t>
      </w:r>
      <w:r w:rsidR="00357CC4" w:rsidRPr="00A90739">
        <w:rPr>
          <w:szCs w:val="24"/>
        </w:rPr>
        <w:t>report</w:t>
      </w:r>
      <w:r w:rsidR="000E3A13" w:rsidRPr="00A90739">
        <w:rPr>
          <w:szCs w:val="24"/>
        </w:rPr>
        <w:t xml:space="preserve"> (ref.</w:t>
      </w:r>
      <w:r w:rsidR="00A90739" w:rsidRPr="00A90739">
        <w:rPr>
          <w:szCs w:val="24"/>
        </w:rPr>
        <w:t xml:space="preserve"> </w:t>
      </w:r>
      <w:sdt>
        <w:sdtPr>
          <w:rPr>
            <w:szCs w:val="24"/>
          </w:rPr>
          <w:id w:val="-346329576"/>
          <w:citation/>
        </w:sdtPr>
        <w:sdtEndPr/>
        <w:sdtContent>
          <w:r w:rsidR="00FE65E8">
            <w:rPr>
              <w:szCs w:val="24"/>
            </w:rPr>
            <w:fldChar w:fldCharType="begin"/>
          </w:r>
          <w:r w:rsidR="009204CD">
            <w:rPr>
              <w:szCs w:val="24"/>
            </w:rPr>
            <w:instrText xml:space="preserve">CITATION ONR5 \l 2057 </w:instrText>
          </w:r>
          <w:r w:rsidR="00FE65E8">
            <w:rPr>
              <w:szCs w:val="24"/>
            </w:rPr>
            <w:fldChar w:fldCharType="separate"/>
          </w:r>
          <w:r w:rsidR="009204CD" w:rsidRPr="009204CD">
            <w:rPr>
              <w:noProof/>
              <w:szCs w:val="24"/>
            </w:rPr>
            <w:t>[2]</w:t>
          </w:r>
          <w:r w:rsidR="00FE65E8">
            <w:rPr>
              <w:szCs w:val="24"/>
            </w:rPr>
            <w:fldChar w:fldCharType="end"/>
          </w:r>
        </w:sdtContent>
      </w:sdt>
      <w:r w:rsidR="000E3A13" w:rsidRPr="00A90739">
        <w:rPr>
          <w:szCs w:val="24"/>
        </w:rPr>
        <w:t>)</w:t>
      </w:r>
      <w:r w:rsidR="00F70EF5" w:rsidRPr="00A90739">
        <w:rPr>
          <w:szCs w:val="24"/>
        </w:rPr>
        <w:t>.</w:t>
      </w:r>
      <w:r w:rsidR="00F70EF5" w:rsidRPr="00D71470">
        <w:rPr>
          <w:szCs w:val="24"/>
        </w:rPr>
        <w:t xml:space="preserve"> </w:t>
      </w:r>
      <w:r w:rsidR="00382E04" w:rsidRPr="00BD19B2">
        <w:rPr>
          <w:rFonts w:asciiTheme="minorBidi" w:hAnsiTheme="minorBidi"/>
          <w:szCs w:val="24"/>
        </w:rPr>
        <w:t>Our assessment of the Holtec SMR-300 is also the first time that the design has been formally assessed by regulatory bodies.</w:t>
      </w:r>
    </w:p>
    <w:p w14:paraId="42F5E1A7" w14:textId="012F6327" w:rsidR="00E027FF" w:rsidRPr="00D71470" w:rsidRDefault="0030779F" w:rsidP="00E027FF">
      <w:pPr>
        <w:rPr>
          <w:rFonts w:cs="Arial"/>
          <w:b/>
          <w:bCs/>
          <w:szCs w:val="24"/>
        </w:rPr>
      </w:pPr>
      <w:r w:rsidRPr="00D71470">
        <w:rPr>
          <w:rFonts w:cs="Arial"/>
          <w:b/>
          <w:bCs/>
          <w:szCs w:val="24"/>
        </w:rPr>
        <w:t>Submissions</w:t>
      </w:r>
    </w:p>
    <w:p w14:paraId="78507682" w14:textId="4B567582" w:rsidR="0061366E" w:rsidRPr="006A214B" w:rsidRDefault="00E027FF" w:rsidP="0061366E">
      <w:pPr>
        <w:pStyle w:val="Numberedparagraph"/>
        <w:numPr>
          <w:ilvl w:val="0"/>
          <w:numId w:val="0"/>
        </w:numPr>
      </w:pPr>
      <w:r w:rsidRPr="7428B94A">
        <w:rPr>
          <w:szCs w:val="24"/>
        </w:rPr>
        <w:t xml:space="preserve">The submissions which </w:t>
      </w:r>
      <w:r w:rsidR="00AA1A91" w:rsidRPr="7428B94A">
        <w:rPr>
          <w:szCs w:val="24"/>
        </w:rPr>
        <w:t xml:space="preserve">formed the basis for </w:t>
      </w:r>
      <w:r w:rsidR="00F353EF" w:rsidRPr="7428B94A">
        <w:rPr>
          <w:szCs w:val="24"/>
        </w:rPr>
        <w:t>ONR’s</w:t>
      </w:r>
      <w:r w:rsidR="0030779F" w:rsidRPr="7428B94A">
        <w:rPr>
          <w:szCs w:val="24"/>
        </w:rPr>
        <w:t xml:space="preserve"> </w:t>
      </w:r>
      <w:r w:rsidR="0084651F" w:rsidRPr="7428B94A">
        <w:rPr>
          <w:szCs w:val="24"/>
        </w:rPr>
        <w:t>assessment</w:t>
      </w:r>
      <w:r w:rsidRPr="7428B94A">
        <w:rPr>
          <w:szCs w:val="24"/>
        </w:rPr>
        <w:t xml:space="preserve"> are recorded in the Master Document Submission list </w:t>
      </w:r>
      <w:r w:rsidR="00E0777B">
        <w:t>(ref.</w:t>
      </w:r>
      <w:sdt>
        <w:sdtPr>
          <w:id w:val="285480455"/>
          <w:citation/>
        </w:sdtPr>
        <w:sdtEndPr/>
        <w:sdtContent>
          <w:r w:rsidR="00903E6F">
            <w:fldChar w:fldCharType="begin"/>
          </w:r>
          <w:r w:rsidR="009204CD">
            <w:instrText xml:space="preserve">CITATION MDSL \l 2057 </w:instrText>
          </w:r>
          <w:r w:rsidR="00903E6F">
            <w:fldChar w:fldCharType="separate"/>
          </w:r>
          <w:r w:rsidR="009204CD">
            <w:rPr>
              <w:noProof/>
            </w:rPr>
            <w:t xml:space="preserve"> </w:t>
          </w:r>
          <w:r w:rsidR="009204CD" w:rsidRPr="009204CD">
            <w:rPr>
              <w:noProof/>
            </w:rPr>
            <w:t>[3]</w:t>
          </w:r>
          <w:r w:rsidR="00903E6F">
            <w:fldChar w:fldCharType="end"/>
          </w:r>
        </w:sdtContent>
      </w:sdt>
      <w:r w:rsidR="00E0777B">
        <w:t>)</w:t>
      </w:r>
      <w:r w:rsidR="002A0A11">
        <w:rPr>
          <w:szCs w:val="24"/>
        </w:rPr>
        <w:t xml:space="preserve">. </w:t>
      </w:r>
      <w:r w:rsidR="00CD448C">
        <w:t>The regulatory judgements reached in Step 2 apply to the final versions of t</w:t>
      </w:r>
      <w:r w:rsidR="00CD448C" w:rsidRPr="00A24679">
        <w:t>he RP’s Safety, Security, Safeguards and Environment case (SS</w:t>
      </w:r>
      <w:r w:rsidR="00BF507A">
        <w:t>EC</w:t>
      </w:r>
      <w:r w:rsidR="00CD448C" w:rsidRPr="00A24679">
        <w:t xml:space="preserve">) </w:t>
      </w:r>
      <w:r w:rsidR="00CD448C">
        <w:t xml:space="preserve">provided to ONR </w:t>
      </w:r>
      <w:r w:rsidR="00CD448C" w:rsidRPr="00A24679">
        <w:t>in July 2025</w:t>
      </w:r>
      <w:r w:rsidR="00CD448C">
        <w:t>.</w:t>
      </w:r>
      <w:r w:rsidR="00CD448C" w:rsidDel="00EE6BE1">
        <w:t xml:space="preserve"> </w:t>
      </w:r>
      <w:r w:rsidR="002A0A11">
        <w:rPr>
          <w:szCs w:val="24"/>
        </w:rPr>
        <w:t>Th</w:t>
      </w:r>
      <w:r w:rsidR="00493296">
        <w:rPr>
          <w:szCs w:val="24"/>
        </w:rPr>
        <w:t>ese</w:t>
      </w:r>
      <w:r w:rsidR="002A0A11">
        <w:rPr>
          <w:szCs w:val="24"/>
        </w:rPr>
        <w:t xml:space="preserve"> </w:t>
      </w:r>
      <w:r w:rsidR="00465DF9" w:rsidRPr="7428B94A">
        <w:rPr>
          <w:szCs w:val="24"/>
        </w:rPr>
        <w:t xml:space="preserve">summarise the information that has been submitted to ONR </w:t>
      </w:r>
      <w:r w:rsidR="002A0A11">
        <w:rPr>
          <w:szCs w:val="24"/>
        </w:rPr>
        <w:t>for assessment</w:t>
      </w:r>
      <w:r w:rsidR="0061366E" w:rsidRPr="006A214B">
        <w:t>.</w:t>
      </w:r>
    </w:p>
    <w:p w14:paraId="0E8FC9F2" w14:textId="74876DDC" w:rsidR="00E027FF" w:rsidRPr="00D71470" w:rsidRDefault="00E027FF" w:rsidP="00E027FF">
      <w:pPr>
        <w:rPr>
          <w:rFonts w:cs="Arial"/>
          <w:b/>
          <w:bCs/>
          <w:szCs w:val="24"/>
        </w:rPr>
      </w:pPr>
      <w:r w:rsidRPr="00D71470">
        <w:rPr>
          <w:rFonts w:cs="Arial"/>
          <w:b/>
          <w:bCs/>
          <w:szCs w:val="24"/>
        </w:rPr>
        <w:t xml:space="preserve">Design </w:t>
      </w:r>
      <w:r w:rsidR="008D5CAE" w:rsidRPr="00D71470">
        <w:rPr>
          <w:rFonts w:cs="Arial"/>
          <w:b/>
          <w:bCs/>
          <w:szCs w:val="24"/>
        </w:rPr>
        <w:t>maturity</w:t>
      </w:r>
    </w:p>
    <w:p w14:paraId="23E73546" w14:textId="35DC11A4" w:rsidR="00543296" w:rsidRDefault="001E0C44" w:rsidP="00382E04">
      <w:r w:rsidRPr="001E0C44">
        <w:rPr>
          <w:rFonts w:asciiTheme="minorBidi" w:hAnsiTheme="minorBidi"/>
          <w:szCs w:val="24"/>
        </w:rPr>
        <w:t xml:space="preserve">The </w:t>
      </w:r>
      <w:r w:rsidR="00BF507A">
        <w:rPr>
          <w:rFonts w:asciiTheme="minorBidi" w:hAnsiTheme="minorBidi"/>
          <w:szCs w:val="24"/>
        </w:rPr>
        <w:t>SMR-300</w:t>
      </w:r>
      <w:r w:rsidRPr="001E0C44">
        <w:rPr>
          <w:rFonts w:asciiTheme="minorBidi" w:hAnsiTheme="minorBidi"/>
          <w:szCs w:val="24"/>
        </w:rPr>
        <w:t xml:space="preserve"> design assessed in GDA is defined within the </w:t>
      </w:r>
      <w:r w:rsidR="0025206F">
        <w:rPr>
          <w:rFonts w:asciiTheme="minorBidi" w:hAnsiTheme="minorBidi"/>
          <w:szCs w:val="24"/>
        </w:rPr>
        <w:t>Design Reference Point</w:t>
      </w:r>
      <w:r w:rsidR="00D31242">
        <w:rPr>
          <w:rFonts w:asciiTheme="minorBidi" w:hAnsiTheme="minorBidi"/>
          <w:szCs w:val="24"/>
        </w:rPr>
        <w:t> </w:t>
      </w:r>
      <w:r w:rsidRPr="001E0C44">
        <w:rPr>
          <w:rFonts w:asciiTheme="minorBidi" w:hAnsiTheme="minorBidi"/>
          <w:szCs w:val="24"/>
        </w:rPr>
        <w:t>(ref.</w:t>
      </w:r>
      <w:sdt>
        <w:sdtPr>
          <w:rPr>
            <w:rFonts w:asciiTheme="minorBidi" w:hAnsiTheme="minorBidi"/>
            <w:szCs w:val="24"/>
          </w:rPr>
          <w:id w:val="-524323165"/>
          <w:citation/>
        </w:sdtPr>
        <w:sdtEndPr/>
        <w:sdtContent>
          <w:r w:rsidR="00903E6F">
            <w:rPr>
              <w:rFonts w:asciiTheme="minorBidi" w:hAnsiTheme="minorBidi"/>
              <w:szCs w:val="24"/>
            </w:rPr>
            <w:fldChar w:fldCharType="begin"/>
          </w:r>
          <w:r w:rsidR="00903E6F">
            <w:rPr>
              <w:rFonts w:asciiTheme="minorBidi" w:hAnsiTheme="minorBidi"/>
              <w:szCs w:val="24"/>
            </w:rPr>
            <w:instrText xml:space="preserve"> CITATION DRP \l 2057 </w:instrText>
          </w:r>
          <w:r w:rsidR="00903E6F">
            <w:rPr>
              <w:rFonts w:asciiTheme="minorBidi" w:hAnsiTheme="minorBidi"/>
              <w:szCs w:val="24"/>
            </w:rPr>
            <w:fldChar w:fldCharType="separate"/>
          </w:r>
          <w:r w:rsidR="00DC7D56">
            <w:rPr>
              <w:rFonts w:asciiTheme="minorBidi" w:hAnsiTheme="minorBidi"/>
              <w:noProof/>
              <w:szCs w:val="24"/>
            </w:rPr>
            <w:t xml:space="preserve"> </w:t>
          </w:r>
          <w:r w:rsidR="00DC7D56" w:rsidRPr="00DC7D56">
            <w:rPr>
              <w:rFonts w:asciiTheme="minorBidi" w:hAnsiTheme="minorBidi"/>
              <w:noProof/>
              <w:szCs w:val="24"/>
            </w:rPr>
            <w:t>[4]</w:t>
          </w:r>
          <w:r w:rsidR="00903E6F">
            <w:rPr>
              <w:rFonts w:asciiTheme="minorBidi" w:hAnsiTheme="minorBidi"/>
              <w:szCs w:val="24"/>
            </w:rPr>
            <w:fldChar w:fldCharType="end"/>
          </w:r>
        </w:sdtContent>
      </w:sdt>
      <w:r w:rsidRPr="001E0C44">
        <w:rPr>
          <w:rFonts w:asciiTheme="minorBidi" w:hAnsiTheme="minorBidi"/>
          <w:szCs w:val="24"/>
        </w:rPr>
        <w:t xml:space="preserve">). </w:t>
      </w:r>
      <w:r w:rsidR="00543296" w:rsidRPr="00543296">
        <w:rPr>
          <w:rFonts w:asciiTheme="minorBidi" w:hAnsiTheme="minorBidi"/>
          <w:szCs w:val="24"/>
        </w:rPr>
        <w:t xml:space="preserve">It is predominantly based on the </w:t>
      </w:r>
      <w:r w:rsidR="00F334C8">
        <w:rPr>
          <w:rFonts w:asciiTheme="minorBidi" w:hAnsiTheme="minorBidi"/>
          <w:szCs w:val="24"/>
        </w:rPr>
        <w:t xml:space="preserve">SMR-300 being developed </w:t>
      </w:r>
      <w:r w:rsidR="00642FDA">
        <w:rPr>
          <w:rFonts w:asciiTheme="minorBidi" w:hAnsiTheme="minorBidi"/>
          <w:szCs w:val="24"/>
        </w:rPr>
        <w:t>against US</w:t>
      </w:r>
      <w:r w:rsidR="000933CE">
        <w:rPr>
          <w:rFonts w:asciiTheme="minorBidi" w:hAnsiTheme="minorBidi"/>
          <w:szCs w:val="24"/>
        </w:rPr>
        <w:t xml:space="preserve"> Nuclear Regulatory Commission</w:t>
      </w:r>
      <w:r w:rsidR="00642FDA">
        <w:rPr>
          <w:rFonts w:asciiTheme="minorBidi" w:hAnsiTheme="minorBidi"/>
          <w:szCs w:val="24"/>
        </w:rPr>
        <w:t xml:space="preserve"> requirements </w:t>
      </w:r>
      <w:r w:rsidR="00F334C8">
        <w:rPr>
          <w:rFonts w:asciiTheme="minorBidi" w:hAnsiTheme="minorBidi"/>
          <w:szCs w:val="24"/>
        </w:rPr>
        <w:t xml:space="preserve">for deployment at the </w:t>
      </w:r>
      <w:r w:rsidR="00C93550">
        <w:rPr>
          <w:rFonts w:asciiTheme="minorBidi" w:hAnsiTheme="minorBidi"/>
          <w:szCs w:val="24"/>
        </w:rPr>
        <w:t>Palisades</w:t>
      </w:r>
      <w:r w:rsidR="00F334C8">
        <w:rPr>
          <w:rFonts w:asciiTheme="minorBidi" w:hAnsiTheme="minorBidi"/>
          <w:szCs w:val="24"/>
        </w:rPr>
        <w:t xml:space="preserve"> site in Michigan USA.</w:t>
      </w:r>
      <w:r w:rsidR="00543296" w:rsidRPr="00543296">
        <w:rPr>
          <w:rFonts w:asciiTheme="minorBidi" w:hAnsiTheme="minorBidi"/>
          <w:szCs w:val="24"/>
        </w:rPr>
        <w:t xml:space="preserve"> </w:t>
      </w:r>
      <w:r w:rsidR="00382E04" w:rsidRPr="00BD19B2">
        <w:rPr>
          <w:rFonts w:asciiTheme="minorBidi" w:hAnsiTheme="minorBidi"/>
          <w:szCs w:val="24"/>
        </w:rPr>
        <w:t>For the purposes of this GDA the RP has stated that the SMR-300 is at an advanced concept design stage.</w:t>
      </w:r>
    </w:p>
    <w:p w14:paraId="22701B75" w14:textId="044C1B2D" w:rsidR="00BD19B2" w:rsidRPr="00BD19B2" w:rsidRDefault="00BD19B2" w:rsidP="00BD19B2">
      <w:pPr>
        <w:rPr>
          <w:rFonts w:asciiTheme="minorBidi" w:hAnsiTheme="minorBidi"/>
          <w:szCs w:val="24"/>
        </w:rPr>
      </w:pPr>
      <w:r w:rsidRPr="00BD19B2">
        <w:rPr>
          <w:rFonts w:asciiTheme="minorBidi" w:hAnsiTheme="minorBidi"/>
          <w:szCs w:val="24"/>
        </w:rPr>
        <w:t xml:space="preserve">In some areas the SMR-300 design has continued to be developed in parallel with our regulatory assessment during GDA. </w:t>
      </w:r>
      <w:r w:rsidR="00B83D2D">
        <w:rPr>
          <w:rFonts w:asciiTheme="minorBidi" w:hAnsiTheme="minorBidi"/>
          <w:szCs w:val="24"/>
        </w:rPr>
        <w:t xml:space="preserve">Where sufficient detail was available, these changes were accommodated </w:t>
      </w:r>
      <w:r w:rsidR="00612CD2">
        <w:rPr>
          <w:rFonts w:asciiTheme="minorBidi" w:hAnsiTheme="minorBidi"/>
          <w:szCs w:val="24"/>
        </w:rPr>
        <w:t xml:space="preserve">with the scope of GDA. </w:t>
      </w:r>
      <w:r w:rsidRPr="00BD19B2">
        <w:rPr>
          <w:rFonts w:asciiTheme="minorBidi" w:hAnsiTheme="minorBidi"/>
          <w:szCs w:val="24"/>
        </w:rPr>
        <w:t xml:space="preserve">Some of the developments </w:t>
      </w:r>
      <w:r w:rsidR="00612CD2">
        <w:rPr>
          <w:rFonts w:asciiTheme="minorBidi" w:hAnsiTheme="minorBidi"/>
          <w:szCs w:val="24"/>
        </w:rPr>
        <w:t>were</w:t>
      </w:r>
      <w:r w:rsidRPr="00BD19B2">
        <w:rPr>
          <w:rFonts w:asciiTheme="minorBidi" w:hAnsiTheme="minorBidi"/>
          <w:szCs w:val="24"/>
        </w:rPr>
        <w:t xml:space="preserve"> significant, but were not mature enough for the RP to include them into GDA. </w:t>
      </w:r>
      <w:r w:rsidRPr="002C326D">
        <w:rPr>
          <w:rFonts w:asciiTheme="minorBidi" w:hAnsiTheme="minorBidi"/>
          <w:szCs w:val="24"/>
        </w:rPr>
        <w:t xml:space="preserve">This has limited our assessment of those aspects in the knowledge that they are changing and </w:t>
      </w:r>
      <w:r w:rsidR="00A225F6">
        <w:rPr>
          <w:rFonts w:asciiTheme="minorBidi" w:hAnsiTheme="minorBidi"/>
          <w:szCs w:val="24"/>
        </w:rPr>
        <w:t xml:space="preserve">assessing the current design gives no benefit to </w:t>
      </w:r>
      <w:r w:rsidR="001F1FBA">
        <w:rPr>
          <w:rFonts w:asciiTheme="minorBidi" w:hAnsiTheme="minorBidi"/>
          <w:szCs w:val="24"/>
        </w:rPr>
        <w:t>the RP or ONR</w:t>
      </w:r>
      <w:r w:rsidRPr="002C326D">
        <w:rPr>
          <w:rFonts w:asciiTheme="minorBidi" w:hAnsiTheme="minorBidi"/>
          <w:szCs w:val="24"/>
        </w:rPr>
        <w:t>.</w:t>
      </w:r>
      <w:r w:rsidRPr="00BD19B2">
        <w:rPr>
          <w:rFonts w:asciiTheme="minorBidi" w:hAnsiTheme="minorBidi"/>
          <w:szCs w:val="24"/>
        </w:rPr>
        <w:t xml:space="preserve">     </w:t>
      </w:r>
    </w:p>
    <w:p w14:paraId="488291D2" w14:textId="559F2FA4" w:rsidR="00BC58BF" w:rsidRDefault="001E4BC6" w:rsidP="00BD19B2">
      <w:pPr>
        <w:rPr>
          <w:rFonts w:asciiTheme="minorBidi" w:hAnsiTheme="minorBidi"/>
          <w:szCs w:val="24"/>
        </w:rPr>
      </w:pPr>
      <w:r>
        <w:rPr>
          <w:rFonts w:asciiTheme="minorBidi" w:hAnsiTheme="minorBidi"/>
          <w:szCs w:val="24"/>
        </w:rPr>
        <w:t xml:space="preserve">Whilst the overall design and </w:t>
      </w:r>
      <w:r w:rsidR="00B260B8">
        <w:rPr>
          <w:rFonts w:asciiTheme="minorBidi" w:hAnsiTheme="minorBidi"/>
          <w:szCs w:val="24"/>
        </w:rPr>
        <w:t>SSEC were sufficiently mature for us to conduct a meaningful assessment, t</w:t>
      </w:r>
      <w:r w:rsidR="00BD19B2" w:rsidRPr="00BD19B2">
        <w:rPr>
          <w:rFonts w:asciiTheme="minorBidi" w:hAnsiTheme="minorBidi"/>
          <w:szCs w:val="24"/>
        </w:rPr>
        <w:t>he relative immaturity of some aspects of the design and safety analysis has impacted our ability to determine the adequacy of those aspects.</w:t>
      </w:r>
      <w:r w:rsidR="008D4F60">
        <w:rPr>
          <w:rFonts w:asciiTheme="minorBidi" w:hAnsiTheme="minorBidi"/>
          <w:szCs w:val="24"/>
        </w:rPr>
        <w:t xml:space="preserve"> </w:t>
      </w:r>
      <w:r w:rsidR="00BD19B2" w:rsidRPr="00BD19B2">
        <w:rPr>
          <w:rFonts w:asciiTheme="minorBidi" w:hAnsiTheme="minorBidi"/>
          <w:szCs w:val="24"/>
        </w:rPr>
        <w:t xml:space="preserve">The specific areas where this occurred, and their significance for our assessment, are detailed in the topic assessment reports and </w:t>
      </w:r>
      <w:r w:rsidR="00A0334F">
        <w:rPr>
          <w:rFonts w:asciiTheme="minorBidi" w:hAnsiTheme="minorBidi"/>
          <w:szCs w:val="24"/>
        </w:rPr>
        <w:t>summary report</w:t>
      </w:r>
      <w:r w:rsidR="00BD19B2" w:rsidRPr="00BD19B2">
        <w:rPr>
          <w:rFonts w:asciiTheme="minorBidi" w:hAnsiTheme="minorBidi"/>
          <w:szCs w:val="24"/>
        </w:rPr>
        <w:t>.</w:t>
      </w:r>
    </w:p>
    <w:p w14:paraId="2ACCCA04" w14:textId="72D854D3" w:rsidR="00BC58BF" w:rsidRPr="00D71470" w:rsidRDefault="00BC58BF" w:rsidP="00C31622">
      <w:pPr>
        <w:keepNext/>
        <w:rPr>
          <w:rFonts w:cs="Arial"/>
          <w:b/>
          <w:bCs/>
          <w:szCs w:val="24"/>
        </w:rPr>
      </w:pPr>
      <w:r w:rsidRPr="08C1E0BD">
        <w:rPr>
          <w:rFonts w:cs="Arial"/>
          <w:b/>
          <w:bCs/>
          <w:szCs w:val="24"/>
        </w:rPr>
        <w:lastRenderedPageBreak/>
        <w:t>Scope</w:t>
      </w:r>
    </w:p>
    <w:p w14:paraId="5BF43F59" w14:textId="556C4D07" w:rsidR="006C7E3D" w:rsidRDefault="009164B4" w:rsidP="00BC58BF">
      <w:pPr>
        <w:pStyle w:val="Numberedparagraph"/>
        <w:numPr>
          <w:ilvl w:val="0"/>
          <w:numId w:val="0"/>
        </w:numPr>
      </w:pPr>
      <w:r>
        <w:t xml:space="preserve">The </w:t>
      </w:r>
      <w:r w:rsidR="004A72C8">
        <w:t>assessment was against the GDA scope</w:t>
      </w:r>
      <w:r w:rsidR="00D365F7">
        <w:t xml:space="preserve"> which was agreed between the RP and ONR</w:t>
      </w:r>
      <w:r w:rsidR="00871A5F">
        <w:t>, this is</w:t>
      </w:r>
      <w:r>
        <w:t xml:space="preserve"> set out in </w:t>
      </w:r>
      <w:r w:rsidRPr="00A24679">
        <w:t xml:space="preserve">the </w:t>
      </w:r>
      <w:r w:rsidR="00BD784A">
        <w:t>Preliminary Safety Report Chapters A1 and A2</w:t>
      </w:r>
      <w:r w:rsidRPr="00A24679">
        <w:t xml:space="preserve"> </w:t>
      </w:r>
      <w:r w:rsidR="00B106C4" w:rsidRPr="006A214B">
        <w:rPr>
          <w:szCs w:val="24"/>
        </w:rPr>
        <w:t>(ref</w:t>
      </w:r>
      <w:r w:rsidR="00903E6F">
        <w:rPr>
          <w:szCs w:val="24"/>
        </w:rPr>
        <w:t>s</w:t>
      </w:r>
      <w:r w:rsidR="00B106C4" w:rsidRPr="006A214B">
        <w:rPr>
          <w:szCs w:val="24"/>
        </w:rPr>
        <w:t>.</w:t>
      </w:r>
      <w:sdt>
        <w:sdtPr>
          <w:rPr>
            <w:szCs w:val="24"/>
          </w:rPr>
          <w:id w:val="364027505"/>
          <w:citation/>
        </w:sdtPr>
        <w:sdtEndPr/>
        <w:sdtContent>
          <w:r w:rsidR="00903E6F">
            <w:rPr>
              <w:szCs w:val="24"/>
            </w:rPr>
            <w:fldChar w:fldCharType="begin"/>
          </w:r>
          <w:r w:rsidR="00903E6F">
            <w:rPr>
              <w:szCs w:val="24"/>
            </w:rPr>
            <w:instrText xml:space="preserve"> CITATION PSRChapterA1 \l 2057 </w:instrText>
          </w:r>
          <w:r w:rsidR="00903E6F">
            <w:rPr>
              <w:szCs w:val="24"/>
            </w:rPr>
            <w:fldChar w:fldCharType="separate"/>
          </w:r>
          <w:r w:rsidR="00DC7D56">
            <w:rPr>
              <w:noProof/>
              <w:szCs w:val="24"/>
            </w:rPr>
            <w:t xml:space="preserve"> </w:t>
          </w:r>
          <w:r w:rsidR="00DC7D56" w:rsidRPr="00DC7D56">
            <w:rPr>
              <w:noProof/>
              <w:szCs w:val="24"/>
            </w:rPr>
            <w:t>[5]</w:t>
          </w:r>
          <w:r w:rsidR="00903E6F">
            <w:rPr>
              <w:szCs w:val="24"/>
            </w:rPr>
            <w:fldChar w:fldCharType="end"/>
          </w:r>
        </w:sdtContent>
      </w:sdt>
      <w:r w:rsidR="00903E6F">
        <w:rPr>
          <w:szCs w:val="24"/>
        </w:rPr>
        <w:t xml:space="preserve"> and </w:t>
      </w:r>
      <w:sdt>
        <w:sdtPr>
          <w:rPr>
            <w:szCs w:val="24"/>
          </w:rPr>
          <w:id w:val="1247072400"/>
          <w:citation/>
        </w:sdtPr>
        <w:sdtEndPr/>
        <w:sdtContent>
          <w:r w:rsidR="00903E6F">
            <w:rPr>
              <w:szCs w:val="24"/>
            </w:rPr>
            <w:fldChar w:fldCharType="begin"/>
          </w:r>
          <w:r w:rsidR="00903E6F">
            <w:rPr>
              <w:szCs w:val="24"/>
            </w:rPr>
            <w:instrText xml:space="preserve"> CITATION PSRChapterA2 \l 2057 </w:instrText>
          </w:r>
          <w:r w:rsidR="00903E6F">
            <w:rPr>
              <w:szCs w:val="24"/>
            </w:rPr>
            <w:fldChar w:fldCharType="separate"/>
          </w:r>
          <w:r w:rsidR="00DC7D56" w:rsidRPr="00DC7D56">
            <w:rPr>
              <w:noProof/>
              <w:szCs w:val="24"/>
            </w:rPr>
            <w:t>[6]</w:t>
          </w:r>
          <w:r w:rsidR="00903E6F">
            <w:rPr>
              <w:szCs w:val="24"/>
            </w:rPr>
            <w:fldChar w:fldCharType="end"/>
          </w:r>
        </w:sdtContent>
      </w:sdt>
      <w:r w:rsidR="00B106C4">
        <w:rPr>
          <w:szCs w:val="24"/>
        </w:rPr>
        <w:t>),</w:t>
      </w:r>
      <w:r w:rsidR="00B106C4" w:rsidRPr="006A214B">
        <w:rPr>
          <w:szCs w:val="24"/>
        </w:rPr>
        <w:t xml:space="preserve"> </w:t>
      </w:r>
      <w:r w:rsidR="00BB25B6">
        <w:rPr>
          <w:szCs w:val="24"/>
        </w:rPr>
        <w:t xml:space="preserve">Design Reference </w:t>
      </w:r>
      <w:r w:rsidR="00903E6F">
        <w:rPr>
          <w:szCs w:val="24"/>
        </w:rPr>
        <w:t>Point</w:t>
      </w:r>
      <w:r w:rsidR="00BB25B6">
        <w:rPr>
          <w:szCs w:val="24"/>
        </w:rPr>
        <w:t xml:space="preserve"> </w:t>
      </w:r>
      <w:r w:rsidR="00675D6B" w:rsidRPr="00FE7AC1">
        <w:rPr>
          <w:szCs w:val="24"/>
        </w:rPr>
        <w:t>(ref.</w:t>
      </w:r>
      <w:sdt>
        <w:sdtPr>
          <w:rPr>
            <w:szCs w:val="24"/>
          </w:rPr>
          <w:id w:val="416210960"/>
          <w:citation/>
        </w:sdtPr>
        <w:sdtEndPr/>
        <w:sdtContent>
          <w:r w:rsidR="00903E6F">
            <w:rPr>
              <w:szCs w:val="24"/>
            </w:rPr>
            <w:fldChar w:fldCharType="begin"/>
          </w:r>
          <w:r w:rsidR="00903E6F">
            <w:rPr>
              <w:szCs w:val="24"/>
            </w:rPr>
            <w:instrText xml:space="preserve"> CITATION DRP \l 2057 </w:instrText>
          </w:r>
          <w:r w:rsidR="00903E6F">
            <w:rPr>
              <w:szCs w:val="24"/>
            </w:rPr>
            <w:fldChar w:fldCharType="separate"/>
          </w:r>
          <w:r w:rsidR="00DC7D56">
            <w:rPr>
              <w:noProof/>
              <w:szCs w:val="24"/>
            </w:rPr>
            <w:t xml:space="preserve"> </w:t>
          </w:r>
          <w:r w:rsidR="00DC7D56" w:rsidRPr="00DC7D56">
            <w:rPr>
              <w:noProof/>
              <w:szCs w:val="24"/>
            </w:rPr>
            <w:t>[4]</w:t>
          </w:r>
          <w:r w:rsidR="00903E6F">
            <w:rPr>
              <w:szCs w:val="24"/>
            </w:rPr>
            <w:fldChar w:fldCharType="end"/>
          </w:r>
        </w:sdtContent>
      </w:sdt>
      <w:r w:rsidR="00675D6B" w:rsidRPr="00FE7AC1">
        <w:rPr>
          <w:szCs w:val="24"/>
        </w:rPr>
        <w:t>)</w:t>
      </w:r>
      <w:r w:rsidR="00BB25B6">
        <w:rPr>
          <w:szCs w:val="24"/>
        </w:rPr>
        <w:t xml:space="preserve">, and Master Document Submission List </w:t>
      </w:r>
      <w:r w:rsidR="00675D6B">
        <w:t>(ref.</w:t>
      </w:r>
      <w:sdt>
        <w:sdtPr>
          <w:id w:val="-1133400337"/>
          <w:citation/>
        </w:sdtPr>
        <w:sdtEndPr/>
        <w:sdtContent>
          <w:r w:rsidR="00903E6F">
            <w:fldChar w:fldCharType="begin"/>
          </w:r>
          <w:r w:rsidR="009204CD">
            <w:instrText xml:space="preserve">CITATION MDSL \l 2057 </w:instrText>
          </w:r>
          <w:r w:rsidR="00903E6F">
            <w:fldChar w:fldCharType="separate"/>
          </w:r>
          <w:r w:rsidR="009204CD">
            <w:rPr>
              <w:noProof/>
            </w:rPr>
            <w:t xml:space="preserve"> </w:t>
          </w:r>
          <w:r w:rsidR="009204CD" w:rsidRPr="009204CD">
            <w:rPr>
              <w:noProof/>
            </w:rPr>
            <w:t>[3]</w:t>
          </w:r>
          <w:r w:rsidR="00903E6F">
            <w:fldChar w:fldCharType="end"/>
          </w:r>
        </w:sdtContent>
      </w:sdt>
      <w:r w:rsidR="00675D6B">
        <w:t>)</w:t>
      </w:r>
      <w:r w:rsidR="00982CC7">
        <w:t>.</w:t>
      </w:r>
      <w:r w:rsidR="00982CC7" w:rsidRPr="00A24679">
        <w:t xml:space="preserve"> </w:t>
      </w:r>
    </w:p>
    <w:p w14:paraId="4EF86606" w14:textId="17B8BE3B" w:rsidR="00F96825" w:rsidRPr="00D71470" w:rsidRDefault="006C7E3D" w:rsidP="006C7E3D">
      <w:pPr>
        <w:pStyle w:val="Numberedparagraph"/>
        <w:numPr>
          <w:ilvl w:val="0"/>
          <w:numId w:val="0"/>
        </w:numPr>
        <w:rPr>
          <w:szCs w:val="24"/>
        </w:rPr>
      </w:pPr>
      <w:r w:rsidRPr="006C7E3D">
        <w:rPr>
          <w:szCs w:val="24"/>
        </w:rPr>
        <w:t>We have assessed submissions made across 21 topics, covering all of our statutory purposes relevant to GDA.</w:t>
      </w:r>
      <w:r w:rsidR="00BC58BF" w:rsidRPr="00D71470">
        <w:rPr>
          <w:szCs w:val="24"/>
        </w:rPr>
        <w:t xml:space="preserve"> </w:t>
      </w:r>
    </w:p>
    <w:p w14:paraId="592CD902" w14:textId="23FADEF3" w:rsidR="00F503B3" w:rsidRDefault="00895025" w:rsidP="00A71E12">
      <w:pPr>
        <w:pStyle w:val="Numberedparagraph"/>
        <w:numPr>
          <w:ilvl w:val="0"/>
          <w:numId w:val="0"/>
        </w:numPr>
        <w:rPr>
          <w:szCs w:val="24"/>
        </w:rPr>
      </w:pPr>
      <w:r w:rsidRPr="003417D6">
        <w:t xml:space="preserve">The GDA process </w:t>
      </w:r>
      <w:r w:rsidR="00A67087" w:rsidRPr="00A90739">
        <w:rPr>
          <w:szCs w:val="24"/>
        </w:rPr>
        <w:t>(ref.</w:t>
      </w:r>
      <w:sdt>
        <w:sdtPr>
          <w:rPr>
            <w:szCs w:val="24"/>
          </w:rPr>
          <w:id w:val="1707835525"/>
          <w:citation/>
        </w:sdtPr>
        <w:sdtEndPr/>
        <w:sdtContent>
          <w:r w:rsidR="00A67087" w:rsidRPr="00A90739">
            <w:rPr>
              <w:szCs w:val="24"/>
            </w:rPr>
            <w:fldChar w:fldCharType="begin"/>
          </w:r>
          <w:r w:rsidR="00A67087" w:rsidRPr="00A90739">
            <w:rPr>
              <w:szCs w:val="24"/>
            </w:rPr>
            <w:instrText xml:space="preserve">CITATION ONRcx \l 2057 </w:instrText>
          </w:r>
          <w:r w:rsidR="00A67087" w:rsidRPr="00A90739">
            <w:rPr>
              <w:szCs w:val="24"/>
            </w:rPr>
            <w:fldChar w:fldCharType="separate"/>
          </w:r>
          <w:r w:rsidR="00DC7D56">
            <w:rPr>
              <w:noProof/>
              <w:szCs w:val="24"/>
            </w:rPr>
            <w:t xml:space="preserve"> </w:t>
          </w:r>
          <w:r w:rsidR="00DC7D56" w:rsidRPr="00DC7D56">
            <w:rPr>
              <w:noProof/>
              <w:szCs w:val="24"/>
            </w:rPr>
            <w:t>[1]</w:t>
          </w:r>
          <w:r w:rsidR="00A67087" w:rsidRPr="00A90739">
            <w:rPr>
              <w:szCs w:val="24"/>
            </w:rPr>
            <w:fldChar w:fldCharType="end"/>
          </w:r>
        </w:sdtContent>
      </w:sdt>
      <w:r w:rsidR="00A67087" w:rsidRPr="00A90739">
        <w:rPr>
          <w:szCs w:val="24"/>
        </w:rPr>
        <w:t>)</w:t>
      </w:r>
      <w:r>
        <w:t xml:space="preserve">, </w:t>
      </w:r>
      <w:r w:rsidR="00FE06AC" w:rsidRPr="00A24679">
        <w:t xml:space="preserve">includes the option for </w:t>
      </w:r>
      <w:r w:rsidR="005A4A85">
        <w:t xml:space="preserve">a </w:t>
      </w:r>
      <w:r w:rsidR="00FE06AC" w:rsidRPr="00A24679">
        <w:t>further detailed Step 3 assessment of a reactor</w:t>
      </w:r>
      <w:r w:rsidR="00FE06AC">
        <w:t xml:space="preserve"> technology with the objective of securing a Design Acceptance Confirmation (DAC). However, the RP has chosen to stop GDA at the end of Step 2 with no </w:t>
      </w:r>
      <w:r w:rsidR="00690FD4">
        <w:t xml:space="preserve">current </w:t>
      </w:r>
      <w:r w:rsidR="00FE06AC">
        <w:t>plans to undertake Step 3.</w:t>
      </w:r>
      <w:r w:rsidR="008800F6" w:rsidRPr="008800F6">
        <w:rPr>
          <w:szCs w:val="24"/>
        </w:rPr>
        <w:t>  </w:t>
      </w:r>
    </w:p>
    <w:p w14:paraId="0D6EBCCC" w14:textId="48C6D390" w:rsidR="00BC58BF" w:rsidRPr="001645BD" w:rsidRDefault="001645BD" w:rsidP="00BE771B">
      <w:r>
        <w:t>The SS</w:t>
      </w:r>
      <w:r w:rsidR="00A44A8C">
        <w:t>EC</w:t>
      </w:r>
      <w:r>
        <w:t xml:space="preserve"> has therefore been provided with the intention of providing sufficient information to support the objectives of GDA Step 2. It does not include all the design details, analysis and substantiation that would be required for a DAC, or to allow </w:t>
      </w:r>
      <w:r w:rsidR="00327F56">
        <w:t>construction of a power station based on the generic design to commence</w:t>
      </w:r>
      <w:r>
        <w:t xml:space="preserve">. Whilst </w:t>
      </w:r>
      <w:r w:rsidR="003300AF">
        <w:t xml:space="preserve">the project is </w:t>
      </w:r>
      <w:r w:rsidR="00327F56">
        <w:t>primarily</w:t>
      </w:r>
      <w:r w:rsidR="003300AF">
        <w:t xml:space="preserve"> being developed against USA regulatory standards, </w:t>
      </w:r>
      <w:r>
        <w:t xml:space="preserve">awareness is shown of </w:t>
      </w:r>
      <w:r w:rsidR="00327F56">
        <w:t xml:space="preserve">GB </w:t>
      </w:r>
      <w:r>
        <w:t>specific requirements and ONR regulatory expectations</w:t>
      </w:r>
      <w:r w:rsidR="003F7CA6">
        <w:t xml:space="preserve"> and how they may be met</w:t>
      </w:r>
      <w:r w:rsidR="00BC58BF" w:rsidRPr="001645BD">
        <w:t xml:space="preserve">. </w:t>
      </w:r>
    </w:p>
    <w:p w14:paraId="464CD913" w14:textId="77777777" w:rsidR="000F617E" w:rsidRPr="00D71470" w:rsidRDefault="000F617E" w:rsidP="000F617E">
      <w:pPr>
        <w:rPr>
          <w:rFonts w:cs="Arial"/>
          <w:b/>
          <w:bCs/>
          <w:szCs w:val="24"/>
        </w:rPr>
      </w:pPr>
      <w:r w:rsidRPr="00D71470">
        <w:rPr>
          <w:rFonts w:cs="Arial"/>
          <w:b/>
          <w:bCs/>
          <w:szCs w:val="24"/>
        </w:rPr>
        <w:t>Assessment outcomes</w:t>
      </w:r>
    </w:p>
    <w:p w14:paraId="339B1763" w14:textId="424E3B78" w:rsidR="0093027D" w:rsidRPr="0093027D" w:rsidRDefault="0093027D" w:rsidP="0093027D">
      <w:pPr>
        <w:pStyle w:val="Bulletlist1"/>
        <w:numPr>
          <w:ilvl w:val="0"/>
          <w:numId w:val="0"/>
        </w:numPr>
        <w:rPr>
          <w:rFonts w:eastAsia="Arial"/>
          <w:szCs w:val="24"/>
        </w:rPr>
      </w:pPr>
      <w:r w:rsidRPr="0093027D">
        <w:rPr>
          <w:rFonts w:eastAsia="Arial"/>
          <w:szCs w:val="24"/>
        </w:rPr>
        <w:t>Our Step 2 assessment has not identified any fundamental safety, security or safeguards shortfalls that could prevent ONR issuing a DAC (if the RP was to return to complete Step 3) or</w:t>
      </w:r>
      <w:r w:rsidR="007A1863">
        <w:rPr>
          <w:rFonts w:eastAsia="Arial"/>
          <w:szCs w:val="24"/>
        </w:rPr>
        <w:t xml:space="preserve"> granting</w:t>
      </w:r>
      <w:r w:rsidRPr="0093027D">
        <w:rPr>
          <w:rFonts w:eastAsia="Arial"/>
          <w:szCs w:val="24"/>
        </w:rPr>
        <w:t xml:space="preserve"> permission</w:t>
      </w:r>
      <w:r w:rsidR="003C13BC">
        <w:rPr>
          <w:rFonts w:eastAsia="Arial"/>
          <w:szCs w:val="24"/>
        </w:rPr>
        <w:t xml:space="preserve"> for</w:t>
      </w:r>
      <w:r w:rsidRPr="0093027D">
        <w:rPr>
          <w:rFonts w:eastAsia="Arial"/>
          <w:szCs w:val="24"/>
        </w:rPr>
        <w:t xml:space="preserve"> the construction of a power station based on the generic </w:t>
      </w:r>
      <w:r w:rsidR="007E65D0">
        <w:rPr>
          <w:rFonts w:eastAsia="Arial"/>
          <w:szCs w:val="24"/>
        </w:rPr>
        <w:t>SMR</w:t>
      </w:r>
      <w:r w:rsidRPr="0093027D">
        <w:rPr>
          <w:rFonts w:eastAsia="Arial"/>
          <w:szCs w:val="24"/>
        </w:rPr>
        <w:t xml:space="preserve">-300 design. This is based on our assessment of the submissions provided in Step 2 and is subject to the provision and assessment of suitable and sufficient supporting evidence as part of any future GDA or site-specific </w:t>
      </w:r>
      <w:r w:rsidR="007E65D0">
        <w:rPr>
          <w:rFonts w:eastAsia="Arial"/>
          <w:szCs w:val="24"/>
        </w:rPr>
        <w:t>SMR-</w:t>
      </w:r>
      <w:r w:rsidRPr="0093027D">
        <w:rPr>
          <w:rFonts w:eastAsia="Arial"/>
          <w:szCs w:val="24"/>
        </w:rPr>
        <w:t xml:space="preserve">300 regulatory interactions. </w:t>
      </w:r>
    </w:p>
    <w:p w14:paraId="5FDD0A2A" w14:textId="77777777" w:rsidR="0093027D" w:rsidRPr="00CC693E" w:rsidRDefault="0093027D" w:rsidP="0093027D">
      <w:pPr>
        <w:pStyle w:val="Bulletlist1"/>
        <w:numPr>
          <w:ilvl w:val="0"/>
          <w:numId w:val="0"/>
        </w:numPr>
        <w:rPr>
          <w:rFonts w:asciiTheme="minorBidi" w:eastAsia="Arial" w:hAnsiTheme="minorBidi" w:cstheme="minorBidi"/>
          <w:szCs w:val="24"/>
        </w:rPr>
      </w:pPr>
      <w:r w:rsidRPr="00CC693E">
        <w:rPr>
          <w:rFonts w:asciiTheme="minorBidi" w:eastAsia="Arial" w:hAnsiTheme="minorBidi" w:cstheme="minorBidi"/>
          <w:szCs w:val="24"/>
        </w:rPr>
        <w:t>We have not identified any potential conflicts with relevant government policy at this time. </w:t>
      </w:r>
    </w:p>
    <w:p w14:paraId="2749149C" w14:textId="77777777" w:rsidR="0086454D" w:rsidRDefault="00603687" w:rsidP="004E3EB1">
      <w:r w:rsidRPr="00603687">
        <w:t>The SSEC submitted in Step 2 was to an acceptable</w:t>
      </w:r>
      <w:r w:rsidR="0058415D">
        <w:t xml:space="preserve"> </w:t>
      </w:r>
      <w:r w:rsidRPr="00603687">
        <w:t>quality and reflected the operating experience and expertise in the nuclear industry of Holtec International, the designer of the SMR-300. The SSEC was comprehensive, logical, and suitably structured, and we consider it provides the RP with a basis to support the ongoing development of the SMR-300.</w:t>
      </w:r>
      <w:r w:rsidR="0058415D">
        <w:t xml:space="preserve"> </w:t>
      </w:r>
    </w:p>
    <w:p w14:paraId="11611BA1" w14:textId="5E069D18" w:rsidR="0058415D" w:rsidRDefault="005A7612" w:rsidP="004E3EB1">
      <w:pPr>
        <w:rPr>
          <w:rFonts w:asciiTheme="minorBidi" w:hAnsiTheme="minorBidi"/>
          <w:szCs w:val="24"/>
        </w:rPr>
      </w:pPr>
      <w:r w:rsidRPr="005A7612">
        <w:rPr>
          <w:rFonts w:asciiTheme="minorBidi" w:hAnsiTheme="minorBidi"/>
          <w:szCs w:val="24"/>
        </w:rPr>
        <w:t xml:space="preserve">We have raised 14 regulatory observations during this GDA. The RP has produced credible </w:t>
      </w:r>
      <w:r w:rsidR="00633624">
        <w:rPr>
          <w:rFonts w:asciiTheme="minorBidi" w:hAnsiTheme="minorBidi"/>
          <w:szCs w:val="24"/>
        </w:rPr>
        <w:t xml:space="preserve">resolution plans </w:t>
      </w:r>
      <w:r w:rsidRPr="005A7612">
        <w:rPr>
          <w:rFonts w:asciiTheme="minorBidi" w:hAnsiTheme="minorBidi"/>
          <w:szCs w:val="24"/>
        </w:rPr>
        <w:t>for all of the</w:t>
      </w:r>
      <w:r w:rsidR="00633624">
        <w:rPr>
          <w:rFonts w:asciiTheme="minorBidi" w:hAnsiTheme="minorBidi"/>
          <w:szCs w:val="24"/>
        </w:rPr>
        <w:t xml:space="preserve"> regulatory observations</w:t>
      </w:r>
      <w:r w:rsidRPr="005A7612">
        <w:rPr>
          <w:rFonts w:asciiTheme="minorBidi" w:hAnsiTheme="minorBidi"/>
          <w:szCs w:val="24"/>
        </w:rPr>
        <w:t xml:space="preserve">, to </w:t>
      </w:r>
      <w:r w:rsidR="00633624">
        <w:rPr>
          <w:rFonts w:asciiTheme="minorBidi" w:hAnsiTheme="minorBidi"/>
          <w:szCs w:val="24"/>
        </w:rPr>
        <w:t>which we have agreed</w:t>
      </w:r>
      <w:r w:rsidRPr="005A7612">
        <w:rPr>
          <w:rFonts w:asciiTheme="minorBidi" w:hAnsiTheme="minorBidi"/>
          <w:szCs w:val="24"/>
        </w:rPr>
        <w:t>. If adequately implemented, we consider the work identified by the RP should be sufficient</w:t>
      </w:r>
      <w:r w:rsidR="00633624">
        <w:rPr>
          <w:rFonts w:asciiTheme="minorBidi" w:hAnsiTheme="minorBidi"/>
          <w:szCs w:val="24"/>
        </w:rPr>
        <w:t xml:space="preserve"> to resolve </w:t>
      </w:r>
      <w:r w:rsidRPr="005A7612">
        <w:rPr>
          <w:rFonts w:asciiTheme="minorBidi" w:hAnsiTheme="minorBidi"/>
          <w:szCs w:val="24"/>
        </w:rPr>
        <w:t>our concerns and support a future design and safety case demonstration</w:t>
      </w:r>
      <w:r>
        <w:rPr>
          <w:rFonts w:asciiTheme="minorBidi" w:hAnsiTheme="minorBidi"/>
          <w:szCs w:val="24"/>
        </w:rPr>
        <w:t xml:space="preserve">. </w:t>
      </w:r>
    </w:p>
    <w:p w14:paraId="3D4A3A96" w14:textId="60BC3C98" w:rsidR="004A4330" w:rsidRDefault="00633624" w:rsidP="00804479">
      <w:pPr>
        <w:keepNext/>
        <w:rPr>
          <w:rFonts w:asciiTheme="minorBidi" w:hAnsiTheme="minorBidi"/>
          <w:szCs w:val="24"/>
        </w:rPr>
      </w:pPr>
      <w:r>
        <w:rPr>
          <w:rFonts w:asciiTheme="minorBidi" w:hAnsiTheme="minorBidi"/>
          <w:szCs w:val="24"/>
        </w:rPr>
        <w:lastRenderedPageBreak/>
        <w:t xml:space="preserve">The </w:t>
      </w:r>
      <w:r w:rsidR="0070069D">
        <w:rPr>
          <w:rFonts w:asciiTheme="minorBidi" w:hAnsiTheme="minorBidi"/>
          <w:szCs w:val="24"/>
        </w:rPr>
        <w:t>14</w:t>
      </w:r>
      <w:r>
        <w:rPr>
          <w:rFonts w:asciiTheme="minorBidi" w:hAnsiTheme="minorBidi"/>
          <w:szCs w:val="24"/>
        </w:rPr>
        <w:t xml:space="preserve"> regulatory observations raised are</w:t>
      </w:r>
      <w:r w:rsidR="00B22E10">
        <w:rPr>
          <w:rFonts w:asciiTheme="minorBidi" w:hAnsiTheme="minorBidi"/>
          <w:szCs w:val="24"/>
        </w:rPr>
        <w:t xml:space="preserve"> in the following areas</w:t>
      </w:r>
      <w:r>
        <w:rPr>
          <w:rFonts w:asciiTheme="minorBidi" w:hAnsiTheme="minorBidi"/>
          <w:szCs w:val="24"/>
        </w:rPr>
        <w:t>:</w:t>
      </w:r>
    </w:p>
    <w:p w14:paraId="28217D8A" w14:textId="1398C698"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Diverse actuation systems</w:t>
      </w:r>
    </w:p>
    <w:p w14:paraId="27D9E223" w14:textId="6707609A"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Secondary means of reactor shutdown</w:t>
      </w:r>
    </w:p>
    <w:p w14:paraId="6CC52BBC" w14:textId="2111D44E"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Provision of defence in depth measures for prevention of high pressure melt ejection</w:t>
      </w:r>
    </w:p>
    <w:p w14:paraId="632BAF06" w14:textId="440A7E71"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Containment penetration isolation on secondary decay heat removal systems</w:t>
      </w:r>
    </w:p>
    <w:p w14:paraId="1DE67065" w14:textId="61A1812D"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Fuel rod burnup</w:t>
      </w:r>
    </w:p>
    <w:p w14:paraId="2C7285CB" w14:textId="0BE58A2C"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Design assessment approach for the containment structure</w:t>
      </w:r>
    </w:p>
    <w:p w14:paraId="408391F1" w14:textId="7FF25FE5"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Adequacy of internal hazards analysis to support the containment structure design</w:t>
      </w:r>
    </w:p>
    <w:p w14:paraId="1282922F" w14:textId="1055D0F3"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Ageing and degradation considerations for the material selection process</w:t>
      </w:r>
    </w:p>
    <w:p w14:paraId="362EE16D" w14:textId="473DBE63"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Methodology for assessing the risk of brittle facture and design life of the reactor pressure vessel</w:t>
      </w:r>
    </w:p>
    <w:p w14:paraId="3F8AEFF5" w14:textId="26BDBA14"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Probabilistic safety analysis methodologies</w:t>
      </w:r>
    </w:p>
    <w:p w14:paraId="50247048" w14:textId="57984A23"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Fault analysis maturity</w:t>
      </w:r>
    </w:p>
    <w:p w14:paraId="20F451AD" w14:textId="0860F563"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Adequacy of requirements management arrangements</w:t>
      </w:r>
    </w:p>
    <w:p w14:paraId="57EE1351" w14:textId="0AB2942F" w:rsidR="00D14E23" w:rsidRPr="0032080A"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Control and instrumentation architecture</w:t>
      </w:r>
    </w:p>
    <w:p w14:paraId="6367F07A" w14:textId="7FEB91E8" w:rsidR="00D14E23" w:rsidRDefault="00D14E23" w:rsidP="00D14E23">
      <w:pPr>
        <w:pStyle w:val="ListParagraph"/>
        <w:numPr>
          <w:ilvl w:val="0"/>
          <w:numId w:val="23"/>
        </w:numPr>
        <w:spacing w:after="0" w:line="240" w:lineRule="auto"/>
        <w:rPr>
          <w:rFonts w:eastAsia="Calibri" w:cs="Arial"/>
          <w:szCs w:val="24"/>
          <w:lang w:bidi="he-IL"/>
        </w:rPr>
      </w:pPr>
      <w:r w:rsidRPr="0032080A">
        <w:rPr>
          <w:rFonts w:eastAsia="Calibri" w:cs="Arial"/>
          <w:szCs w:val="24"/>
          <w:lang w:bidi="he-IL"/>
        </w:rPr>
        <w:t>Design methodology for the justification of concrete strengthened steel modules</w:t>
      </w:r>
    </w:p>
    <w:p w14:paraId="22717B1B" w14:textId="77777777" w:rsidR="003F470F" w:rsidRPr="0032080A" w:rsidRDefault="003F470F" w:rsidP="00D14E23">
      <w:pPr>
        <w:pStyle w:val="ListParagraph"/>
        <w:spacing w:after="0" w:line="240" w:lineRule="auto"/>
        <w:rPr>
          <w:rFonts w:eastAsia="Calibri" w:cs="Arial"/>
          <w:szCs w:val="24"/>
          <w:lang w:bidi="he-IL"/>
        </w:rPr>
      </w:pPr>
    </w:p>
    <w:p w14:paraId="512A4B49" w14:textId="1A4B1D32" w:rsidR="003F470F" w:rsidRDefault="00ED7E8F" w:rsidP="008E3A77">
      <w:pPr>
        <w:rPr>
          <w:rFonts w:asciiTheme="minorBidi" w:hAnsiTheme="minorBidi"/>
          <w:szCs w:val="24"/>
        </w:rPr>
      </w:pPr>
      <w:r>
        <w:rPr>
          <w:rFonts w:asciiTheme="minorBidi" w:hAnsiTheme="minorBidi"/>
          <w:szCs w:val="24"/>
        </w:rPr>
        <w:t xml:space="preserve">At the end of Step 2 these regulatory observations remain to be resolved. </w:t>
      </w:r>
      <w:r w:rsidR="00594AAE">
        <w:rPr>
          <w:rFonts w:asciiTheme="minorBidi" w:hAnsiTheme="minorBidi"/>
          <w:szCs w:val="24"/>
        </w:rPr>
        <w:t xml:space="preserve">If the RP undertakes the work it has identified and incorporates this into </w:t>
      </w:r>
      <w:r w:rsidR="007D22BE">
        <w:rPr>
          <w:rFonts w:asciiTheme="minorBidi" w:hAnsiTheme="minorBidi"/>
          <w:szCs w:val="24"/>
        </w:rPr>
        <w:t xml:space="preserve">a future design and SSEC the </w:t>
      </w:r>
      <w:r w:rsidR="001F371A">
        <w:rPr>
          <w:rFonts w:asciiTheme="minorBidi" w:hAnsiTheme="minorBidi"/>
          <w:szCs w:val="24"/>
        </w:rPr>
        <w:t>potential shortfalls identified in</w:t>
      </w:r>
      <w:r w:rsidR="00720432">
        <w:rPr>
          <w:rFonts w:asciiTheme="minorBidi" w:hAnsiTheme="minorBidi"/>
          <w:szCs w:val="24"/>
        </w:rPr>
        <w:t xml:space="preserve"> this GDA should not be a barrier to prevent ONR granting permission for the construction of an SMR-300. </w:t>
      </w:r>
      <w:r w:rsidR="00DC7D56">
        <w:rPr>
          <w:rFonts w:asciiTheme="minorBidi" w:hAnsiTheme="minorBidi"/>
          <w:szCs w:val="24"/>
        </w:rPr>
        <w:t xml:space="preserve">In some areas we have been unable to form a complete judgement owing to insufficient maturity and the novelty of some aspects of the design. </w:t>
      </w:r>
    </w:p>
    <w:p w14:paraId="63B0BE12" w14:textId="1BC8D286" w:rsidR="00870A1C" w:rsidRDefault="008E476C" w:rsidP="004E3EB1">
      <w:pPr>
        <w:rPr>
          <w:rFonts w:asciiTheme="minorBidi" w:hAnsiTheme="minorBidi"/>
          <w:szCs w:val="24"/>
        </w:rPr>
      </w:pPr>
      <w:r w:rsidRPr="008E476C">
        <w:rPr>
          <w:rFonts w:asciiTheme="minorBidi" w:hAnsiTheme="minorBidi"/>
          <w:szCs w:val="24"/>
        </w:rPr>
        <w:t xml:space="preserve">We are satisfied that the RP’s approach to demonstrating safety risks are reduced to As Low As Reasonably Practicable (ALARP) is adequate. Whether the generic design achieves this requirement can only be judged once a </w:t>
      </w:r>
      <w:r w:rsidR="002E2B1E">
        <w:rPr>
          <w:rFonts w:asciiTheme="minorBidi" w:hAnsiTheme="minorBidi"/>
          <w:szCs w:val="24"/>
        </w:rPr>
        <w:t xml:space="preserve">more </w:t>
      </w:r>
      <w:r w:rsidRPr="008E476C">
        <w:rPr>
          <w:rFonts w:asciiTheme="minorBidi" w:hAnsiTheme="minorBidi"/>
          <w:szCs w:val="24"/>
        </w:rPr>
        <w:t>mature design and SSEC are available.</w:t>
      </w:r>
    </w:p>
    <w:p w14:paraId="39EF57AC" w14:textId="20469871" w:rsidR="003B3E1B" w:rsidRDefault="00E905D0" w:rsidP="00F7023B">
      <w:pPr>
        <w:rPr>
          <w:rFonts w:eastAsia="Calibri" w:cs="Arial"/>
          <w:b/>
          <w:bCs/>
          <w:szCs w:val="24"/>
          <w:lang w:bidi="he-IL"/>
        </w:rPr>
      </w:pPr>
      <w:r w:rsidRPr="00E905D0">
        <w:rPr>
          <w:rFonts w:asciiTheme="minorBidi" w:hAnsiTheme="minorBidi"/>
          <w:szCs w:val="24"/>
        </w:rPr>
        <w:t>Based on the work carried out by ONR, we consider that the RP has completed all of the relevant requirements for Step 2 from our guidance.</w:t>
      </w:r>
      <w:bookmarkStart w:id="1" w:name="_Toc168321891"/>
      <w:r w:rsidR="003B3E1B">
        <w:rPr>
          <w:rFonts w:eastAsia="Calibri" w:cs="Arial"/>
          <w:b/>
          <w:bCs/>
          <w:szCs w:val="24"/>
          <w:lang w:bidi="he-IL"/>
        </w:rPr>
        <w:br w:type="page"/>
      </w:r>
    </w:p>
    <w:p w14:paraId="63536C94" w14:textId="63D33D9B" w:rsidR="00D71470" w:rsidRPr="00D71470" w:rsidRDefault="00620F52" w:rsidP="00C31622">
      <w:pPr>
        <w:keepNext/>
        <w:spacing w:after="0" w:line="240" w:lineRule="auto"/>
        <w:rPr>
          <w:rFonts w:eastAsia="Calibri" w:cs="Arial"/>
          <w:b/>
          <w:bCs/>
          <w:szCs w:val="24"/>
          <w:lang w:bidi="he-IL"/>
        </w:rPr>
      </w:pPr>
      <w:r w:rsidRPr="08C1E0BD">
        <w:rPr>
          <w:rFonts w:eastAsia="Calibri" w:cs="Arial"/>
          <w:b/>
          <w:bCs/>
          <w:szCs w:val="24"/>
          <w:lang w:bidi="he-IL"/>
        </w:rPr>
        <w:lastRenderedPageBreak/>
        <w:t>References</w:t>
      </w:r>
      <w:bookmarkEnd w:id="1"/>
    </w:p>
    <w:sdt>
      <w:sdtPr>
        <w:rPr>
          <w:rFonts w:asciiTheme="minorBidi" w:eastAsia="Calibri" w:hAnsiTheme="minorBidi"/>
          <w:lang w:bidi="he-IL"/>
        </w:rPr>
        <w:id w:val="1663974676"/>
        <w:docPartObj>
          <w:docPartGallery w:val="Bibliographies"/>
          <w:docPartUnique/>
        </w:docPartObj>
      </w:sdtPr>
      <w:sdtEndPr/>
      <w:sdtContent>
        <w:sdt>
          <w:sdtPr>
            <w:rPr>
              <w:rFonts w:asciiTheme="minorBidi" w:eastAsia="Calibri" w:hAnsiTheme="minorBidi"/>
              <w:szCs w:val="24"/>
              <w:lang w:bidi="he-IL"/>
            </w:rPr>
            <w:id w:val="-573587230"/>
            <w:bibliography/>
          </w:sdtPr>
          <w:sdtEndPr/>
          <w:sdtContent>
            <w:p w14:paraId="55E44072" w14:textId="77777777" w:rsidR="009204CD" w:rsidRDefault="00620F52" w:rsidP="00427B98">
              <w:pPr>
                <w:rPr>
                  <w:rFonts w:asciiTheme="minorHAnsi" w:hAnsiTheme="minorHAnsi"/>
                  <w:noProof/>
                  <w:sz w:val="22"/>
                </w:rPr>
              </w:pPr>
              <w:r w:rsidRPr="00A72B32">
                <w:rPr>
                  <w:rFonts w:asciiTheme="minorBidi" w:eastAsia="Calibri" w:hAnsiTheme="minorBidi"/>
                  <w:szCs w:val="24"/>
                  <w:lang w:bidi="he-IL"/>
                </w:rPr>
                <w:fldChar w:fldCharType="begin"/>
              </w:r>
              <w:r w:rsidRPr="00A72B32">
                <w:rPr>
                  <w:rFonts w:asciiTheme="minorBidi" w:eastAsia="Calibri" w:hAnsiTheme="minorBidi"/>
                  <w:szCs w:val="24"/>
                  <w:lang w:bidi="he-IL"/>
                </w:rPr>
                <w:instrText xml:space="preserve"> BIBLIOGRAPHY </w:instrText>
              </w:r>
              <w:r w:rsidRPr="00A72B32">
                <w:rPr>
                  <w:rFonts w:asciiTheme="minorBidi" w:eastAsia="Calibri" w:hAnsiTheme="minorBidi"/>
                  <w:szCs w:val="24"/>
                  <w:lang w:bidi="he-IL"/>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84"/>
              </w:tblGrid>
              <w:tr w:rsidR="009204CD" w14:paraId="11CE823B" w14:textId="77777777">
                <w:trPr>
                  <w:divId w:val="1061558009"/>
                  <w:tblCellSpacing w:w="15" w:type="dxa"/>
                </w:trPr>
                <w:tc>
                  <w:tcPr>
                    <w:tcW w:w="50" w:type="pct"/>
                    <w:hideMark/>
                  </w:tcPr>
                  <w:p w14:paraId="67302988" w14:textId="6F3EC3A3" w:rsidR="009204CD" w:rsidRDefault="009204CD">
                    <w:pPr>
                      <w:pStyle w:val="Bibliography"/>
                      <w:rPr>
                        <w:noProof/>
                        <w:szCs w:val="24"/>
                      </w:rPr>
                    </w:pPr>
                    <w:r>
                      <w:rPr>
                        <w:noProof/>
                      </w:rPr>
                      <w:t xml:space="preserve">[1] </w:t>
                    </w:r>
                  </w:p>
                </w:tc>
                <w:tc>
                  <w:tcPr>
                    <w:tcW w:w="0" w:type="auto"/>
                    <w:hideMark/>
                  </w:tcPr>
                  <w:p w14:paraId="3DB632FA" w14:textId="77777777" w:rsidR="009204CD" w:rsidRDefault="009204CD">
                    <w:pPr>
                      <w:pStyle w:val="Bibliography"/>
                      <w:rPr>
                        <w:noProof/>
                      </w:rPr>
                    </w:pPr>
                    <w:r>
                      <w:rPr>
                        <w:noProof/>
                      </w:rPr>
                      <w:t xml:space="preserve">ONR, New Nuclear Power Plants: Generic Design Assessment Guidance to Requesting Parties, ONR-GDA-GD-006, Issue 1, August 2024, https://www.onr.org.uk/media/iexmextu/onr-gda-gd-006.docx. </w:t>
                    </w:r>
                  </w:p>
                </w:tc>
              </w:tr>
              <w:tr w:rsidR="009204CD" w14:paraId="51704D61" w14:textId="77777777">
                <w:trPr>
                  <w:divId w:val="1061558009"/>
                  <w:tblCellSpacing w:w="15" w:type="dxa"/>
                </w:trPr>
                <w:tc>
                  <w:tcPr>
                    <w:tcW w:w="50" w:type="pct"/>
                    <w:hideMark/>
                  </w:tcPr>
                  <w:p w14:paraId="3A66CA01" w14:textId="77777777" w:rsidR="009204CD" w:rsidRDefault="009204CD">
                    <w:pPr>
                      <w:pStyle w:val="Bibliography"/>
                      <w:rPr>
                        <w:noProof/>
                      </w:rPr>
                    </w:pPr>
                    <w:r>
                      <w:rPr>
                        <w:noProof/>
                      </w:rPr>
                      <w:t xml:space="preserve">[2] </w:t>
                    </w:r>
                  </w:p>
                </w:tc>
                <w:tc>
                  <w:tcPr>
                    <w:tcW w:w="0" w:type="auto"/>
                    <w:hideMark/>
                  </w:tcPr>
                  <w:p w14:paraId="14606786" w14:textId="77777777" w:rsidR="009204CD" w:rsidRDefault="009204CD">
                    <w:pPr>
                      <w:pStyle w:val="Bibliography"/>
                      <w:rPr>
                        <w:noProof/>
                      </w:rPr>
                    </w:pPr>
                    <w:r>
                      <w:rPr>
                        <w:noProof/>
                      </w:rPr>
                      <w:t xml:space="preserve">ONR, Holtec SMR-300 Step 2 - Summary Report, Revision 1, January 2026. ONRW-2019369590-22557. </w:t>
                    </w:r>
                  </w:p>
                </w:tc>
              </w:tr>
              <w:tr w:rsidR="009204CD" w14:paraId="21A3225A" w14:textId="77777777">
                <w:trPr>
                  <w:divId w:val="1061558009"/>
                  <w:tblCellSpacing w:w="15" w:type="dxa"/>
                </w:trPr>
                <w:tc>
                  <w:tcPr>
                    <w:tcW w:w="50" w:type="pct"/>
                    <w:hideMark/>
                  </w:tcPr>
                  <w:p w14:paraId="5C5569F0" w14:textId="77777777" w:rsidR="009204CD" w:rsidRDefault="009204CD">
                    <w:pPr>
                      <w:pStyle w:val="Bibliography"/>
                      <w:rPr>
                        <w:noProof/>
                      </w:rPr>
                    </w:pPr>
                    <w:r>
                      <w:rPr>
                        <w:noProof/>
                      </w:rPr>
                      <w:t xml:space="preserve">[3] </w:t>
                    </w:r>
                  </w:p>
                </w:tc>
                <w:tc>
                  <w:tcPr>
                    <w:tcW w:w="0" w:type="auto"/>
                    <w:hideMark/>
                  </w:tcPr>
                  <w:p w14:paraId="53CE0503" w14:textId="77777777" w:rsidR="009204CD" w:rsidRDefault="009204CD">
                    <w:pPr>
                      <w:pStyle w:val="Bibliography"/>
                      <w:rPr>
                        <w:noProof/>
                      </w:rPr>
                    </w:pPr>
                    <w:r>
                      <w:rPr>
                        <w:noProof/>
                      </w:rPr>
                      <w:t xml:space="preserve">Holtec Britain, Holtec Britain, Master Document Submission List, HI-2240061 Revision 17, 27 November 2025, ONRW-2019369590-25528. </w:t>
                    </w:r>
                  </w:p>
                </w:tc>
              </w:tr>
              <w:tr w:rsidR="009204CD" w14:paraId="037F3D37" w14:textId="77777777">
                <w:trPr>
                  <w:divId w:val="1061558009"/>
                  <w:tblCellSpacing w:w="15" w:type="dxa"/>
                </w:trPr>
                <w:tc>
                  <w:tcPr>
                    <w:tcW w:w="50" w:type="pct"/>
                    <w:hideMark/>
                  </w:tcPr>
                  <w:p w14:paraId="0A699D82" w14:textId="77777777" w:rsidR="009204CD" w:rsidRDefault="009204CD">
                    <w:pPr>
                      <w:pStyle w:val="Bibliography"/>
                      <w:rPr>
                        <w:noProof/>
                      </w:rPr>
                    </w:pPr>
                    <w:r>
                      <w:rPr>
                        <w:noProof/>
                      </w:rPr>
                      <w:t xml:space="preserve">[4] </w:t>
                    </w:r>
                  </w:p>
                </w:tc>
                <w:tc>
                  <w:tcPr>
                    <w:tcW w:w="0" w:type="auto"/>
                    <w:hideMark/>
                  </w:tcPr>
                  <w:p w14:paraId="10CC2A4B" w14:textId="77777777" w:rsidR="009204CD" w:rsidRDefault="009204CD">
                    <w:pPr>
                      <w:pStyle w:val="Bibliography"/>
                      <w:rPr>
                        <w:noProof/>
                      </w:rPr>
                    </w:pPr>
                    <w:r>
                      <w:rPr>
                        <w:noProof/>
                      </w:rPr>
                      <w:t xml:space="preserve">Holtec Britain, GDA Design Reference Point, HI-2240648 - R2.0, May 2025. ONRW-2019369590-20879. </w:t>
                    </w:r>
                  </w:p>
                </w:tc>
              </w:tr>
              <w:tr w:rsidR="009204CD" w14:paraId="0F809D9B" w14:textId="77777777">
                <w:trPr>
                  <w:divId w:val="1061558009"/>
                  <w:tblCellSpacing w:w="15" w:type="dxa"/>
                </w:trPr>
                <w:tc>
                  <w:tcPr>
                    <w:tcW w:w="50" w:type="pct"/>
                    <w:hideMark/>
                  </w:tcPr>
                  <w:p w14:paraId="435C22C6" w14:textId="77777777" w:rsidR="009204CD" w:rsidRDefault="009204CD">
                    <w:pPr>
                      <w:pStyle w:val="Bibliography"/>
                      <w:rPr>
                        <w:noProof/>
                      </w:rPr>
                    </w:pPr>
                    <w:r>
                      <w:rPr>
                        <w:noProof/>
                      </w:rPr>
                      <w:t xml:space="preserve">[5] </w:t>
                    </w:r>
                  </w:p>
                </w:tc>
                <w:tc>
                  <w:tcPr>
                    <w:tcW w:w="0" w:type="auto"/>
                    <w:hideMark/>
                  </w:tcPr>
                  <w:p w14:paraId="40AEDDD2" w14:textId="77777777" w:rsidR="009204CD" w:rsidRDefault="009204CD">
                    <w:pPr>
                      <w:pStyle w:val="Bibliography"/>
                      <w:rPr>
                        <w:noProof/>
                      </w:rPr>
                    </w:pPr>
                    <w:r>
                      <w:rPr>
                        <w:noProof/>
                      </w:rPr>
                      <w:t xml:space="preserve">Holtec Britain, PSR PART A Chapter 1 Introduction, HI-2240332, Revision 1, 4 July 2025. ONRW-2019369590-22263. </w:t>
                    </w:r>
                  </w:p>
                </w:tc>
              </w:tr>
              <w:tr w:rsidR="009204CD" w14:paraId="71EB61EF" w14:textId="77777777">
                <w:trPr>
                  <w:divId w:val="1061558009"/>
                  <w:tblCellSpacing w:w="15" w:type="dxa"/>
                </w:trPr>
                <w:tc>
                  <w:tcPr>
                    <w:tcW w:w="50" w:type="pct"/>
                    <w:hideMark/>
                  </w:tcPr>
                  <w:p w14:paraId="542AEE64" w14:textId="77777777" w:rsidR="009204CD" w:rsidRDefault="009204CD">
                    <w:pPr>
                      <w:pStyle w:val="Bibliography"/>
                      <w:rPr>
                        <w:noProof/>
                      </w:rPr>
                    </w:pPr>
                    <w:r>
                      <w:rPr>
                        <w:noProof/>
                      </w:rPr>
                      <w:t xml:space="preserve">[6] </w:t>
                    </w:r>
                  </w:p>
                </w:tc>
                <w:tc>
                  <w:tcPr>
                    <w:tcW w:w="0" w:type="auto"/>
                    <w:hideMark/>
                  </w:tcPr>
                  <w:p w14:paraId="0E085D2E" w14:textId="77777777" w:rsidR="009204CD" w:rsidRDefault="009204CD">
                    <w:pPr>
                      <w:pStyle w:val="Bibliography"/>
                      <w:rPr>
                        <w:noProof/>
                      </w:rPr>
                    </w:pPr>
                    <w:r>
                      <w:rPr>
                        <w:noProof/>
                      </w:rPr>
                      <w:t xml:space="preserve">Holtec Britain, PSR PART A Chapter 2 General Design Aspects and Site, HI-2240333, Revision 1, 4 July 2025. ONRW-2019369590-22264. </w:t>
                    </w:r>
                  </w:p>
                </w:tc>
              </w:tr>
            </w:tbl>
            <w:p w14:paraId="6E18FED0" w14:textId="77777777" w:rsidR="009204CD" w:rsidRDefault="009204CD">
              <w:pPr>
                <w:divId w:val="1061558009"/>
                <w:rPr>
                  <w:rFonts w:eastAsia="Times New Roman"/>
                  <w:noProof/>
                </w:rPr>
              </w:pPr>
            </w:p>
            <w:p w14:paraId="49BD42E3" w14:textId="1B33E709" w:rsidR="001550CD" w:rsidRPr="00721B79" w:rsidRDefault="00620F52" w:rsidP="00427B98">
              <w:r w:rsidRPr="00A72B32">
                <w:rPr>
                  <w:rFonts w:asciiTheme="minorBidi" w:eastAsia="Calibri" w:hAnsiTheme="minorBidi"/>
                  <w:b/>
                  <w:bCs/>
                  <w:noProof/>
                  <w:szCs w:val="24"/>
                  <w:lang w:bidi="he-IL"/>
                </w:rPr>
                <w:fldChar w:fldCharType="end"/>
              </w:r>
            </w:p>
          </w:sdtContent>
        </w:sdt>
      </w:sdtContent>
    </w:sdt>
    <w:sectPr w:rsidR="001550CD" w:rsidRPr="00721B79">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CDF0" w14:textId="77777777" w:rsidR="00D126C9" w:rsidRDefault="00D126C9" w:rsidP="00F62B2C">
      <w:pPr>
        <w:spacing w:after="0" w:line="240" w:lineRule="auto"/>
      </w:pPr>
      <w:r>
        <w:separator/>
      </w:r>
    </w:p>
  </w:endnote>
  <w:endnote w:type="continuationSeparator" w:id="0">
    <w:p w14:paraId="3A0D176C" w14:textId="77777777" w:rsidR="00D126C9" w:rsidRDefault="00D126C9" w:rsidP="00F62B2C">
      <w:pPr>
        <w:spacing w:after="0" w:line="240" w:lineRule="auto"/>
      </w:pPr>
      <w:r>
        <w:continuationSeparator/>
      </w:r>
    </w:p>
  </w:endnote>
  <w:endnote w:type="continuationNotice" w:id="1">
    <w:p w14:paraId="2C7E8FB4" w14:textId="77777777" w:rsidR="00D126C9" w:rsidRDefault="00D12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8768" w14:textId="7A3D926D" w:rsidR="00767C56" w:rsidRPr="00767C56" w:rsidRDefault="005B1CDA" w:rsidP="005B1CDA">
    <w:pPr>
      <w:tabs>
        <w:tab w:val="right" w:pos="9214"/>
      </w:tabs>
      <w:spacing w:after="0" w:line="240" w:lineRule="auto"/>
      <w:rPr>
        <w:rFonts w:eastAsia="Times New Roman" w:cs="Times New Roman"/>
        <w:b/>
        <w:bCs/>
        <w:color w:val="006D68"/>
        <w:sz w:val="14"/>
        <w:szCs w:val="14"/>
      </w:rPr>
    </w:pPr>
    <w:r w:rsidRPr="00B46780">
      <w:rPr>
        <w:rFonts w:eastAsia="Times New Roman" w:cs="Times New Roman"/>
        <w:color w:val="006D68"/>
        <w:sz w:val="14"/>
        <w:szCs w:val="14"/>
      </w:rPr>
      <w:t>ONRW-</w:t>
    </w:r>
    <w:r w:rsidR="00B46780" w:rsidRPr="00B46780">
      <w:rPr>
        <w:rFonts w:eastAsia="Times New Roman" w:cs="Times New Roman"/>
        <w:color w:val="006D68"/>
        <w:sz w:val="14"/>
        <w:szCs w:val="14"/>
      </w:rPr>
      <w:t>2019369590-25633</w:t>
    </w:r>
    <w:r w:rsidR="00A0293F">
      <w:tab/>
    </w:r>
    <w:r w:rsidRPr="005B1CDA">
      <w:rPr>
        <w:rFonts w:eastAsia="Times New Roman" w:cs="Times New Roman"/>
        <w:b/>
        <w:bCs/>
        <w:color w:val="006D68"/>
        <w:sz w:val="14"/>
        <w:szCs w:val="14"/>
      </w:rPr>
      <w:t xml:space="preserve">Page </w:t>
    </w:r>
    <w:r w:rsidR="00A0293F" w:rsidRPr="005B1CDA">
      <w:rPr>
        <w:rFonts w:eastAsia="Times New Roman" w:cs="Times New Roman"/>
        <w:b/>
        <w:bCs/>
        <w:color w:val="006D68"/>
        <w:sz w:val="14"/>
        <w:szCs w:val="14"/>
      </w:rPr>
      <w:fldChar w:fldCharType="begin"/>
    </w:r>
    <w:r w:rsidR="00A0293F" w:rsidRPr="005B1CDA">
      <w:rPr>
        <w:rFonts w:eastAsia="Times New Roman" w:cs="Times New Roman"/>
        <w:b/>
        <w:bCs/>
        <w:color w:val="006D68"/>
        <w:sz w:val="14"/>
        <w:szCs w:val="14"/>
      </w:rPr>
      <w:instrText xml:space="preserve"> PAGE </w:instrText>
    </w:r>
    <w:r w:rsidR="00A0293F"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1</w:t>
    </w:r>
    <w:r w:rsidR="00A0293F" w:rsidRPr="005B1CDA">
      <w:rPr>
        <w:rFonts w:eastAsia="Times New Roman" w:cs="Times New Roman"/>
        <w:b/>
        <w:bCs/>
        <w:color w:val="006D68"/>
        <w:sz w:val="14"/>
        <w:szCs w:val="14"/>
      </w:rPr>
      <w:fldChar w:fldCharType="end"/>
    </w:r>
    <w:r w:rsidRPr="005B1CDA">
      <w:rPr>
        <w:rFonts w:eastAsia="Times New Roman" w:cs="Times New Roman"/>
        <w:b/>
        <w:bCs/>
        <w:color w:val="006D68"/>
        <w:sz w:val="14"/>
        <w:szCs w:val="14"/>
      </w:rPr>
      <w:t xml:space="preserve"> of </w:t>
    </w:r>
    <w:r w:rsidR="00A0293F" w:rsidRPr="005B1CDA">
      <w:rPr>
        <w:rFonts w:eastAsia="Times New Roman" w:cs="Times New Roman"/>
        <w:b/>
        <w:bCs/>
        <w:color w:val="006D68"/>
        <w:sz w:val="14"/>
        <w:szCs w:val="14"/>
      </w:rPr>
      <w:fldChar w:fldCharType="begin"/>
    </w:r>
    <w:r w:rsidR="00A0293F" w:rsidRPr="005B1CDA">
      <w:rPr>
        <w:rFonts w:eastAsia="Times New Roman" w:cs="Times New Roman"/>
        <w:b/>
        <w:bCs/>
        <w:color w:val="006D68"/>
        <w:sz w:val="14"/>
        <w:szCs w:val="14"/>
      </w:rPr>
      <w:instrText xml:space="preserve"> NUMPAGES </w:instrText>
    </w:r>
    <w:r w:rsidR="00A0293F"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2</w:t>
    </w:r>
    <w:r w:rsidR="00A0293F" w:rsidRPr="005B1CDA">
      <w:rPr>
        <w:rFonts w:eastAsia="Times New Roman" w:cs="Times New Roman"/>
        <w:b/>
        <w:bCs/>
        <w:color w:val="006D68"/>
        <w:sz w:val="14"/>
        <w:szCs w:val="14"/>
      </w:rPr>
      <w:fldChar w:fldCharType="end"/>
    </w:r>
  </w:p>
  <w:p w14:paraId="141B77E0" w14:textId="77777777" w:rsidR="00767C56" w:rsidRDefault="00767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B5A4" w14:textId="77777777" w:rsidR="002435C4" w:rsidRDefault="002435C4" w:rsidP="00767C56">
    <w:pPr>
      <w:tabs>
        <w:tab w:val="right" w:pos="9214"/>
      </w:tabs>
      <w:spacing w:after="0" w:line="240" w:lineRule="auto"/>
      <w:rPr>
        <w:rFonts w:eastAsia="Times New Roman" w:cs="Times New Roman"/>
        <w:color w:val="006D68"/>
        <w:sz w:val="14"/>
        <w:szCs w:val="14"/>
      </w:rPr>
    </w:pPr>
    <w:r w:rsidRPr="00767C56">
      <w:rPr>
        <w:rFonts w:eastAsia="Times New Roman" w:cs="Times New Roman"/>
        <w:color w:val="006D68"/>
        <w:sz w:val="14"/>
        <w:szCs w:val="14"/>
      </w:rPr>
      <w:t>Office for Nuclear Regulation</w:t>
    </w:r>
  </w:p>
  <w:p w14:paraId="103933D1" w14:textId="41E98C6E" w:rsidR="002435C4" w:rsidRDefault="00B46780" w:rsidP="00EC6831">
    <w:pPr>
      <w:tabs>
        <w:tab w:val="right" w:pos="9214"/>
      </w:tabs>
      <w:spacing w:after="0" w:line="240" w:lineRule="auto"/>
      <w:rPr>
        <w:rFonts w:eastAsia="Times New Roman" w:cs="Times New Roman"/>
        <w:color w:val="006D68"/>
        <w:sz w:val="14"/>
        <w:szCs w:val="14"/>
      </w:rPr>
    </w:pPr>
    <w:r>
      <w:rPr>
        <w:rFonts w:eastAsia="Times New Roman" w:cs="Times New Roman"/>
        <w:color w:val="006D68"/>
        <w:sz w:val="14"/>
        <w:szCs w:val="14"/>
      </w:rPr>
      <w:t xml:space="preserve">Holtec SMR-300 </w:t>
    </w:r>
    <w:r w:rsidR="002435C4" w:rsidRPr="00EC6831">
      <w:rPr>
        <w:rFonts w:eastAsia="Times New Roman" w:cs="Times New Roman"/>
        <w:color w:val="006D68"/>
        <w:sz w:val="14"/>
        <w:szCs w:val="14"/>
      </w:rPr>
      <w:t>Generic Design Assessment</w:t>
    </w:r>
    <w:r w:rsidR="002435C4">
      <w:rPr>
        <w:rFonts w:eastAsia="Times New Roman" w:cs="Times New Roman"/>
        <w:color w:val="006D68"/>
        <w:sz w:val="14"/>
        <w:szCs w:val="14"/>
      </w:rPr>
      <w:t xml:space="preserve"> </w:t>
    </w:r>
    <w:r w:rsidR="002435C4" w:rsidRPr="00EC6831">
      <w:rPr>
        <w:rFonts w:eastAsia="Times New Roman" w:cs="Times New Roman"/>
        <w:color w:val="006D68"/>
        <w:sz w:val="14"/>
        <w:szCs w:val="14"/>
      </w:rPr>
      <w:t xml:space="preserve">Step 2 </w:t>
    </w:r>
  </w:p>
  <w:p w14:paraId="01B72F1F" w14:textId="36FE152A" w:rsidR="00F72909" w:rsidRDefault="005B1CDA" w:rsidP="00F72909">
    <w:pPr>
      <w:tabs>
        <w:tab w:val="right" w:pos="9214"/>
      </w:tabs>
      <w:spacing w:after="0" w:line="240" w:lineRule="auto"/>
      <w:rPr>
        <w:rFonts w:eastAsia="Times New Roman" w:cs="Times New Roman"/>
        <w:color w:val="006D68"/>
        <w:sz w:val="14"/>
        <w:szCs w:val="14"/>
      </w:rPr>
    </w:pPr>
    <w:r w:rsidRPr="00702C82">
      <w:rPr>
        <w:rFonts w:eastAsia="Times New Roman" w:cs="Times New Roman"/>
        <w:color w:val="006D68"/>
        <w:sz w:val="14"/>
        <w:szCs w:val="14"/>
      </w:rPr>
      <w:t>ONRW-</w:t>
    </w:r>
    <w:r w:rsidR="00702C82" w:rsidRPr="00702C82">
      <w:rPr>
        <w:rFonts w:eastAsia="Times New Roman" w:cs="Times New Roman"/>
        <w:color w:val="006D68"/>
        <w:sz w:val="14"/>
        <w:szCs w:val="14"/>
      </w:rPr>
      <w:t>2019369590-25633</w:t>
    </w:r>
  </w:p>
  <w:p w14:paraId="7D85873A" w14:textId="680422C8" w:rsidR="002435C4" w:rsidRPr="00767C56" w:rsidRDefault="005B1CDA" w:rsidP="00A80F4F">
    <w:pPr>
      <w:tabs>
        <w:tab w:val="right" w:pos="9214"/>
      </w:tabs>
      <w:spacing w:after="0" w:line="240" w:lineRule="auto"/>
      <w:jc w:val="right"/>
      <w:rPr>
        <w:rFonts w:eastAsia="Times New Roman" w:cs="Times New Roman"/>
        <w:b/>
        <w:bCs/>
        <w:color w:val="006D68"/>
        <w:sz w:val="14"/>
        <w:szCs w:val="14"/>
      </w:rPr>
    </w:pPr>
    <w:r w:rsidRPr="005B1CDA">
      <w:rPr>
        <w:rFonts w:eastAsia="Times New Roman" w:cs="Times New Roman"/>
        <w:b/>
        <w:bCs/>
        <w:color w:val="006D68"/>
        <w:sz w:val="14"/>
        <w:szCs w:val="14"/>
      </w:rPr>
      <w:t xml:space="preserve">Page </w:t>
    </w:r>
    <w:r w:rsidR="002435C4" w:rsidRPr="005B1CDA">
      <w:rPr>
        <w:rFonts w:eastAsia="Times New Roman" w:cs="Times New Roman"/>
        <w:b/>
        <w:bCs/>
        <w:color w:val="006D68"/>
        <w:sz w:val="14"/>
        <w:szCs w:val="14"/>
      </w:rPr>
      <w:fldChar w:fldCharType="begin"/>
    </w:r>
    <w:r w:rsidR="002435C4" w:rsidRPr="005B1CDA">
      <w:rPr>
        <w:rFonts w:eastAsia="Times New Roman" w:cs="Times New Roman"/>
        <w:b/>
        <w:bCs/>
        <w:color w:val="006D68"/>
        <w:sz w:val="14"/>
        <w:szCs w:val="14"/>
      </w:rPr>
      <w:instrText xml:space="preserve"> PAGE </w:instrText>
    </w:r>
    <w:r w:rsidR="002435C4"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1</w:t>
    </w:r>
    <w:r w:rsidR="002435C4" w:rsidRPr="005B1CDA">
      <w:rPr>
        <w:rFonts w:eastAsia="Times New Roman" w:cs="Times New Roman"/>
        <w:b/>
        <w:bCs/>
        <w:color w:val="006D68"/>
        <w:sz w:val="14"/>
        <w:szCs w:val="14"/>
      </w:rPr>
      <w:fldChar w:fldCharType="end"/>
    </w:r>
    <w:r w:rsidRPr="005B1CDA">
      <w:rPr>
        <w:rFonts w:eastAsia="Times New Roman" w:cs="Times New Roman"/>
        <w:b/>
        <w:bCs/>
        <w:color w:val="006D68"/>
        <w:sz w:val="14"/>
        <w:szCs w:val="14"/>
      </w:rPr>
      <w:t xml:space="preserve"> of </w:t>
    </w:r>
    <w:r w:rsidR="002435C4" w:rsidRPr="005B1CDA">
      <w:rPr>
        <w:rFonts w:eastAsia="Times New Roman" w:cs="Times New Roman"/>
        <w:b/>
        <w:bCs/>
        <w:color w:val="006D68"/>
        <w:sz w:val="14"/>
        <w:szCs w:val="14"/>
      </w:rPr>
      <w:fldChar w:fldCharType="begin"/>
    </w:r>
    <w:r w:rsidR="002435C4" w:rsidRPr="005B1CDA">
      <w:rPr>
        <w:rFonts w:eastAsia="Times New Roman" w:cs="Times New Roman"/>
        <w:b/>
        <w:bCs/>
        <w:color w:val="006D68"/>
        <w:sz w:val="14"/>
        <w:szCs w:val="14"/>
      </w:rPr>
      <w:instrText xml:space="preserve"> NUMPAGES </w:instrText>
    </w:r>
    <w:r w:rsidR="002435C4"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2</w:t>
    </w:r>
    <w:r w:rsidR="002435C4" w:rsidRPr="005B1CDA">
      <w:rPr>
        <w:rFonts w:eastAsia="Times New Roman" w:cs="Times New Roman"/>
        <w:b/>
        <w:bCs/>
        <w:color w:val="006D68"/>
        <w:sz w:val="14"/>
        <w:szCs w:val="14"/>
      </w:rPr>
      <w:fldChar w:fldCharType="end"/>
    </w:r>
  </w:p>
  <w:p w14:paraId="06A1C604" w14:textId="77777777" w:rsidR="002435C4" w:rsidRDefault="0024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14F4" w14:textId="77777777" w:rsidR="00D126C9" w:rsidRDefault="00D126C9" w:rsidP="00F62B2C">
      <w:pPr>
        <w:spacing w:after="0" w:line="240" w:lineRule="auto"/>
      </w:pPr>
      <w:r>
        <w:separator/>
      </w:r>
    </w:p>
  </w:footnote>
  <w:footnote w:type="continuationSeparator" w:id="0">
    <w:p w14:paraId="2531BCD3" w14:textId="77777777" w:rsidR="00D126C9" w:rsidRDefault="00D126C9" w:rsidP="00F62B2C">
      <w:pPr>
        <w:spacing w:after="0" w:line="240" w:lineRule="auto"/>
      </w:pPr>
      <w:r>
        <w:continuationSeparator/>
      </w:r>
    </w:p>
  </w:footnote>
  <w:footnote w:type="continuationNotice" w:id="1">
    <w:p w14:paraId="404111DD" w14:textId="77777777" w:rsidR="00D126C9" w:rsidRDefault="00D12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1D6E" w14:textId="54E5DBAB" w:rsidR="00F62B2C" w:rsidRDefault="00061A2A">
    <w:pPr>
      <w:pStyle w:val="Header"/>
    </w:pPr>
    <w:r w:rsidRPr="00EC6831">
      <w:rPr>
        <w:rFonts w:asciiTheme="minorBidi" w:hAnsiTheme="minorBidi"/>
        <w:b/>
        <w:bCs/>
        <w:noProof/>
        <w:sz w:val="40"/>
        <w:szCs w:val="40"/>
      </w:rPr>
      <mc:AlternateContent>
        <mc:Choice Requires="wps">
          <w:drawing>
            <wp:anchor distT="0" distB="0" distL="114300" distR="114300" simplePos="0" relativeHeight="251658240" behindDoc="0" locked="0" layoutInCell="1" allowOverlap="1" wp14:anchorId="48CFB37E" wp14:editId="47173591">
              <wp:simplePos x="0" y="0"/>
              <wp:positionH relativeFrom="margin">
                <wp:align>center</wp:align>
              </wp:positionH>
              <wp:positionV relativeFrom="paragraph">
                <wp:posOffset>-277495</wp:posOffset>
              </wp:positionV>
              <wp:extent cx="7191375" cy="1033462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7191375" cy="10334625"/>
                      </a:xfrm>
                      <a:prstGeom prst="rect">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F29E1" id="Rectangle 2" o:spid="_x0000_s1026" style="position:absolute;margin-left:0;margin-top:-21.85pt;width:566.25pt;height:81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" filled="f" strokecolor="#09101d [484]" strokeweight="2.5pt">
              <w10:wrap anchorx="margin"/>
            </v:rect>
          </w:pict>
        </mc:Fallback>
      </mc:AlternateContent>
    </w:r>
  </w:p>
  <w:sdt>
    <w:sdtPr>
      <w:id w:val="-293830240"/>
      <w:docPartObj>
        <w:docPartGallery w:val="Watermarks"/>
        <w:docPartUnique/>
      </w:docPartObj>
    </w:sdtPr>
    <w:sdtEndPr/>
    <w:sdtContent>
      <w:p w14:paraId="568B6D6F" w14:textId="5291E470" w:rsidR="00F62B2C" w:rsidRDefault="00D366A1">
        <w:pPr>
          <w:pStyle w:val="Header"/>
        </w:pPr>
        <w:r>
          <w:rPr>
            <w:noProof/>
          </w:rPr>
          <w:drawing>
            <wp:anchor distT="0" distB="0" distL="114300" distR="114300" simplePos="0" relativeHeight="251658241" behindDoc="0" locked="0" layoutInCell="1" allowOverlap="1" wp14:anchorId="1982E97A" wp14:editId="3FC0763F">
              <wp:simplePos x="0" y="0"/>
              <wp:positionH relativeFrom="page">
                <wp:posOffset>252095</wp:posOffset>
              </wp:positionH>
              <wp:positionV relativeFrom="page">
                <wp:posOffset>252095</wp:posOffset>
              </wp:positionV>
              <wp:extent cx="2895600" cy="6381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504" t="22215" r="7504" b="22215"/>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956" w:rsidRPr="00EE2956">
          <w:rPr>
            <w:rFonts w:asciiTheme="minorBidi" w:hAnsiTheme="minorBidi"/>
            <w:b/>
            <w:bCs/>
            <w:noProof/>
            <w:sz w:val="40"/>
            <w:szCs w:val="40"/>
          </w:rPr>
          <w:t xml:space="preserve"> </w:t>
        </w:r>
      </w:p>
    </w:sdtContent>
  </w:sdt>
  <w:p w14:paraId="3BA2C43D" w14:textId="77777777" w:rsidR="00767C56" w:rsidRDefault="00767C56">
    <w:pPr>
      <w:pStyle w:val="Header"/>
    </w:pPr>
  </w:p>
  <w:p w14:paraId="052CC3A4" w14:textId="05A3A987" w:rsidR="00767C56" w:rsidRDefault="00767C56">
    <w:pPr>
      <w:pStyle w:val="Header"/>
    </w:pPr>
  </w:p>
  <w:p w14:paraId="2E1FF078" w14:textId="77777777" w:rsidR="008D17F0" w:rsidRDefault="008D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AD61" w14:textId="6FA56763" w:rsidR="00F06134" w:rsidRDefault="00F06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F381" w14:textId="377C40CB" w:rsidR="002435C4" w:rsidRDefault="002435C4">
    <w:pPr>
      <w:pStyle w:val="Header"/>
    </w:pPr>
  </w:p>
  <w:sdt>
    <w:sdtPr>
      <w:id w:val="462856574"/>
      <w:docPartObj>
        <w:docPartGallery w:val="Watermarks"/>
        <w:docPartUnique/>
      </w:docPartObj>
    </w:sdtPr>
    <w:sdtEndPr/>
    <w:sdtContent>
      <w:p w14:paraId="16AA74A0" w14:textId="77777777" w:rsidR="002435C4" w:rsidRDefault="002435C4">
        <w:pPr>
          <w:pStyle w:val="Header"/>
        </w:pPr>
        <w:r>
          <w:rPr>
            <w:noProof/>
          </w:rPr>
          <w:drawing>
            <wp:anchor distT="0" distB="0" distL="114300" distR="114300" simplePos="0" relativeHeight="251658242" behindDoc="0" locked="0" layoutInCell="1" allowOverlap="1" wp14:anchorId="440CF85B" wp14:editId="40A09652">
              <wp:simplePos x="0" y="0"/>
              <wp:positionH relativeFrom="page">
                <wp:posOffset>252095</wp:posOffset>
              </wp:positionH>
              <wp:positionV relativeFrom="page">
                <wp:posOffset>252095</wp:posOffset>
              </wp:positionV>
              <wp:extent cx="2895600" cy="6381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504" t="22215" r="7504" b="22215"/>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956">
          <w:rPr>
            <w:rFonts w:asciiTheme="minorBidi" w:hAnsiTheme="minorBidi"/>
            <w:b/>
            <w:bCs/>
            <w:noProof/>
            <w:sz w:val="40"/>
            <w:szCs w:val="40"/>
          </w:rPr>
          <w:t xml:space="preserve"> </w:t>
        </w:r>
      </w:p>
    </w:sdtContent>
  </w:sdt>
  <w:p w14:paraId="653B819D" w14:textId="77777777" w:rsidR="002435C4" w:rsidRDefault="002435C4">
    <w:pPr>
      <w:pStyle w:val="Header"/>
    </w:pPr>
  </w:p>
  <w:p w14:paraId="36E85780" w14:textId="77777777" w:rsidR="002435C4" w:rsidRDefault="002435C4">
    <w:pPr>
      <w:pStyle w:val="Header"/>
    </w:pPr>
  </w:p>
  <w:p w14:paraId="0A719FD2" w14:textId="77777777" w:rsidR="002435C4" w:rsidRDefault="002435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C238" w14:textId="11291208" w:rsidR="00F06134" w:rsidRDefault="00F06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7EDF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E225A"/>
    <w:multiLevelType w:val="hybridMultilevel"/>
    <w:tmpl w:val="DFC0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25A13"/>
    <w:multiLevelType w:val="hybridMultilevel"/>
    <w:tmpl w:val="827A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D5CD4"/>
    <w:multiLevelType w:val="hybridMultilevel"/>
    <w:tmpl w:val="18A8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4502E"/>
    <w:multiLevelType w:val="hybridMultilevel"/>
    <w:tmpl w:val="98AA56D8"/>
    <w:lvl w:ilvl="0" w:tplc="0B344126">
      <w:start w:val="1"/>
      <w:numFmt w:val="decimal"/>
      <w:pStyle w:val="Numberedparagraph"/>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53A44"/>
    <w:multiLevelType w:val="hybridMultilevel"/>
    <w:tmpl w:val="FCE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016F8"/>
    <w:multiLevelType w:val="hybridMultilevel"/>
    <w:tmpl w:val="D89A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E5383"/>
    <w:multiLevelType w:val="hybridMultilevel"/>
    <w:tmpl w:val="1DFA7142"/>
    <w:lvl w:ilvl="0" w:tplc="7FEA94AE">
      <w:start w:val="1"/>
      <w:numFmt w:val="bullet"/>
      <w:lvlText w:val=""/>
      <w:lvlJc w:val="left"/>
      <w:pPr>
        <w:ind w:left="720" w:hanging="360"/>
      </w:pPr>
      <w:rPr>
        <w:rFonts w:ascii="Symbol" w:hAnsi="Symbol"/>
      </w:rPr>
    </w:lvl>
    <w:lvl w:ilvl="1" w:tplc="75D4C416">
      <w:start w:val="1"/>
      <w:numFmt w:val="bullet"/>
      <w:lvlText w:val=""/>
      <w:lvlJc w:val="left"/>
      <w:pPr>
        <w:ind w:left="720" w:hanging="360"/>
      </w:pPr>
      <w:rPr>
        <w:rFonts w:ascii="Symbol" w:hAnsi="Symbol"/>
      </w:rPr>
    </w:lvl>
    <w:lvl w:ilvl="2" w:tplc="1FD81058">
      <w:start w:val="1"/>
      <w:numFmt w:val="bullet"/>
      <w:lvlText w:val=""/>
      <w:lvlJc w:val="left"/>
      <w:pPr>
        <w:ind w:left="720" w:hanging="360"/>
      </w:pPr>
      <w:rPr>
        <w:rFonts w:ascii="Symbol" w:hAnsi="Symbol"/>
      </w:rPr>
    </w:lvl>
    <w:lvl w:ilvl="3" w:tplc="709C75CC">
      <w:start w:val="1"/>
      <w:numFmt w:val="bullet"/>
      <w:lvlText w:val=""/>
      <w:lvlJc w:val="left"/>
      <w:pPr>
        <w:ind w:left="720" w:hanging="360"/>
      </w:pPr>
      <w:rPr>
        <w:rFonts w:ascii="Symbol" w:hAnsi="Symbol"/>
      </w:rPr>
    </w:lvl>
    <w:lvl w:ilvl="4" w:tplc="8FF2C3C2">
      <w:start w:val="1"/>
      <w:numFmt w:val="bullet"/>
      <w:lvlText w:val=""/>
      <w:lvlJc w:val="left"/>
      <w:pPr>
        <w:ind w:left="720" w:hanging="360"/>
      </w:pPr>
      <w:rPr>
        <w:rFonts w:ascii="Symbol" w:hAnsi="Symbol"/>
      </w:rPr>
    </w:lvl>
    <w:lvl w:ilvl="5" w:tplc="92A41A86">
      <w:start w:val="1"/>
      <w:numFmt w:val="bullet"/>
      <w:lvlText w:val=""/>
      <w:lvlJc w:val="left"/>
      <w:pPr>
        <w:ind w:left="720" w:hanging="360"/>
      </w:pPr>
      <w:rPr>
        <w:rFonts w:ascii="Symbol" w:hAnsi="Symbol"/>
      </w:rPr>
    </w:lvl>
    <w:lvl w:ilvl="6" w:tplc="D492719C">
      <w:start w:val="1"/>
      <w:numFmt w:val="bullet"/>
      <w:lvlText w:val=""/>
      <w:lvlJc w:val="left"/>
      <w:pPr>
        <w:ind w:left="720" w:hanging="360"/>
      </w:pPr>
      <w:rPr>
        <w:rFonts w:ascii="Symbol" w:hAnsi="Symbol"/>
      </w:rPr>
    </w:lvl>
    <w:lvl w:ilvl="7" w:tplc="CB0AEABE">
      <w:start w:val="1"/>
      <w:numFmt w:val="bullet"/>
      <w:lvlText w:val=""/>
      <w:lvlJc w:val="left"/>
      <w:pPr>
        <w:ind w:left="720" w:hanging="360"/>
      </w:pPr>
      <w:rPr>
        <w:rFonts w:ascii="Symbol" w:hAnsi="Symbol"/>
      </w:rPr>
    </w:lvl>
    <w:lvl w:ilvl="8" w:tplc="1920629A">
      <w:start w:val="1"/>
      <w:numFmt w:val="bullet"/>
      <w:lvlText w:val=""/>
      <w:lvlJc w:val="left"/>
      <w:pPr>
        <w:ind w:left="720" w:hanging="360"/>
      </w:pPr>
      <w:rPr>
        <w:rFonts w:ascii="Symbol" w:hAnsi="Symbol"/>
      </w:rPr>
    </w:lvl>
  </w:abstractNum>
  <w:abstractNum w:abstractNumId="8" w15:restartNumberingAfterBreak="0">
    <w:nsid w:val="4D627CD0"/>
    <w:multiLevelType w:val="hybridMultilevel"/>
    <w:tmpl w:val="19A8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D2415"/>
    <w:multiLevelType w:val="hybridMultilevel"/>
    <w:tmpl w:val="D262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A0551"/>
    <w:multiLevelType w:val="hybridMultilevel"/>
    <w:tmpl w:val="4B046E58"/>
    <w:lvl w:ilvl="0" w:tplc="9342C966">
      <w:start w:val="1"/>
      <w:numFmt w:val="bullet"/>
      <w:lvlText w:val=""/>
      <w:lvlJc w:val="left"/>
      <w:pPr>
        <w:ind w:left="720" w:hanging="360"/>
      </w:pPr>
      <w:rPr>
        <w:rFonts w:ascii="Symbol" w:hAnsi="Symbol"/>
      </w:rPr>
    </w:lvl>
    <w:lvl w:ilvl="1" w:tplc="DEAC2BC0">
      <w:start w:val="1"/>
      <w:numFmt w:val="bullet"/>
      <w:lvlText w:val=""/>
      <w:lvlJc w:val="left"/>
      <w:pPr>
        <w:ind w:left="720" w:hanging="360"/>
      </w:pPr>
      <w:rPr>
        <w:rFonts w:ascii="Symbol" w:hAnsi="Symbol"/>
      </w:rPr>
    </w:lvl>
    <w:lvl w:ilvl="2" w:tplc="C2C8EEF4">
      <w:start w:val="1"/>
      <w:numFmt w:val="bullet"/>
      <w:lvlText w:val=""/>
      <w:lvlJc w:val="left"/>
      <w:pPr>
        <w:ind w:left="720" w:hanging="360"/>
      </w:pPr>
      <w:rPr>
        <w:rFonts w:ascii="Symbol" w:hAnsi="Symbol"/>
      </w:rPr>
    </w:lvl>
    <w:lvl w:ilvl="3" w:tplc="ADA2D306">
      <w:start w:val="1"/>
      <w:numFmt w:val="bullet"/>
      <w:lvlText w:val=""/>
      <w:lvlJc w:val="left"/>
      <w:pPr>
        <w:ind w:left="720" w:hanging="360"/>
      </w:pPr>
      <w:rPr>
        <w:rFonts w:ascii="Symbol" w:hAnsi="Symbol"/>
      </w:rPr>
    </w:lvl>
    <w:lvl w:ilvl="4" w:tplc="09A69A60">
      <w:start w:val="1"/>
      <w:numFmt w:val="bullet"/>
      <w:lvlText w:val=""/>
      <w:lvlJc w:val="left"/>
      <w:pPr>
        <w:ind w:left="720" w:hanging="360"/>
      </w:pPr>
      <w:rPr>
        <w:rFonts w:ascii="Symbol" w:hAnsi="Symbol"/>
      </w:rPr>
    </w:lvl>
    <w:lvl w:ilvl="5" w:tplc="DA1AB216">
      <w:start w:val="1"/>
      <w:numFmt w:val="bullet"/>
      <w:lvlText w:val=""/>
      <w:lvlJc w:val="left"/>
      <w:pPr>
        <w:ind w:left="720" w:hanging="360"/>
      </w:pPr>
      <w:rPr>
        <w:rFonts w:ascii="Symbol" w:hAnsi="Symbol"/>
      </w:rPr>
    </w:lvl>
    <w:lvl w:ilvl="6" w:tplc="80244C2E">
      <w:start w:val="1"/>
      <w:numFmt w:val="bullet"/>
      <w:lvlText w:val=""/>
      <w:lvlJc w:val="left"/>
      <w:pPr>
        <w:ind w:left="720" w:hanging="360"/>
      </w:pPr>
      <w:rPr>
        <w:rFonts w:ascii="Symbol" w:hAnsi="Symbol"/>
      </w:rPr>
    </w:lvl>
    <w:lvl w:ilvl="7" w:tplc="DD64D5BE">
      <w:start w:val="1"/>
      <w:numFmt w:val="bullet"/>
      <w:lvlText w:val=""/>
      <w:lvlJc w:val="left"/>
      <w:pPr>
        <w:ind w:left="720" w:hanging="360"/>
      </w:pPr>
      <w:rPr>
        <w:rFonts w:ascii="Symbol" w:hAnsi="Symbol"/>
      </w:rPr>
    </w:lvl>
    <w:lvl w:ilvl="8" w:tplc="8C1ED95C">
      <w:start w:val="1"/>
      <w:numFmt w:val="bullet"/>
      <w:lvlText w:val=""/>
      <w:lvlJc w:val="left"/>
      <w:pPr>
        <w:ind w:left="720" w:hanging="360"/>
      </w:pPr>
      <w:rPr>
        <w:rFonts w:ascii="Symbol" w:hAnsi="Symbol"/>
      </w:rPr>
    </w:lvl>
  </w:abstractNum>
  <w:abstractNum w:abstractNumId="11" w15:restartNumberingAfterBreak="0">
    <w:nsid w:val="6DCC0C99"/>
    <w:multiLevelType w:val="hybridMultilevel"/>
    <w:tmpl w:val="FF66B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F46359"/>
    <w:multiLevelType w:val="hybridMultilevel"/>
    <w:tmpl w:val="15CA615A"/>
    <w:lvl w:ilvl="0" w:tplc="520E496C">
      <w:start w:val="1"/>
      <w:numFmt w:val="bullet"/>
      <w:pStyle w:val="Bulletlist1"/>
      <w:lvlText w:val=""/>
      <w:lvlJc w:val="left"/>
      <w:pPr>
        <w:ind w:left="360" w:hanging="360"/>
      </w:pPr>
      <w:rPr>
        <w:rFonts w:ascii="Symbol" w:hAnsi="Symbol" w:hint="default"/>
        <w:strike w:val="0"/>
        <w:dstrike w:val="0"/>
        <w:color w:val="4472C4" w:themeColor="accent1"/>
        <w:sz w:val="24"/>
      </w:rPr>
    </w:lvl>
    <w:lvl w:ilvl="1" w:tplc="573869C8">
      <w:start w:val="1"/>
      <w:numFmt w:val="bullet"/>
      <w:pStyle w:val="Bulletlist2"/>
      <w:lvlText w:val="o"/>
      <w:lvlJc w:val="left"/>
      <w:pPr>
        <w:ind w:left="1440" w:hanging="360"/>
      </w:pPr>
      <w:rPr>
        <w:rFonts w:ascii="Courier New" w:hAnsi="Courier New" w:cs="Courier New" w:hint="default"/>
      </w:rPr>
    </w:lvl>
    <w:lvl w:ilvl="2" w:tplc="441A0458">
      <w:start w:val="1"/>
      <w:numFmt w:val="bullet"/>
      <w:pStyle w:val="BulletLis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901946">
    <w:abstractNumId w:val="1"/>
  </w:num>
  <w:num w:numId="2" w16cid:durableId="303463453">
    <w:abstractNumId w:val="4"/>
  </w:num>
  <w:num w:numId="3" w16cid:durableId="1742560849">
    <w:abstractNumId w:val="3"/>
  </w:num>
  <w:num w:numId="4" w16cid:durableId="1880582875">
    <w:abstractNumId w:val="4"/>
  </w:num>
  <w:num w:numId="5" w16cid:durableId="1554851024">
    <w:abstractNumId w:val="11"/>
  </w:num>
  <w:num w:numId="6" w16cid:durableId="1471898887">
    <w:abstractNumId w:val="2"/>
  </w:num>
  <w:num w:numId="7" w16cid:durableId="631713108">
    <w:abstractNumId w:val="6"/>
  </w:num>
  <w:num w:numId="8" w16cid:durableId="416363107">
    <w:abstractNumId w:val="10"/>
  </w:num>
  <w:num w:numId="9" w16cid:durableId="59404738">
    <w:abstractNumId w:val="7"/>
  </w:num>
  <w:num w:numId="10" w16cid:durableId="2097288520">
    <w:abstractNumId w:val="4"/>
  </w:num>
  <w:num w:numId="11" w16cid:durableId="1176724934">
    <w:abstractNumId w:val="5"/>
  </w:num>
  <w:num w:numId="12" w16cid:durableId="1139147631">
    <w:abstractNumId w:val="0"/>
  </w:num>
  <w:num w:numId="13" w16cid:durableId="1242984322">
    <w:abstractNumId w:val="12"/>
  </w:num>
  <w:num w:numId="14" w16cid:durableId="731538370">
    <w:abstractNumId w:val="4"/>
    <w:lvlOverride w:ilvl="0">
      <w:startOverride w:val="1"/>
    </w:lvlOverride>
  </w:num>
  <w:num w:numId="15" w16cid:durableId="964044297">
    <w:abstractNumId w:val="4"/>
  </w:num>
  <w:num w:numId="16" w16cid:durableId="1868133602">
    <w:abstractNumId w:val="4"/>
  </w:num>
  <w:num w:numId="17" w16cid:durableId="1901552311">
    <w:abstractNumId w:val="8"/>
  </w:num>
  <w:num w:numId="18" w16cid:durableId="540749300">
    <w:abstractNumId w:val="12"/>
  </w:num>
  <w:num w:numId="19" w16cid:durableId="989016579">
    <w:abstractNumId w:val="12"/>
  </w:num>
  <w:num w:numId="20" w16cid:durableId="422722096">
    <w:abstractNumId w:val="12"/>
  </w:num>
  <w:num w:numId="21" w16cid:durableId="420641371">
    <w:abstractNumId w:val="4"/>
  </w:num>
  <w:num w:numId="22" w16cid:durableId="803549083">
    <w:abstractNumId w:val="12"/>
  </w:num>
  <w:num w:numId="23" w16cid:durableId="1652824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07"/>
    <w:rsid w:val="000019A0"/>
    <w:rsid w:val="00004F15"/>
    <w:rsid w:val="000059A5"/>
    <w:rsid w:val="00007340"/>
    <w:rsid w:val="00007592"/>
    <w:rsid w:val="0000795B"/>
    <w:rsid w:val="00007E72"/>
    <w:rsid w:val="00014743"/>
    <w:rsid w:val="00021083"/>
    <w:rsid w:val="00021224"/>
    <w:rsid w:val="00030504"/>
    <w:rsid w:val="00030CB6"/>
    <w:rsid w:val="00033041"/>
    <w:rsid w:val="000330F4"/>
    <w:rsid w:val="000347BF"/>
    <w:rsid w:val="000377B1"/>
    <w:rsid w:val="0003780B"/>
    <w:rsid w:val="00037CCE"/>
    <w:rsid w:val="00040E4F"/>
    <w:rsid w:val="00041E30"/>
    <w:rsid w:val="00042525"/>
    <w:rsid w:val="0004567D"/>
    <w:rsid w:val="00047096"/>
    <w:rsid w:val="0004746A"/>
    <w:rsid w:val="00047F3F"/>
    <w:rsid w:val="0005276A"/>
    <w:rsid w:val="000531ED"/>
    <w:rsid w:val="00055D12"/>
    <w:rsid w:val="000567FA"/>
    <w:rsid w:val="000574B3"/>
    <w:rsid w:val="0005752C"/>
    <w:rsid w:val="000577B4"/>
    <w:rsid w:val="00060830"/>
    <w:rsid w:val="00061A2A"/>
    <w:rsid w:val="000633AF"/>
    <w:rsid w:val="00064F3A"/>
    <w:rsid w:val="00070152"/>
    <w:rsid w:val="0007597C"/>
    <w:rsid w:val="000771A0"/>
    <w:rsid w:val="00084C8D"/>
    <w:rsid w:val="00087D4D"/>
    <w:rsid w:val="00090A35"/>
    <w:rsid w:val="00091D2F"/>
    <w:rsid w:val="00091E12"/>
    <w:rsid w:val="000933CE"/>
    <w:rsid w:val="000959EB"/>
    <w:rsid w:val="000A3282"/>
    <w:rsid w:val="000A32CA"/>
    <w:rsid w:val="000B04D8"/>
    <w:rsid w:val="000B24C6"/>
    <w:rsid w:val="000B365D"/>
    <w:rsid w:val="000B3B08"/>
    <w:rsid w:val="000B47C1"/>
    <w:rsid w:val="000C0FDD"/>
    <w:rsid w:val="000C1F82"/>
    <w:rsid w:val="000C4E55"/>
    <w:rsid w:val="000C7D41"/>
    <w:rsid w:val="000D4158"/>
    <w:rsid w:val="000D636D"/>
    <w:rsid w:val="000D7F5E"/>
    <w:rsid w:val="000E0A67"/>
    <w:rsid w:val="000E1226"/>
    <w:rsid w:val="000E1B91"/>
    <w:rsid w:val="000E3A13"/>
    <w:rsid w:val="000E4F64"/>
    <w:rsid w:val="000F0F86"/>
    <w:rsid w:val="000F2C91"/>
    <w:rsid w:val="000F617E"/>
    <w:rsid w:val="000F738E"/>
    <w:rsid w:val="0010224E"/>
    <w:rsid w:val="00110F23"/>
    <w:rsid w:val="00112538"/>
    <w:rsid w:val="00112D02"/>
    <w:rsid w:val="00115AB5"/>
    <w:rsid w:val="00134872"/>
    <w:rsid w:val="00140F15"/>
    <w:rsid w:val="00141903"/>
    <w:rsid w:val="00143E94"/>
    <w:rsid w:val="00146993"/>
    <w:rsid w:val="00150151"/>
    <w:rsid w:val="001536CB"/>
    <w:rsid w:val="0015467D"/>
    <w:rsid w:val="00154F82"/>
    <w:rsid w:val="001550CD"/>
    <w:rsid w:val="00155ED7"/>
    <w:rsid w:val="00160C81"/>
    <w:rsid w:val="00161222"/>
    <w:rsid w:val="001645BD"/>
    <w:rsid w:val="0016670C"/>
    <w:rsid w:val="00167528"/>
    <w:rsid w:val="001764BF"/>
    <w:rsid w:val="001769C1"/>
    <w:rsid w:val="00176CE3"/>
    <w:rsid w:val="0018636B"/>
    <w:rsid w:val="00190EC1"/>
    <w:rsid w:val="00190ED1"/>
    <w:rsid w:val="00193624"/>
    <w:rsid w:val="00194857"/>
    <w:rsid w:val="001974E2"/>
    <w:rsid w:val="001B3641"/>
    <w:rsid w:val="001B652A"/>
    <w:rsid w:val="001B733D"/>
    <w:rsid w:val="001C125F"/>
    <w:rsid w:val="001C3EE4"/>
    <w:rsid w:val="001C74F8"/>
    <w:rsid w:val="001D0073"/>
    <w:rsid w:val="001D14AD"/>
    <w:rsid w:val="001D3A3E"/>
    <w:rsid w:val="001E0C44"/>
    <w:rsid w:val="001E4034"/>
    <w:rsid w:val="001E4BC6"/>
    <w:rsid w:val="001E768E"/>
    <w:rsid w:val="001F0C7A"/>
    <w:rsid w:val="001F1FBA"/>
    <w:rsid w:val="001F3512"/>
    <w:rsid w:val="001F36EA"/>
    <w:rsid w:val="001F371A"/>
    <w:rsid w:val="001F5908"/>
    <w:rsid w:val="002008C0"/>
    <w:rsid w:val="002029E9"/>
    <w:rsid w:val="00202F0A"/>
    <w:rsid w:val="0020305C"/>
    <w:rsid w:val="00204DF1"/>
    <w:rsid w:val="00205845"/>
    <w:rsid w:val="00212904"/>
    <w:rsid w:val="002130C7"/>
    <w:rsid w:val="0021581C"/>
    <w:rsid w:val="0021716D"/>
    <w:rsid w:val="00222009"/>
    <w:rsid w:val="00223918"/>
    <w:rsid w:val="002269A8"/>
    <w:rsid w:val="002273EB"/>
    <w:rsid w:val="002347DE"/>
    <w:rsid w:val="00237601"/>
    <w:rsid w:val="002402BE"/>
    <w:rsid w:val="00240CF8"/>
    <w:rsid w:val="002435C4"/>
    <w:rsid w:val="00243C6B"/>
    <w:rsid w:val="00243DDB"/>
    <w:rsid w:val="002454E0"/>
    <w:rsid w:val="002513CC"/>
    <w:rsid w:val="0025206F"/>
    <w:rsid w:val="00254D5D"/>
    <w:rsid w:val="0026074D"/>
    <w:rsid w:val="00260EA2"/>
    <w:rsid w:val="00266849"/>
    <w:rsid w:val="00270B30"/>
    <w:rsid w:val="002728E5"/>
    <w:rsid w:val="00272D07"/>
    <w:rsid w:val="00273C14"/>
    <w:rsid w:val="00275557"/>
    <w:rsid w:val="0027759E"/>
    <w:rsid w:val="00291A71"/>
    <w:rsid w:val="00293091"/>
    <w:rsid w:val="00293500"/>
    <w:rsid w:val="0029371B"/>
    <w:rsid w:val="00294E09"/>
    <w:rsid w:val="002A075F"/>
    <w:rsid w:val="002A0963"/>
    <w:rsid w:val="002A0A11"/>
    <w:rsid w:val="002A0B79"/>
    <w:rsid w:val="002A1244"/>
    <w:rsid w:val="002A3D18"/>
    <w:rsid w:val="002A51D2"/>
    <w:rsid w:val="002A7105"/>
    <w:rsid w:val="002A7EEC"/>
    <w:rsid w:val="002B192F"/>
    <w:rsid w:val="002B6255"/>
    <w:rsid w:val="002C3038"/>
    <w:rsid w:val="002C326D"/>
    <w:rsid w:val="002C79D8"/>
    <w:rsid w:val="002D78F9"/>
    <w:rsid w:val="002D7FB8"/>
    <w:rsid w:val="002E222A"/>
    <w:rsid w:val="002E2B1E"/>
    <w:rsid w:val="002E3886"/>
    <w:rsid w:val="002E50F0"/>
    <w:rsid w:val="002E5C48"/>
    <w:rsid w:val="002F5ADA"/>
    <w:rsid w:val="00301DEB"/>
    <w:rsid w:val="00307666"/>
    <w:rsid w:val="0030779F"/>
    <w:rsid w:val="00307F39"/>
    <w:rsid w:val="003101FD"/>
    <w:rsid w:val="00314997"/>
    <w:rsid w:val="00320673"/>
    <w:rsid w:val="0032080A"/>
    <w:rsid w:val="00322A4D"/>
    <w:rsid w:val="0032466C"/>
    <w:rsid w:val="00324B8C"/>
    <w:rsid w:val="00326138"/>
    <w:rsid w:val="00327D9A"/>
    <w:rsid w:val="00327F56"/>
    <w:rsid w:val="003300AF"/>
    <w:rsid w:val="00330749"/>
    <w:rsid w:val="00330BD2"/>
    <w:rsid w:val="003376DC"/>
    <w:rsid w:val="00345513"/>
    <w:rsid w:val="00352E58"/>
    <w:rsid w:val="003542D2"/>
    <w:rsid w:val="003572EA"/>
    <w:rsid w:val="00357CC4"/>
    <w:rsid w:val="00361641"/>
    <w:rsid w:val="0036258D"/>
    <w:rsid w:val="00362B86"/>
    <w:rsid w:val="00365EB6"/>
    <w:rsid w:val="003661A9"/>
    <w:rsid w:val="00367DCB"/>
    <w:rsid w:val="0037071A"/>
    <w:rsid w:val="003726C2"/>
    <w:rsid w:val="00375C48"/>
    <w:rsid w:val="00376BBA"/>
    <w:rsid w:val="003811DD"/>
    <w:rsid w:val="00382498"/>
    <w:rsid w:val="00382E04"/>
    <w:rsid w:val="0038692E"/>
    <w:rsid w:val="00386DA0"/>
    <w:rsid w:val="003911BE"/>
    <w:rsid w:val="00392C93"/>
    <w:rsid w:val="003A0088"/>
    <w:rsid w:val="003A16DD"/>
    <w:rsid w:val="003A4B16"/>
    <w:rsid w:val="003A5A93"/>
    <w:rsid w:val="003A79B4"/>
    <w:rsid w:val="003B0ADE"/>
    <w:rsid w:val="003B35B4"/>
    <w:rsid w:val="003B3705"/>
    <w:rsid w:val="003B3E1B"/>
    <w:rsid w:val="003B423D"/>
    <w:rsid w:val="003B44E2"/>
    <w:rsid w:val="003B4EAB"/>
    <w:rsid w:val="003C13BC"/>
    <w:rsid w:val="003C2871"/>
    <w:rsid w:val="003C29BE"/>
    <w:rsid w:val="003C423D"/>
    <w:rsid w:val="003C4F6F"/>
    <w:rsid w:val="003D163F"/>
    <w:rsid w:val="003D3FD9"/>
    <w:rsid w:val="003D5462"/>
    <w:rsid w:val="003F227D"/>
    <w:rsid w:val="003F3DF6"/>
    <w:rsid w:val="003F470F"/>
    <w:rsid w:val="003F7CA6"/>
    <w:rsid w:val="0040042D"/>
    <w:rsid w:val="00403E91"/>
    <w:rsid w:val="00405956"/>
    <w:rsid w:val="004170BC"/>
    <w:rsid w:val="00420832"/>
    <w:rsid w:val="0042149B"/>
    <w:rsid w:val="00424895"/>
    <w:rsid w:val="0042760B"/>
    <w:rsid w:val="00427B98"/>
    <w:rsid w:val="004318EE"/>
    <w:rsid w:val="00431F21"/>
    <w:rsid w:val="004338EE"/>
    <w:rsid w:val="00437E6C"/>
    <w:rsid w:val="0044111F"/>
    <w:rsid w:val="00441ACB"/>
    <w:rsid w:val="004457DB"/>
    <w:rsid w:val="004510BE"/>
    <w:rsid w:val="004564AD"/>
    <w:rsid w:val="0046565A"/>
    <w:rsid w:val="00465DF9"/>
    <w:rsid w:val="00474313"/>
    <w:rsid w:val="00475E0A"/>
    <w:rsid w:val="004804BB"/>
    <w:rsid w:val="00483E97"/>
    <w:rsid w:val="00491907"/>
    <w:rsid w:val="004930EF"/>
    <w:rsid w:val="00493296"/>
    <w:rsid w:val="00496056"/>
    <w:rsid w:val="00497521"/>
    <w:rsid w:val="004A0C66"/>
    <w:rsid w:val="004A1F1A"/>
    <w:rsid w:val="004A26C8"/>
    <w:rsid w:val="004A33D7"/>
    <w:rsid w:val="004A4330"/>
    <w:rsid w:val="004A70CD"/>
    <w:rsid w:val="004A72C8"/>
    <w:rsid w:val="004B0F0E"/>
    <w:rsid w:val="004B1059"/>
    <w:rsid w:val="004B32AD"/>
    <w:rsid w:val="004C050C"/>
    <w:rsid w:val="004C0CE2"/>
    <w:rsid w:val="004C3EDC"/>
    <w:rsid w:val="004D6071"/>
    <w:rsid w:val="004E086A"/>
    <w:rsid w:val="004E1A19"/>
    <w:rsid w:val="004E23F8"/>
    <w:rsid w:val="004E2FE1"/>
    <w:rsid w:val="004E3EB1"/>
    <w:rsid w:val="004E465C"/>
    <w:rsid w:val="004E6146"/>
    <w:rsid w:val="004F0A49"/>
    <w:rsid w:val="004F1290"/>
    <w:rsid w:val="004F3EB9"/>
    <w:rsid w:val="004F4728"/>
    <w:rsid w:val="004F6F3E"/>
    <w:rsid w:val="005015B5"/>
    <w:rsid w:val="00502B89"/>
    <w:rsid w:val="00505128"/>
    <w:rsid w:val="00510782"/>
    <w:rsid w:val="00510AEE"/>
    <w:rsid w:val="00510D16"/>
    <w:rsid w:val="00512ECA"/>
    <w:rsid w:val="00520C15"/>
    <w:rsid w:val="00521D83"/>
    <w:rsid w:val="00523497"/>
    <w:rsid w:val="00524BD7"/>
    <w:rsid w:val="00526860"/>
    <w:rsid w:val="005301E0"/>
    <w:rsid w:val="005343E4"/>
    <w:rsid w:val="00534D89"/>
    <w:rsid w:val="00534F6D"/>
    <w:rsid w:val="00535989"/>
    <w:rsid w:val="00536DD9"/>
    <w:rsid w:val="00543296"/>
    <w:rsid w:val="005474DB"/>
    <w:rsid w:val="00547BF2"/>
    <w:rsid w:val="005518CD"/>
    <w:rsid w:val="00556392"/>
    <w:rsid w:val="00557CA6"/>
    <w:rsid w:val="00561BE4"/>
    <w:rsid w:val="00562800"/>
    <w:rsid w:val="0056542B"/>
    <w:rsid w:val="00565C63"/>
    <w:rsid w:val="005761AE"/>
    <w:rsid w:val="00580174"/>
    <w:rsid w:val="0058415D"/>
    <w:rsid w:val="00584626"/>
    <w:rsid w:val="005860AA"/>
    <w:rsid w:val="00590F16"/>
    <w:rsid w:val="00591BD9"/>
    <w:rsid w:val="005920F8"/>
    <w:rsid w:val="00594AAE"/>
    <w:rsid w:val="005969D2"/>
    <w:rsid w:val="005A1804"/>
    <w:rsid w:val="005A2544"/>
    <w:rsid w:val="005A43CF"/>
    <w:rsid w:val="005A4A85"/>
    <w:rsid w:val="005A5D4B"/>
    <w:rsid w:val="005A6044"/>
    <w:rsid w:val="005A7612"/>
    <w:rsid w:val="005B1CDA"/>
    <w:rsid w:val="005B2210"/>
    <w:rsid w:val="005B3C22"/>
    <w:rsid w:val="005B4BF5"/>
    <w:rsid w:val="005C2B4D"/>
    <w:rsid w:val="005C5892"/>
    <w:rsid w:val="005C59AC"/>
    <w:rsid w:val="005D5DE8"/>
    <w:rsid w:val="005E0173"/>
    <w:rsid w:val="005E36DF"/>
    <w:rsid w:val="005E6A71"/>
    <w:rsid w:val="005F0F7B"/>
    <w:rsid w:val="005F206A"/>
    <w:rsid w:val="005F2AEF"/>
    <w:rsid w:val="005F717F"/>
    <w:rsid w:val="00603687"/>
    <w:rsid w:val="00610E81"/>
    <w:rsid w:val="00612495"/>
    <w:rsid w:val="00612CD2"/>
    <w:rsid w:val="0061366E"/>
    <w:rsid w:val="0061414C"/>
    <w:rsid w:val="00614F9A"/>
    <w:rsid w:val="006152AF"/>
    <w:rsid w:val="0061532B"/>
    <w:rsid w:val="006158E6"/>
    <w:rsid w:val="006165AC"/>
    <w:rsid w:val="0061797F"/>
    <w:rsid w:val="00620F52"/>
    <w:rsid w:val="00621B04"/>
    <w:rsid w:val="00621B37"/>
    <w:rsid w:val="006262AC"/>
    <w:rsid w:val="00627C66"/>
    <w:rsid w:val="00633624"/>
    <w:rsid w:val="00642FDA"/>
    <w:rsid w:val="00644676"/>
    <w:rsid w:val="006471F5"/>
    <w:rsid w:val="006553B4"/>
    <w:rsid w:val="00657900"/>
    <w:rsid w:val="00657E8B"/>
    <w:rsid w:val="00663775"/>
    <w:rsid w:val="00663DE1"/>
    <w:rsid w:val="00664291"/>
    <w:rsid w:val="0066641F"/>
    <w:rsid w:val="00666C5B"/>
    <w:rsid w:val="0066708B"/>
    <w:rsid w:val="00667761"/>
    <w:rsid w:val="006703A4"/>
    <w:rsid w:val="00671166"/>
    <w:rsid w:val="006723B9"/>
    <w:rsid w:val="0067315F"/>
    <w:rsid w:val="00674BEE"/>
    <w:rsid w:val="00675D6B"/>
    <w:rsid w:val="00676789"/>
    <w:rsid w:val="00681723"/>
    <w:rsid w:val="006840A6"/>
    <w:rsid w:val="006879A3"/>
    <w:rsid w:val="00690DA8"/>
    <w:rsid w:val="00690FD4"/>
    <w:rsid w:val="00692F8D"/>
    <w:rsid w:val="00695822"/>
    <w:rsid w:val="00696D80"/>
    <w:rsid w:val="006A7AB4"/>
    <w:rsid w:val="006B0021"/>
    <w:rsid w:val="006B26BC"/>
    <w:rsid w:val="006B51A0"/>
    <w:rsid w:val="006B6628"/>
    <w:rsid w:val="006B7531"/>
    <w:rsid w:val="006C1447"/>
    <w:rsid w:val="006C7910"/>
    <w:rsid w:val="006C7E3D"/>
    <w:rsid w:val="006D1A2C"/>
    <w:rsid w:val="006D1ABA"/>
    <w:rsid w:val="006D4309"/>
    <w:rsid w:val="006E0195"/>
    <w:rsid w:val="006E0B9C"/>
    <w:rsid w:val="006E1702"/>
    <w:rsid w:val="006E2EE6"/>
    <w:rsid w:val="006E6E9E"/>
    <w:rsid w:val="006F0E37"/>
    <w:rsid w:val="006F1052"/>
    <w:rsid w:val="006F20DB"/>
    <w:rsid w:val="006F6B7D"/>
    <w:rsid w:val="0070069D"/>
    <w:rsid w:val="00700AAD"/>
    <w:rsid w:val="00701992"/>
    <w:rsid w:val="00702C82"/>
    <w:rsid w:val="00702F64"/>
    <w:rsid w:val="00703393"/>
    <w:rsid w:val="00703EB9"/>
    <w:rsid w:val="00705AD5"/>
    <w:rsid w:val="007068F9"/>
    <w:rsid w:val="00710CCF"/>
    <w:rsid w:val="00711EE8"/>
    <w:rsid w:val="00712827"/>
    <w:rsid w:val="0071396A"/>
    <w:rsid w:val="0071397E"/>
    <w:rsid w:val="00714C85"/>
    <w:rsid w:val="00714D4B"/>
    <w:rsid w:val="00720432"/>
    <w:rsid w:val="00720E1D"/>
    <w:rsid w:val="00721B79"/>
    <w:rsid w:val="00723055"/>
    <w:rsid w:val="007261C2"/>
    <w:rsid w:val="007276F7"/>
    <w:rsid w:val="0073086D"/>
    <w:rsid w:val="00730B84"/>
    <w:rsid w:val="00735EC4"/>
    <w:rsid w:val="00736D9C"/>
    <w:rsid w:val="0073794D"/>
    <w:rsid w:val="00740488"/>
    <w:rsid w:val="00746863"/>
    <w:rsid w:val="00751322"/>
    <w:rsid w:val="00752866"/>
    <w:rsid w:val="00752A81"/>
    <w:rsid w:val="007559F1"/>
    <w:rsid w:val="00757036"/>
    <w:rsid w:val="007571C4"/>
    <w:rsid w:val="00763E94"/>
    <w:rsid w:val="0076572E"/>
    <w:rsid w:val="00767C56"/>
    <w:rsid w:val="00771617"/>
    <w:rsid w:val="00771A20"/>
    <w:rsid w:val="007800A6"/>
    <w:rsid w:val="00780CDC"/>
    <w:rsid w:val="0079292A"/>
    <w:rsid w:val="007A1863"/>
    <w:rsid w:val="007A7B33"/>
    <w:rsid w:val="007B117A"/>
    <w:rsid w:val="007B19EF"/>
    <w:rsid w:val="007B2250"/>
    <w:rsid w:val="007B3579"/>
    <w:rsid w:val="007B3D29"/>
    <w:rsid w:val="007B47CD"/>
    <w:rsid w:val="007C2CF3"/>
    <w:rsid w:val="007C364A"/>
    <w:rsid w:val="007C4F90"/>
    <w:rsid w:val="007C57D3"/>
    <w:rsid w:val="007D22BE"/>
    <w:rsid w:val="007D405E"/>
    <w:rsid w:val="007D425B"/>
    <w:rsid w:val="007D474F"/>
    <w:rsid w:val="007D6E9C"/>
    <w:rsid w:val="007D76F5"/>
    <w:rsid w:val="007D7C41"/>
    <w:rsid w:val="007E5F51"/>
    <w:rsid w:val="007E65D0"/>
    <w:rsid w:val="007E7B5D"/>
    <w:rsid w:val="007F3703"/>
    <w:rsid w:val="007F485F"/>
    <w:rsid w:val="007F6064"/>
    <w:rsid w:val="007F7FEB"/>
    <w:rsid w:val="00800BCF"/>
    <w:rsid w:val="0080149C"/>
    <w:rsid w:val="00802B30"/>
    <w:rsid w:val="0080334A"/>
    <w:rsid w:val="00804479"/>
    <w:rsid w:val="0081051F"/>
    <w:rsid w:val="00821C2B"/>
    <w:rsid w:val="00823838"/>
    <w:rsid w:val="0082527F"/>
    <w:rsid w:val="00825F9C"/>
    <w:rsid w:val="00834014"/>
    <w:rsid w:val="008347AA"/>
    <w:rsid w:val="00834E92"/>
    <w:rsid w:val="008412B7"/>
    <w:rsid w:val="00841379"/>
    <w:rsid w:val="008434BE"/>
    <w:rsid w:val="00844ECA"/>
    <w:rsid w:val="0084651F"/>
    <w:rsid w:val="00852F20"/>
    <w:rsid w:val="008531FC"/>
    <w:rsid w:val="00855344"/>
    <w:rsid w:val="0085649C"/>
    <w:rsid w:val="008601F2"/>
    <w:rsid w:val="0086029E"/>
    <w:rsid w:val="008617AA"/>
    <w:rsid w:val="0086454D"/>
    <w:rsid w:val="00865552"/>
    <w:rsid w:val="00870A1C"/>
    <w:rsid w:val="00871A5F"/>
    <w:rsid w:val="008747F3"/>
    <w:rsid w:val="00877034"/>
    <w:rsid w:val="008800F6"/>
    <w:rsid w:val="00883890"/>
    <w:rsid w:val="008855CB"/>
    <w:rsid w:val="00887B22"/>
    <w:rsid w:val="00895025"/>
    <w:rsid w:val="00895833"/>
    <w:rsid w:val="00896BE4"/>
    <w:rsid w:val="008A2CA3"/>
    <w:rsid w:val="008A6769"/>
    <w:rsid w:val="008B1471"/>
    <w:rsid w:val="008B2071"/>
    <w:rsid w:val="008B2660"/>
    <w:rsid w:val="008B317C"/>
    <w:rsid w:val="008B3F3B"/>
    <w:rsid w:val="008C015F"/>
    <w:rsid w:val="008C1DDF"/>
    <w:rsid w:val="008C22FA"/>
    <w:rsid w:val="008C46D0"/>
    <w:rsid w:val="008C4869"/>
    <w:rsid w:val="008C4A76"/>
    <w:rsid w:val="008C4AEB"/>
    <w:rsid w:val="008C505F"/>
    <w:rsid w:val="008D0DB9"/>
    <w:rsid w:val="008D17F0"/>
    <w:rsid w:val="008D36E6"/>
    <w:rsid w:val="008D3E21"/>
    <w:rsid w:val="008D4F60"/>
    <w:rsid w:val="008D5CAE"/>
    <w:rsid w:val="008D6C43"/>
    <w:rsid w:val="008D78C1"/>
    <w:rsid w:val="008D7F49"/>
    <w:rsid w:val="008E2A0B"/>
    <w:rsid w:val="008E3747"/>
    <w:rsid w:val="008E3A77"/>
    <w:rsid w:val="008E476C"/>
    <w:rsid w:val="008E6875"/>
    <w:rsid w:val="008F040C"/>
    <w:rsid w:val="008F1A89"/>
    <w:rsid w:val="008F3F24"/>
    <w:rsid w:val="008F40F8"/>
    <w:rsid w:val="008F6E59"/>
    <w:rsid w:val="008F7EBD"/>
    <w:rsid w:val="00903E6F"/>
    <w:rsid w:val="00905307"/>
    <w:rsid w:val="00915671"/>
    <w:rsid w:val="009156FC"/>
    <w:rsid w:val="009164B4"/>
    <w:rsid w:val="009204CD"/>
    <w:rsid w:val="00920B44"/>
    <w:rsid w:val="00920C85"/>
    <w:rsid w:val="0092506E"/>
    <w:rsid w:val="009256E9"/>
    <w:rsid w:val="0093027D"/>
    <w:rsid w:val="00932B63"/>
    <w:rsid w:val="009403A9"/>
    <w:rsid w:val="00940DE2"/>
    <w:rsid w:val="00943A82"/>
    <w:rsid w:val="00944FE9"/>
    <w:rsid w:val="009457A9"/>
    <w:rsid w:val="009518C9"/>
    <w:rsid w:val="009530DC"/>
    <w:rsid w:val="00953926"/>
    <w:rsid w:val="00967D21"/>
    <w:rsid w:val="00971388"/>
    <w:rsid w:val="00975538"/>
    <w:rsid w:val="00980237"/>
    <w:rsid w:val="00981A1C"/>
    <w:rsid w:val="00982A9A"/>
    <w:rsid w:val="00982CC7"/>
    <w:rsid w:val="009832B4"/>
    <w:rsid w:val="00987AF4"/>
    <w:rsid w:val="00987B63"/>
    <w:rsid w:val="00990913"/>
    <w:rsid w:val="009938C7"/>
    <w:rsid w:val="0099397F"/>
    <w:rsid w:val="0099536E"/>
    <w:rsid w:val="009955AF"/>
    <w:rsid w:val="00996EB7"/>
    <w:rsid w:val="009A0BE5"/>
    <w:rsid w:val="009A1847"/>
    <w:rsid w:val="009A310C"/>
    <w:rsid w:val="009A40D3"/>
    <w:rsid w:val="009A4EE8"/>
    <w:rsid w:val="009A5138"/>
    <w:rsid w:val="009B0CB3"/>
    <w:rsid w:val="009B4B9B"/>
    <w:rsid w:val="009B65D9"/>
    <w:rsid w:val="009C1BFE"/>
    <w:rsid w:val="009C4CBE"/>
    <w:rsid w:val="009C76C2"/>
    <w:rsid w:val="009D3075"/>
    <w:rsid w:val="009D6CB5"/>
    <w:rsid w:val="009D7EBA"/>
    <w:rsid w:val="009E582C"/>
    <w:rsid w:val="009E5CD9"/>
    <w:rsid w:val="009E6FD7"/>
    <w:rsid w:val="009F1AD8"/>
    <w:rsid w:val="009F56B6"/>
    <w:rsid w:val="009F63DE"/>
    <w:rsid w:val="00A0293F"/>
    <w:rsid w:val="00A02AB3"/>
    <w:rsid w:val="00A02B51"/>
    <w:rsid w:val="00A0334F"/>
    <w:rsid w:val="00A03C1E"/>
    <w:rsid w:val="00A107C9"/>
    <w:rsid w:val="00A1173A"/>
    <w:rsid w:val="00A1266A"/>
    <w:rsid w:val="00A16E6B"/>
    <w:rsid w:val="00A20703"/>
    <w:rsid w:val="00A21B27"/>
    <w:rsid w:val="00A225F6"/>
    <w:rsid w:val="00A3604D"/>
    <w:rsid w:val="00A40580"/>
    <w:rsid w:val="00A44956"/>
    <w:rsid w:val="00A44A8C"/>
    <w:rsid w:val="00A479C5"/>
    <w:rsid w:val="00A5045F"/>
    <w:rsid w:val="00A53302"/>
    <w:rsid w:val="00A54B59"/>
    <w:rsid w:val="00A54F77"/>
    <w:rsid w:val="00A55670"/>
    <w:rsid w:val="00A56469"/>
    <w:rsid w:val="00A56668"/>
    <w:rsid w:val="00A61495"/>
    <w:rsid w:val="00A63152"/>
    <w:rsid w:val="00A639B9"/>
    <w:rsid w:val="00A6479B"/>
    <w:rsid w:val="00A64B80"/>
    <w:rsid w:val="00A67087"/>
    <w:rsid w:val="00A71CA7"/>
    <w:rsid w:val="00A71E12"/>
    <w:rsid w:val="00A7288A"/>
    <w:rsid w:val="00A72B32"/>
    <w:rsid w:val="00A74C7C"/>
    <w:rsid w:val="00A76CFE"/>
    <w:rsid w:val="00A80EE7"/>
    <w:rsid w:val="00A80F4F"/>
    <w:rsid w:val="00A90739"/>
    <w:rsid w:val="00A91049"/>
    <w:rsid w:val="00A92DE4"/>
    <w:rsid w:val="00A935DE"/>
    <w:rsid w:val="00A96B91"/>
    <w:rsid w:val="00A97C85"/>
    <w:rsid w:val="00AA1A91"/>
    <w:rsid w:val="00AA2F43"/>
    <w:rsid w:val="00AA4EEB"/>
    <w:rsid w:val="00AA655D"/>
    <w:rsid w:val="00AB0541"/>
    <w:rsid w:val="00AB05C7"/>
    <w:rsid w:val="00AB1B95"/>
    <w:rsid w:val="00AB3581"/>
    <w:rsid w:val="00AB3707"/>
    <w:rsid w:val="00AB7493"/>
    <w:rsid w:val="00AC3C28"/>
    <w:rsid w:val="00AC4156"/>
    <w:rsid w:val="00AC605C"/>
    <w:rsid w:val="00AC7429"/>
    <w:rsid w:val="00AD5E8B"/>
    <w:rsid w:val="00AD67FE"/>
    <w:rsid w:val="00AD6E44"/>
    <w:rsid w:val="00AE002F"/>
    <w:rsid w:val="00AE39E4"/>
    <w:rsid w:val="00AE7469"/>
    <w:rsid w:val="00AF4AF8"/>
    <w:rsid w:val="00AF7C75"/>
    <w:rsid w:val="00B047C2"/>
    <w:rsid w:val="00B06F9A"/>
    <w:rsid w:val="00B106C4"/>
    <w:rsid w:val="00B15002"/>
    <w:rsid w:val="00B16EDF"/>
    <w:rsid w:val="00B210CB"/>
    <w:rsid w:val="00B216BF"/>
    <w:rsid w:val="00B22E10"/>
    <w:rsid w:val="00B230DF"/>
    <w:rsid w:val="00B260B8"/>
    <w:rsid w:val="00B268C5"/>
    <w:rsid w:val="00B30040"/>
    <w:rsid w:val="00B34782"/>
    <w:rsid w:val="00B35712"/>
    <w:rsid w:val="00B36110"/>
    <w:rsid w:val="00B41C10"/>
    <w:rsid w:val="00B43068"/>
    <w:rsid w:val="00B45B39"/>
    <w:rsid w:val="00B45B96"/>
    <w:rsid w:val="00B46780"/>
    <w:rsid w:val="00B46FC9"/>
    <w:rsid w:val="00B474AF"/>
    <w:rsid w:val="00B47A17"/>
    <w:rsid w:val="00B5495E"/>
    <w:rsid w:val="00B6425A"/>
    <w:rsid w:val="00B643F6"/>
    <w:rsid w:val="00B70DCA"/>
    <w:rsid w:val="00B72A7C"/>
    <w:rsid w:val="00B748B5"/>
    <w:rsid w:val="00B75623"/>
    <w:rsid w:val="00B75A70"/>
    <w:rsid w:val="00B76D4A"/>
    <w:rsid w:val="00B82BAC"/>
    <w:rsid w:val="00B83D2D"/>
    <w:rsid w:val="00B8495A"/>
    <w:rsid w:val="00B872A7"/>
    <w:rsid w:val="00B8773D"/>
    <w:rsid w:val="00B93F07"/>
    <w:rsid w:val="00B94D68"/>
    <w:rsid w:val="00BA0503"/>
    <w:rsid w:val="00BA2F06"/>
    <w:rsid w:val="00BB0D5D"/>
    <w:rsid w:val="00BB129A"/>
    <w:rsid w:val="00BB25B6"/>
    <w:rsid w:val="00BB4C03"/>
    <w:rsid w:val="00BB4F05"/>
    <w:rsid w:val="00BB522A"/>
    <w:rsid w:val="00BC04B5"/>
    <w:rsid w:val="00BC58BF"/>
    <w:rsid w:val="00BD19B2"/>
    <w:rsid w:val="00BD1A93"/>
    <w:rsid w:val="00BD2D70"/>
    <w:rsid w:val="00BD3BB6"/>
    <w:rsid w:val="00BD3BB8"/>
    <w:rsid w:val="00BD46F5"/>
    <w:rsid w:val="00BD784A"/>
    <w:rsid w:val="00BE6638"/>
    <w:rsid w:val="00BE702B"/>
    <w:rsid w:val="00BE771B"/>
    <w:rsid w:val="00BF4A08"/>
    <w:rsid w:val="00BF507A"/>
    <w:rsid w:val="00C03FB3"/>
    <w:rsid w:val="00C05A62"/>
    <w:rsid w:val="00C05FA6"/>
    <w:rsid w:val="00C064F3"/>
    <w:rsid w:val="00C14791"/>
    <w:rsid w:val="00C1753D"/>
    <w:rsid w:val="00C175C2"/>
    <w:rsid w:val="00C303F4"/>
    <w:rsid w:val="00C31622"/>
    <w:rsid w:val="00C33BD0"/>
    <w:rsid w:val="00C369F2"/>
    <w:rsid w:val="00C45723"/>
    <w:rsid w:val="00C45B77"/>
    <w:rsid w:val="00C45BA7"/>
    <w:rsid w:val="00C50B55"/>
    <w:rsid w:val="00C53AFB"/>
    <w:rsid w:val="00C5468E"/>
    <w:rsid w:val="00C55B39"/>
    <w:rsid w:val="00C62557"/>
    <w:rsid w:val="00C63D43"/>
    <w:rsid w:val="00C64688"/>
    <w:rsid w:val="00C66305"/>
    <w:rsid w:val="00C67E2F"/>
    <w:rsid w:val="00C710B0"/>
    <w:rsid w:val="00C71DC6"/>
    <w:rsid w:val="00C7260E"/>
    <w:rsid w:val="00C72CD6"/>
    <w:rsid w:val="00C7477C"/>
    <w:rsid w:val="00C85C5E"/>
    <w:rsid w:val="00C860C4"/>
    <w:rsid w:val="00C87E1A"/>
    <w:rsid w:val="00C9136E"/>
    <w:rsid w:val="00C93328"/>
    <w:rsid w:val="00C93550"/>
    <w:rsid w:val="00C947DB"/>
    <w:rsid w:val="00C94A00"/>
    <w:rsid w:val="00CA0E17"/>
    <w:rsid w:val="00CA32BD"/>
    <w:rsid w:val="00CA3DD2"/>
    <w:rsid w:val="00CA58D1"/>
    <w:rsid w:val="00CA5A90"/>
    <w:rsid w:val="00CB3F53"/>
    <w:rsid w:val="00CB3FCE"/>
    <w:rsid w:val="00CC153A"/>
    <w:rsid w:val="00CC693E"/>
    <w:rsid w:val="00CD2F85"/>
    <w:rsid w:val="00CD3104"/>
    <w:rsid w:val="00CD448C"/>
    <w:rsid w:val="00CD64D3"/>
    <w:rsid w:val="00CE1B1E"/>
    <w:rsid w:val="00CE2550"/>
    <w:rsid w:val="00CF297D"/>
    <w:rsid w:val="00CF4100"/>
    <w:rsid w:val="00CF57A6"/>
    <w:rsid w:val="00CF633B"/>
    <w:rsid w:val="00D01E19"/>
    <w:rsid w:val="00D031B3"/>
    <w:rsid w:val="00D0702F"/>
    <w:rsid w:val="00D11504"/>
    <w:rsid w:val="00D126C9"/>
    <w:rsid w:val="00D14E23"/>
    <w:rsid w:val="00D23BBA"/>
    <w:rsid w:val="00D24A7B"/>
    <w:rsid w:val="00D26A31"/>
    <w:rsid w:val="00D26E83"/>
    <w:rsid w:val="00D27809"/>
    <w:rsid w:val="00D27CF7"/>
    <w:rsid w:val="00D304BD"/>
    <w:rsid w:val="00D31242"/>
    <w:rsid w:val="00D33900"/>
    <w:rsid w:val="00D33DE2"/>
    <w:rsid w:val="00D365F7"/>
    <w:rsid w:val="00D366A1"/>
    <w:rsid w:val="00D37021"/>
    <w:rsid w:val="00D40832"/>
    <w:rsid w:val="00D40DBA"/>
    <w:rsid w:val="00D42F26"/>
    <w:rsid w:val="00D43A1C"/>
    <w:rsid w:val="00D443B9"/>
    <w:rsid w:val="00D45AD0"/>
    <w:rsid w:val="00D4797E"/>
    <w:rsid w:val="00D50791"/>
    <w:rsid w:val="00D5770D"/>
    <w:rsid w:val="00D62122"/>
    <w:rsid w:val="00D65AD2"/>
    <w:rsid w:val="00D66009"/>
    <w:rsid w:val="00D71470"/>
    <w:rsid w:val="00D73705"/>
    <w:rsid w:val="00D74388"/>
    <w:rsid w:val="00D779C7"/>
    <w:rsid w:val="00D85485"/>
    <w:rsid w:val="00D91B69"/>
    <w:rsid w:val="00D934E3"/>
    <w:rsid w:val="00D94DA1"/>
    <w:rsid w:val="00DA692F"/>
    <w:rsid w:val="00DB1BE9"/>
    <w:rsid w:val="00DB2E5E"/>
    <w:rsid w:val="00DC5322"/>
    <w:rsid w:val="00DC7D56"/>
    <w:rsid w:val="00DD1034"/>
    <w:rsid w:val="00DD2DE1"/>
    <w:rsid w:val="00DD317C"/>
    <w:rsid w:val="00DD447A"/>
    <w:rsid w:val="00DD74DD"/>
    <w:rsid w:val="00DD7884"/>
    <w:rsid w:val="00DD7C70"/>
    <w:rsid w:val="00DE0025"/>
    <w:rsid w:val="00DE0652"/>
    <w:rsid w:val="00DE0F44"/>
    <w:rsid w:val="00DE3A90"/>
    <w:rsid w:val="00DE4261"/>
    <w:rsid w:val="00DE525E"/>
    <w:rsid w:val="00DE592C"/>
    <w:rsid w:val="00DE796D"/>
    <w:rsid w:val="00DF12FD"/>
    <w:rsid w:val="00DF262E"/>
    <w:rsid w:val="00DF309B"/>
    <w:rsid w:val="00E01816"/>
    <w:rsid w:val="00E027FF"/>
    <w:rsid w:val="00E02ED0"/>
    <w:rsid w:val="00E04B4D"/>
    <w:rsid w:val="00E0777B"/>
    <w:rsid w:val="00E07A11"/>
    <w:rsid w:val="00E1088C"/>
    <w:rsid w:val="00E1361D"/>
    <w:rsid w:val="00E21882"/>
    <w:rsid w:val="00E2513B"/>
    <w:rsid w:val="00E32338"/>
    <w:rsid w:val="00E360AC"/>
    <w:rsid w:val="00E374CB"/>
    <w:rsid w:val="00E50010"/>
    <w:rsid w:val="00E50D8B"/>
    <w:rsid w:val="00E53F09"/>
    <w:rsid w:val="00E571FE"/>
    <w:rsid w:val="00E57565"/>
    <w:rsid w:val="00E74E4D"/>
    <w:rsid w:val="00E7610A"/>
    <w:rsid w:val="00E7698C"/>
    <w:rsid w:val="00E818DB"/>
    <w:rsid w:val="00E81951"/>
    <w:rsid w:val="00E81C5A"/>
    <w:rsid w:val="00E83AE0"/>
    <w:rsid w:val="00E86CFB"/>
    <w:rsid w:val="00E905D0"/>
    <w:rsid w:val="00E9568E"/>
    <w:rsid w:val="00E966D1"/>
    <w:rsid w:val="00E97EE4"/>
    <w:rsid w:val="00EA311A"/>
    <w:rsid w:val="00EA39F4"/>
    <w:rsid w:val="00EB2BD5"/>
    <w:rsid w:val="00EC2F09"/>
    <w:rsid w:val="00EC3353"/>
    <w:rsid w:val="00EC6831"/>
    <w:rsid w:val="00EC6B2B"/>
    <w:rsid w:val="00ED1081"/>
    <w:rsid w:val="00ED2DF4"/>
    <w:rsid w:val="00ED5CFE"/>
    <w:rsid w:val="00ED7E8F"/>
    <w:rsid w:val="00EE08CB"/>
    <w:rsid w:val="00EE0AFA"/>
    <w:rsid w:val="00EE1F36"/>
    <w:rsid w:val="00EE2956"/>
    <w:rsid w:val="00EE2BFB"/>
    <w:rsid w:val="00EE4461"/>
    <w:rsid w:val="00EE4D86"/>
    <w:rsid w:val="00EE537B"/>
    <w:rsid w:val="00EE665D"/>
    <w:rsid w:val="00EE7ED8"/>
    <w:rsid w:val="00EF54A5"/>
    <w:rsid w:val="00EF5E73"/>
    <w:rsid w:val="00F01144"/>
    <w:rsid w:val="00F041CB"/>
    <w:rsid w:val="00F0595E"/>
    <w:rsid w:val="00F06134"/>
    <w:rsid w:val="00F07144"/>
    <w:rsid w:val="00F07D84"/>
    <w:rsid w:val="00F10825"/>
    <w:rsid w:val="00F1124A"/>
    <w:rsid w:val="00F11881"/>
    <w:rsid w:val="00F16495"/>
    <w:rsid w:val="00F17970"/>
    <w:rsid w:val="00F2519E"/>
    <w:rsid w:val="00F252FB"/>
    <w:rsid w:val="00F26857"/>
    <w:rsid w:val="00F334C8"/>
    <w:rsid w:val="00F34657"/>
    <w:rsid w:val="00F353EF"/>
    <w:rsid w:val="00F373C8"/>
    <w:rsid w:val="00F401F6"/>
    <w:rsid w:val="00F503B3"/>
    <w:rsid w:val="00F5500B"/>
    <w:rsid w:val="00F55A3E"/>
    <w:rsid w:val="00F57883"/>
    <w:rsid w:val="00F62B2C"/>
    <w:rsid w:val="00F62D78"/>
    <w:rsid w:val="00F7023B"/>
    <w:rsid w:val="00F702DE"/>
    <w:rsid w:val="00F7080D"/>
    <w:rsid w:val="00F70EF5"/>
    <w:rsid w:val="00F71F9A"/>
    <w:rsid w:val="00F72909"/>
    <w:rsid w:val="00F72D61"/>
    <w:rsid w:val="00F76CB0"/>
    <w:rsid w:val="00F834C6"/>
    <w:rsid w:val="00F84672"/>
    <w:rsid w:val="00F8724C"/>
    <w:rsid w:val="00F948DD"/>
    <w:rsid w:val="00F951D5"/>
    <w:rsid w:val="00F95B97"/>
    <w:rsid w:val="00F96825"/>
    <w:rsid w:val="00FA3E69"/>
    <w:rsid w:val="00FB04FA"/>
    <w:rsid w:val="00FB4B9F"/>
    <w:rsid w:val="00FC17EC"/>
    <w:rsid w:val="00FC382F"/>
    <w:rsid w:val="00FC5B6A"/>
    <w:rsid w:val="00FC7A68"/>
    <w:rsid w:val="00FD0252"/>
    <w:rsid w:val="00FD0CDA"/>
    <w:rsid w:val="00FD1091"/>
    <w:rsid w:val="00FD2CD3"/>
    <w:rsid w:val="00FD38AE"/>
    <w:rsid w:val="00FD6288"/>
    <w:rsid w:val="00FD64B8"/>
    <w:rsid w:val="00FD7460"/>
    <w:rsid w:val="00FD7AB1"/>
    <w:rsid w:val="00FD7DA8"/>
    <w:rsid w:val="00FE06AC"/>
    <w:rsid w:val="00FE17B8"/>
    <w:rsid w:val="00FE3FA1"/>
    <w:rsid w:val="00FE45A1"/>
    <w:rsid w:val="00FE559A"/>
    <w:rsid w:val="00FE62A3"/>
    <w:rsid w:val="00FE65E8"/>
    <w:rsid w:val="00FE6EE3"/>
    <w:rsid w:val="00FE7621"/>
    <w:rsid w:val="00FE7AC1"/>
    <w:rsid w:val="00FF2A19"/>
    <w:rsid w:val="00FF493D"/>
    <w:rsid w:val="00FF5112"/>
    <w:rsid w:val="00FF54F2"/>
    <w:rsid w:val="00FF5689"/>
    <w:rsid w:val="00FF5E21"/>
    <w:rsid w:val="00FF60C8"/>
    <w:rsid w:val="00FF6E6D"/>
    <w:rsid w:val="04AE7488"/>
    <w:rsid w:val="06F18D7C"/>
    <w:rsid w:val="08C1E0BD"/>
    <w:rsid w:val="0C8FD314"/>
    <w:rsid w:val="10ED0916"/>
    <w:rsid w:val="113E860F"/>
    <w:rsid w:val="152902C9"/>
    <w:rsid w:val="17554BA2"/>
    <w:rsid w:val="1FB40CB3"/>
    <w:rsid w:val="20D952E5"/>
    <w:rsid w:val="20EFC868"/>
    <w:rsid w:val="24E59672"/>
    <w:rsid w:val="264F4B5A"/>
    <w:rsid w:val="2AAED92C"/>
    <w:rsid w:val="2EE043C2"/>
    <w:rsid w:val="31BAD61B"/>
    <w:rsid w:val="32873A34"/>
    <w:rsid w:val="32D223AD"/>
    <w:rsid w:val="3B5A754B"/>
    <w:rsid w:val="3F93779A"/>
    <w:rsid w:val="41250460"/>
    <w:rsid w:val="412BEF2C"/>
    <w:rsid w:val="445BDA87"/>
    <w:rsid w:val="46A9A1C2"/>
    <w:rsid w:val="495336E4"/>
    <w:rsid w:val="4A89461D"/>
    <w:rsid w:val="4E8C30E3"/>
    <w:rsid w:val="50CB0BBD"/>
    <w:rsid w:val="559AEA98"/>
    <w:rsid w:val="56E75197"/>
    <w:rsid w:val="62CE0754"/>
    <w:rsid w:val="66700496"/>
    <w:rsid w:val="68191DFC"/>
    <w:rsid w:val="6CAFA377"/>
    <w:rsid w:val="7428B94A"/>
    <w:rsid w:val="794A7608"/>
    <w:rsid w:val="7CB75A21"/>
    <w:rsid w:val="7E0DDF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8C2F"/>
  <w15:chartTrackingRefBased/>
  <w15:docId w15:val="{106C3E3D-5339-419E-BECF-4A944978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1B"/>
    <w:rPr>
      <w:rFonts w:ascii="Arial" w:hAnsi="Arial"/>
      <w:sz w:val="24"/>
    </w:rPr>
  </w:style>
  <w:style w:type="paragraph" w:styleId="Heading1">
    <w:name w:val="heading 1"/>
    <w:basedOn w:val="Normal"/>
    <w:next w:val="Normal"/>
    <w:link w:val="Heading1Char"/>
    <w:uiPriority w:val="9"/>
    <w:qFormat/>
    <w:rsid w:val="00272D07"/>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D07"/>
    <w:pPr>
      <w:ind w:left="720"/>
      <w:contextualSpacing/>
    </w:pPr>
  </w:style>
  <w:style w:type="character" w:customStyle="1" w:styleId="Heading1Char">
    <w:name w:val="Heading 1 Char"/>
    <w:basedOn w:val="DefaultParagraphFont"/>
    <w:link w:val="Heading1"/>
    <w:uiPriority w:val="9"/>
    <w:rsid w:val="00272D0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272D07"/>
  </w:style>
  <w:style w:type="paragraph" w:customStyle="1" w:styleId="Numberedparagraph">
    <w:name w:val="Numbered paragraph"/>
    <w:basedOn w:val="ListParagraph"/>
    <w:link w:val="NumberedparagraphChar"/>
    <w:qFormat/>
    <w:rsid w:val="00CF633B"/>
    <w:pPr>
      <w:numPr>
        <w:numId w:val="2"/>
      </w:numPr>
      <w:spacing w:after="240" w:line="252" w:lineRule="auto"/>
      <w:contextualSpacing w:val="0"/>
    </w:pPr>
    <w:rPr>
      <w:rFonts w:eastAsia="Calibri" w:cs="Arial"/>
      <w:lang w:bidi="he-IL"/>
    </w:rPr>
  </w:style>
  <w:style w:type="character" w:customStyle="1" w:styleId="NumberedparagraphChar">
    <w:name w:val="Numbered paragraph Char"/>
    <w:basedOn w:val="DefaultParagraphFont"/>
    <w:link w:val="Numberedparagraph"/>
    <w:rsid w:val="00CF633B"/>
    <w:rPr>
      <w:rFonts w:ascii="Arial" w:eastAsia="Calibri" w:hAnsi="Arial" w:cs="Arial"/>
      <w:sz w:val="24"/>
      <w:lang w:bidi="he-IL"/>
    </w:rPr>
  </w:style>
  <w:style w:type="paragraph" w:styleId="Header">
    <w:name w:val="header"/>
    <w:basedOn w:val="Normal"/>
    <w:link w:val="HeaderChar"/>
    <w:uiPriority w:val="99"/>
    <w:unhideWhenUsed/>
    <w:rsid w:val="00F62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B2C"/>
  </w:style>
  <w:style w:type="paragraph" w:styleId="Footer">
    <w:name w:val="footer"/>
    <w:basedOn w:val="Normal"/>
    <w:link w:val="FooterChar"/>
    <w:uiPriority w:val="99"/>
    <w:unhideWhenUsed/>
    <w:rsid w:val="00F62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B2C"/>
  </w:style>
  <w:style w:type="character" w:styleId="CommentReference">
    <w:name w:val="annotation reference"/>
    <w:basedOn w:val="DefaultParagraphFont"/>
    <w:uiPriority w:val="99"/>
    <w:unhideWhenUsed/>
    <w:rsid w:val="00F16495"/>
    <w:rPr>
      <w:sz w:val="16"/>
      <w:szCs w:val="16"/>
    </w:rPr>
  </w:style>
  <w:style w:type="paragraph" w:styleId="CommentText">
    <w:name w:val="annotation text"/>
    <w:basedOn w:val="Normal"/>
    <w:link w:val="CommentTextChar"/>
    <w:uiPriority w:val="99"/>
    <w:unhideWhenUsed/>
    <w:rsid w:val="00F16495"/>
    <w:pPr>
      <w:spacing w:line="240" w:lineRule="auto"/>
    </w:pPr>
    <w:rPr>
      <w:sz w:val="20"/>
      <w:szCs w:val="20"/>
    </w:rPr>
  </w:style>
  <w:style w:type="character" w:customStyle="1" w:styleId="CommentTextChar">
    <w:name w:val="Comment Text Char"/>
    <w:basedOn w:val="DefaultParagraphFont"/>
    <w:link w:val="CommentText"/>
    <w:uiPriority w:val="99"/>
    <w:rsid w:val="00F16495"/>
    <w:rPr>
      <w:sz w:val="20"/>
      <w:szCs w:val="20"/>
    </w:rPr>
  </w:style>
  <w:style w:type="paragraph" w:styleId="CommentSubject">
    <w:name w:val="annotation subject"/>
    <w:basedOn w:val="CommentText"/>
    <w:next w:val="CommentText"/>
    <w:link w:val="CommentSubjectChar"/>
    <w:uiPriority w:val="99"/>
    <w:semiHidden/>
    <w:unhideWhenUsed/>
    <w:rsid w:val="00F16495"/>
    <w:rPr>
      <w:b/>
      <w:bCs/>
    </w:rPr>
  </w:style>
  <w:style w:type="character" w:customStyle="1" w:styleId="CommentSubjectChar">
    <w:name w:val="Comment Subject Char"/>
    <w:basedOn w:val="CommentTextChar"/>
    <w:link w:val="CommentSubject"/>
    <w:uiPriority w:val="99"/>
    <w:semiHidden/>
    <w:rsid w:val="00F16495"/>
    <w:rPr>
      <w:b/>
      <w:bCs/>
      <w:sz w:val="20"/>
      <w:szCs w:val="20"/>
    </w:rPr>
  </w:style>
  <w:style w:type="paragraph" w:styleId="Revision">
    <w:name w:val="Revision"/>
    <w:hidden/>
    <w:uiPriority w:val="99"/>
    <w:semiHidden/>
    <w:rsid w:val="00C50B55"/>
    <w:pPr>
      <w:spacing w:after="0" w:line="240" w:lineRule="auto"/>
    </w:pPr>
  </w:style>
  <w:style w:type="paragraph" w:styleId="ListBullet">
    <w:name w:val="List Bullet"/>
    <w:basedOn w:val="Normal"/>
    <w:uiPriority w:val="99"/>
    <w:unhideWhenUsed/>
    <w:rsid w:val="00510D16"/>
    <w:pPr>
      <w:numPr>
        <w:numId w:val="12"/>
      </w:numPr>
      <w:contextualSpacing/>
    </w:pPr>
  </w:style>
  <w:style w:type="paragraph" w:customStyle="1" w:styleId="Bulletlist1">
    <w:name w:val="Bullet list 1"/>
    <w:basedOn w:val="Normal"/>
    <w:uiPriority w:val="1"/>
    <w:qFormat/>
    <w:rsid w:val="00CE1B1E"/>
    <w:pPr>
      <w:numPr>
        <w:numId w:val="13"/>
      </w:numPr>
      <w:spacing w:after="240" w:line="252" w:lineRule="auto"/>
    </w:pPr>
    <w:rPr>
      <w:rFonts w:eastAsia="Calibri" w:cs="Arial"/>
      <w:lang w:bidi="he-IL"/>
    </w:rPr>
  </w:style>
  <w:style w:type="paragraph" w:customStyle="1" w:styleId="Bulletlist2">
    <w:name w:val="Bullet list 2"/>
    <w:basedOn w:val="Bulletlist1"/>
    <w:uiPriority w:val="1"/>
    <w:qFormat/>
    <w:rsid w:val="00CE1B1E"/>
    <w:pPr>
      <w:numPr>
        <w:ilvl w:val="1"/>
      </w:numPr>
      <w:ind w:left="1843"/>
    </w:pPr>
    <w:rPr>
      <w:bCs/>
    </w:rPr>
  </w:style>
  <w:style w:type="paragraph" w:customStyle="1" w:styleId="BulletList3">
    <w:name w:val="Bullet List 3"/>
    <w:basedOn w:val="Bulletlist2"/>
    <w:uiPriority w:val="1"/>
    <w:qFormat/>
    <w:rsid w:val="00CE1B1E"/>
    <w:pPr>
      <w:numPr>
        <w:ilvl w:val="2"/>
      </w:numPr>
      <w:ind w:left="2410"/>
    </w:pPr>
  </w:style>
  <w:style w:type="paragraph" w:customStyle="1" w:styleId="F9-Para">
    <w:name w:val="F9 - Para"/>
    <w:basedOn w:val="Bulletlist1"/>
    <w:link w:val="F9-ParaChar"/>
    <w:qFormat/>
    <w:rsid w:val="00975538"/>
    <w:pPr>
      <w:numPr>
        <w:numId w:val="0"/>
      </w:numPr>
    </w:pPr>
  </w:style>
  <w:style w:type="character" w:customStyle="1" w:styleId="F9-ParaChar">
    <w:name w:val="F9 - Para Char"/>
    <w:basedOn w:val="DefaultParagraphFont"/>
    <w:link w:val="F9-Para"/>
    <w:rsid w:val="00975538"/>
    <w:rPr>
      <w:rFonts w:ascii="Arial" w:eastAsia="Calibri" w:hAnsi="Arial" w:cs="Arial"/>
      <w:sz w:val="24"/>
      <w:lang w:bidi="he-IL"/>
    </w:rPr>
  </w:style>
  <w:style w:type="character" w:styleId="IntenseEmphasis">
    <w:name w:val="Intense Emphasis"/>
    <w:basedOn w:val="DefaultParagraphFont"/>
    <w:uiPriority w:val="21"/>
    <w:qFormat/>
    <w:rsid w:val="007571C4"/>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415">
      <w:bodyDiv w:val="1"/>
      <w:marLeft w:val="0"/>
      <w:marRight w:val="0"/>
      <w:marTop w:val="0"/>
      <w:marBottom w:val="0"/>
      <w:divBdr>
        <w:top w:val="none" w:sz="0" w:space="0" w:color="auto"/>
        <w:left w:val="none" w:sz="0" w:space="0" w:color="auto"/>
        <w:bottom w:val="none" w:sz="0" w:space="0" w:color="auto"/>
        <w:right w:val="none" w:sz="0" w:space="0" w:color="auto"/>
      </w:divBdr>
    </w:div>
    <w:div w:id="22286263">
      <w:bodyDiv w:val="1"/>
      <w:marLeft w:val="0"/>
      <w:marRight w:val="0"/>
      <w:marTop w:val="0"/>
      <w:marBottom w:val="0"/>
      <w:divBdr>
        <w:top w:val="none" w:sz="0" w:space="0" w:color="auto"/>
        <w:left w:val="none" w:sz="0" w:space="0" w:color="auto"/>
        <w:bottom w:val="none" w:sz="0" w:space="0" w:color="auto"/>
        <w:right w:val="none" w:sz="0" w:space="0" w:color="auto"/>
      </w:divBdr>
    </w:div>
    <w:div w:id="25303301">
      <w:bodyDiv w:val="1"/>
      <w:marLeft w:val="0"/>
      <w:marRight w:val="0"/>
      <w:marTop w:val="0"/>
      <w:marBottom w:val="0"/>
      <w:divBdr>
        <w:top w:val="none" w:sz="0" w:space="0" w:color="auto"/>
        <w:left w:val="none" w:sz="0" w:space="0" w:color="auto"/>
        <w:bottom w:val="none" w:sz="0" w:space="0" w:color="auto"/>
        <w:right w:val="none" w:sz="0" w:space="0" w:color="auto"/>
      </w:divBdr>
    </w:div>
    <w:div w:id="35854042">
      <w:bodyDiv w:val="1"/>
      <w:marLeft w:val="0"/>
      <w:marRight w:val="0"/>
      <w:marTop w:val="0"/>
      <w:marBottom w:val="0"/>
      <w:divBdr>
        <w:top w:val="none" w:sz="0" w:space="0" w:color="auto"/>
        <w:left w:val="none" w:sz="0" w:space="0" w:color="auto"/>
        <w:bottom w:val="none" w:sz="0" w:space="0" w:color="auto"/>
        <w:right w:val="none" w:sz="0" w:space="0" w:color="auto"/>
      </w:divBdr>
    </w:div>
    <w:div w:id="45154888">
      <w:bodyDiv w:val="1"/>
      <w:marLeft w:val="0"/>
      <w:marRight w:val="0"/>
      <w:marTop w:val="0"/>
      <w:marBottom w:val="0"/>
      <w:divBdr>
        <w:top w:val="none" w:sz="0" w:space="0" w:color="auto"/>
        <w:left w:val="none" w:sz="0" w:space="0" w:color="auto"/>
        <w:bottom w:val="none" w:sz="0" w:space="0" w:color="auto"/>
        <w:right w:val="none" w:sz="0" w:space="0" w:color="auto"/>
      </w:divBdr>
    </w:div>
    <w:div w:id="50857035">
      <w:bodyDiv w:val="1"/>
      <w:marLeft w:val="0"/>
      <w:marRight w:val="0"/>
      <w:marTop w:val="0"/>
      <w:marBottom w:val="0"/>
      <w:divBdr>
        <w:top w:val="none" w:sz="0" w:space="0" w:color="auto"/>
        <w:left w:val="none" w:sz="0" w:space="0" w:color="auto"/>
        <w:bottom w:val="none" w:sz="0" w:space="0" w:color="auto"/>
        <w:right w:val="none" w:sz="0" w:space="0" w:color="auto"/>
      </w:divBdr>
    </w:div>
    <w:div w:id="51731498">
      <w:bodyDiv w:val="1"/>
      <w:marLeft w:val="0"/>
      <w:marRight w:val="0"/>
      <w:marTop w:val="0"/>
      <w:marBottom w:val="0"/>
      <w:divBdr>
        <w:top w:val="none" w:sz="0" w:space="0" w:color="auto"/>
        <w:left w:val="none" w:sz="0" w:space="0" w:color="auto"/>
        <w:bottom w:val="none" w:sz="0" w:space="0" w:color="auto"/>
        <w:right w:val="none" w:sz="0" w:space="0" w:color="auto"/>
      </w:divBdr>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19035167">
      <w:bodyDiv w:val="1"/>
      <w:marLeft w:val="0"/>
      <w:marRight w:val="0"/>
      <w:marTop w:val="0"/>
      <w:marBottom w:val="0"/>
      <w:divBdr>
        <w:top w:val="none" w:sz="0" w:space="0" w:color="auto"/>
        <w:left w:val="none" w:sz="0" w:space="0" w:color="auto"/>
        <w:bottom w:val="none" w:sz="0" w:space="0" w:color="auto"/>
        <w:right w:val="none" w:sz="0" w:space="0" w:color="auto"/>
      </w:divBdr>
    </w:div>
    <w:div w:id="163863288">
      <w:bodyDiv w:val="1"/>
      <w:marLeft w:val="0"/>
      <w:marRight w:val="0"/>
      <w:marTop w:val="0"/>
      <w:marBottom w:val="0"/>
      <w:divBdr>
        <w:top w:val="none" w:sz="0" w:space="0" w:color="auto"/>
        <w:left w:val="none" w:sz="0" w:space="0" w:color="auto"/>
        <w:bottom w:val="none" w:sz="0" w:space="0" w:color="auto"/>
        <w:right w:val="none" w:sz="0" w:space="0" w:color="auto"/>
      </w:divBdr>
    </w:div>
    <w:div w:id="166527570">
      <w:bodyDiv w:val="1"/>
      <w:marLeft w:val="0"/>
      <w:marRight w:val="0"/>
      <w:marTop w:val="0"/>
      <w:marBottom w:val="0"/>
      <w:divBdr>
        <w:top w:val="none" w:sz="0" w:space="0" w:color="auto"/>
        <w:left w:val="none" w:sz="0" w:space="0" w:color="auto"/>
        <w:bottom w:val="none" w:sz="0" w:space="0" w:color="auto"/>
        <w:right w:val="none" w:sz="0" w:space="0" w:color="auto"/>
      </w:divBdr>
    </w:div>
    <w:div w:id="174422341">
      <w:bodyDiv w:val="1"/>
      <w:marLeft w:val="0"/>
      <w:marRight w:val="0"/>
      <w:marTop w:val="0"/>
      <w:marBottom w:val="0"/>
      <w:divBdr>
        <w:top w:val="none" w:sz="0" w:space="0" w:color="auto"/>
        <w:left w:val="none" w:sz="0" w:space="0" w:color="auto"/>
        <w:bottom w:val="none" w:sz="0" w:space="0" w:color="auto"/>
        <w:right w:val="none" w:sz="0" w:space="0" w:color="auto"/>
      </w:divBdr>
    </w:div>
    <w:div w:id="204413678">
      <w:bodyDiv w:val="1"/>
      <w:marLeft w:val="0"/>
      <w:marRight w:val="0"/>
      <w:marTop w:val="0"/>
      <w:marBottom w:val="0"/>
      <w:divBdr>
        <w:top w:val="none" w:sz="0" w:space="0" w:color="auto"/>
        <w:left w:val="none" w:sz="0" w:space="0" w:color="auto"/>
        <w:bottom w:val="none" w:sz="0" w:space="0" w:color="auto"/>
        <w:right w:val="none" w:sz="0" w:space="0" w:color="auto"/>
      </w:divBdr>
    </w:div>
    <w:div w:id="228735532">
      <w:bodyDiv w:val="1"/>
      <w:marLeft w:val="0"/>
      <w:marRight w:val="0"/>
      <w:marTop w:val="0"/>
      <w:marBottom w:val="0"/>
      <w:divBdr>
        <w:top w:val="none" w:sz="0" w:space="0" w:color="auto"/>
        <w:left w:val="none" w:sz="0" w:space="0" w:color="auto"/>
        <w:bottom w:val="none" w:sz="0" w:space="0" w:color="auto"/>
        <w:right w:val="none" w:sz="0" w:space="0" w:color="auto"/>
      </w:divBdr>
    </w:div>
    <w:div w:id="241112849">
      <w:bodyDiv w:val="1"/>
      <w:marLeft w:val="0"/>
      <w:marRight w:val="0"/>
      <w:marTop w:val="0"/>
      <w:marBottom w:val="0"/>
      <w:divBdr>
        <w:top w:val="none" w:sz="0" w:space="0" w:color="auto"/>
        <w:left w:val="none" w:sz="0" w:space="0" w:color="auto"/>
        <w:bottom w:val="none" w:sz="0" w:space="0" w:color="auto"/>
        <w:right w:val="none" w:sz="0" w:space="0" w:color="auto"/>
      </w:divBdr>
    </w:div>
    <w:div w:id="242683304">
      <w:bodyDiv w:val="1"/>
      <w:marLeft w:val="0"/>
      <w:marRight w:val="0"/>
      <w:marTop w:val="0"/>
      <w:marBottom w:val="0"/>
      <w:divBdr>
        <w:top w:val="none" w:sz="0" w:space="0" w:color="auto"/>
        <w:left w:val="none" w:sz="0" w:space="0" w:color="auto"/>
        <w:bottom w:val="none" w:sz="0" w:space="0" w:color="auto"/>
        <w:right w:val="none" w:sz="0" w:space="0" w:color="auto"/>
      </w:divBdr>
    </w:div>
    <w:div w:id="263656530">
      <w:bodyDiv w:val="1"/>
      <w:marLeft w:val="0"/>
      <w:marRight w:val="0"/>
      <w:marTop w:val="0"/>
      <w:marBottom w:val="0"/>
      <w:divBdr>
        <w:top w:val="none" w:sz="0" w:space="0" w:color="auto"/>
        <w:left w:val="none" w:sz="0" w:space="0" w:color="auto"/>
        <w:bottom w:val="none" w:sz="0" w:space="0" w:color="auto"/>
        <w:right w:val="none" w:sz="0" w:space="0" w:color="auto"/>
      </w:divBdr>
    </w:div>
    <w:div w:id="273446854">
      <w:bodyDiv w:val="1"/>
      <w:marLeft w:val="0"/>
      <w:marRight w:val="0"/>
      <w:marTop w:val="0"/>
      <w:marBottom w:val="0"/>
      <w:divBdr>
        <w:top w:val="none" w:sz="0" w:space="0" w:color="auto"/>
        <w:left w:val="none" w:sz="0" w:space="0" w:color="auto"/>
        <w:bottom w:val="none" w:sz="0" w:space="0" w:color="auto"/>
        <w:right w:val="none" w:sz="0" w:space="0" w:color="auto"/>
      </w:divBdr>
    </w:div>
    <w:div w:id="278755652">
      <w:bodyDiv w:val="1"/>
      <w:marLeft w:val="0"/>
      <w:marRight w:val="0"/>
      <w:marTop w:val="0"/>
      <w:marBottom w:val="0"/>
      <w:divBdr>
        <w:top w:val="none" w:sz="0" w:space="0" w:color="auto"/>
        <w:left w:val="none" w:sz="0" w:space="0" w:color="auto"/>
        <w:bottom w:val="none" w:sz="0" w:space="0" w:color="auto"/>
        <w:right w:val="none" w:sz="0" w:space="0" w:color="auto"/>
      </w:divBdr>
    </w:div>
    <w:div w:id="309286799">
      <w:bodyDiv w:val="1"/>
      <w:marLeft w:val="0"/>
      <w:marRight w:val="0"/>
      <w:marTop w:val="0"/>
      <w:marBottom w:val="0"/>
      <w:divBdr>
        <w:top w:val="none" w:sz="0" w:space="0" w:color="auto"/>
        <w:left w:val="none" w:sz="0" w:space="0" w:color="auto"/>
        <w:bottom w:val="none" w:sz="0" w:space="0" w:color="auto"/>
        <w:right w:val="none" w:sz="0" w:space="0" w:color="auto"/>
      </w:divBdr>
    </w:div>
    <w:div w:id="320933986">
      <w:bodyDiv w:val="1"/>
      <w:marLeft w:val="0"/>
      <w:marRight w:val="0"/>
      <w:marTop w:val="0"/>
      <w:marBottom w:val="0"/>
      <w:divBdr>
        <w:top w:val="none" w:sz="0" w:space="0" w:color="auto"/>
        <w:left w:val="none" w:sz="0" w:space="0" w:color="auto"/>
        <w:bottom w:val="none" w:sz="0" w:space="0" w:color="auto"/>
        <w:right w:val="none" w:sz="0" w:space="0" w:color="auto"/>
      </w:divBdr>
    </w:div>
    <w:div w:id="323316826">
      <w:bodyDiv w:val="1"/>
      <w:marLeft w:val="0"/>
      <w:marRight w:val="0"/>
      <w:marTop w:val="0"/>
      <w:marBottom w:val="0"/>
      <w:divBdr>
        <w:top w:val="none" w:sz="0" w:space="0" w:color="auto"/>
        <w:left w:val="none" w:sz="0" w:space="0" w:color="auto"/>
        <w:bottom w:val="none" w:sz="0" w:space="0" w:color="auto"/>
        <w:right w:val="none" w:sz="0" w:space="0" w:color="auto"/>
      </w:divBdr>
    </w:div>
    <w:div w:id="338001817">
      <w:bodyDiv w:val="1"/>
      <w:marLeft w:val="0"/>
      <w:marRight w:val="0"/>
      <w:marTop w:val="0"/>
      <w:marBottom w:val="0"/>
      <w:divBdr>
        <w:top w:val="none" w:sz="0" w:space="0" w:color="auto"/>
        <w:left w:val="none" w:sz="0" w:space="0" w:color="auto"/>
        <w:bottom w:val="none" w:sz="0" w:space="0" w:color="auto"/>
        <w:right w:val="none" w:sz="0" w:space="0" w:color="auto"/>
      </w:divBdr>
    </w:div>
    <w:div w:id="391194083">
      <w:bodyDiv w:val="1"/>
      <w:marLeft w:val="0"/>
      <w:marRight w:val="0"/>
      <w:marTop w:val="0"/>
      <w:marBottom w:val="0"/>
      <w:divBdr>
        <w:top w:val="none" w:sz="0" w:space="0" w:color="auto"/>
        <w:left w:val="none" w:sz="0" w:space="0" w:color="auto"/>
        <w:bottom w:val="none" w:sz="0" w:space="0" w:color="auto"/>
        <w:right w:val="none" w:sz="0" w:space="0" w:color="auto"/>
      </w:divBdr>
    </w:div>
    <w:div w:id="396560402">
      <w:bodyDiv w:val="1"/>
      <w:marLeft w:val="0"/>
      <w:marRight w:val="0"/>
      <w:marTop w:val="0"/>
      <w:marBottom w:val="0"/>
      <w:divBdr>
        <w:top w:val="none" w:sz="0" w:space="0" w:color="auto"/>
        <w:left w:val="none" w:sz="0" w:space="0" w:color="auto"/>
        <w:bottom w:val="none" w:sz="0" w:space="0" w:color="auto"/>
        <w:right w:val="none" w:sz="0" w:space="0" w:color="auto"/>
      </w:divBdr>
    </w:div>
    <w:div w:id="458644117">
      <w:bodyDiv w:val="1"/>
      <w:marLeft w:val="0"/>
      <w:marRight w:val="0"/>
      <w:marTop w:val="0"/>
      <w:marBottom w:val="0"/>
      <w:divBdr>
        <w:top w:val="none" w:sz="0" w:space="0" w:color="auto"/>
        <w:left w:val="none" w:sz="0" w:space="0" w:color="auto"/>
        <w:bottom w:val="none" w:sz="0" w:space="0" w:color="auto"/>
        <w:right w:val="none" w:sz="0" w:space="0" w:color="auto"/>
      </w:divBdr>
    </w:div>
    <w:div w:id="463621693">
      <w:bodyDiv w:val="1"/>
      <w:marLeft w:val="0"/>
      <w:marRight w:val="0"/>
      <w:marTop w:val="0"/>
      <w:marBottom w:val="0"/>
      <w:divBdr>
        <w:top w:val="none" w:sz="0" w:space="0" w:color="auto"/>
        <w:left w:val="none" w:sz="0" w:space="0" w:color="auto"/>
        <w:bottom w:val="none" w:sz="0" w:space="0" w:color="auto"/>
        <w:right w:val="none" w:sz="0" w:space="0" w:color="auto"/>
      </w:divBdr>
    </w:div>
    <w:div w:id="467015297">
      <w:bodyDiv w:val="1"/>
      <w:marLeft w:val="0"/>
      <w:marRight w:val="0"/>
      <w:marTop w:val="0"/>
      <w:marBottom w:val="0"/>
      <w:divBdr>
        <w:top w:val="none" w:sz="0" w:space="0" w:color="auto"/>
        <w:left w:val="none" w:sz="0" w:space="0" w:color="auto"/>
        <w:bottom w:val="none" w:sz="0" w:space="0" w:color="auto"/>
        <w:right w:val="none" w:sz="0" w:space="0" w:color="auto"/>
      </w:divBdr>
    </w:div>
    <w:div w:id="472720808">
      <w:bodyDiv w:val="1"/>
      <w:marLeft w:val="0"/>
      <w:marRight w:val="0"/>
      <w:marTop w:val="0"/>
      <w:marBottom w:val="0"/>
      <w:divBdr>
        <w:top w:val="none" w:sz="0" w:space="0" w:color="auto"/>
        <w:left w:val="none" w:sz="0" w:space="0" w:color="auto"/>
        <w:bottom w:val="none" w:sz="0" w:space="0" w:color="auto"/>
        <w:right w:val="none" w:sz="0" w:space="0" w:color="auto"/>
      </w:divBdr>
    </w:div>
    <w:div w:id="475876837">
      <w:bodyDiv w:val="1"/>
      <w:marLeft w:val="0"/>
      <w:marRight w:val="0"/>
      <w:marTop w:val="0"/>
      <w:marBottom w:val="0"/>
      <w:divBdr>
        <w:top w:val="none" w:sz="0" w:space="0" w:color="auto"/>
        <w:left w:val="none" w:sz="0" w:space="0" w:color="auto"/>
        <w:bottom w:val="none" w:sz="0" w:space="0" w:color="auto"/>
        <w:right w:val="none" w:sz="0" w:space="0" w:color="auto"/>
      </w:divBdr>
    </w:div>
    <w:div w:id="511990111">
      <w:bodyDiv w:val="1"/>
      <w:marLeft w:val="0"/>
      <w:marRight w:val="0"/>
      <w:marTop w:val="0"/>
      <w:marBottom w:val="0"/>
      <w:divBdr>
        <w:top w:val="none" w:sz="0" w:space="0" w:color="auto"/>
        <w:left w:val="none" w:sz="0" w:space="0" w:color="auto"/>
        <w:bottom w:val="none" w:sz="0" w:space="0" w:color="auto"/>
        <w:right w:val="none" w:sz="0" w:space="0" w:color="auto"/>
      </w:divBdr>
    </w:div>
    <w:div w:id="516887202">
      <w:bodyDiv w:val="1"/>
      <w:marLeft w:val="0"/>
      <w:marRight w:val="0"/>
      <w:marTop w:val="0"/>
      <w:marBottom w:val="0"/>
      <w:divBdr>
        <w:top w:val="none" w:sz="0" w:space="0" w:color="auto"/>
        <w:left w:val="none" w:sz="0" w:space="0" w:color="auto"/>
        <w:bottom w:val="none" w:sz="0" w:space="0" w:color="auto"/>
        <w:right w:val="none" w:sz="0" w:space="0" w:color="auto"/>
      </w:divBdr>
    </w:div>
    <w:div w:id="519514586">
      <w:bodyDiv w:val="1"/>
      <w:marLeft w:val="0"/>
      <w:marRight w:val="0"/>
      <w:marTop w:val="0"/>
      <w:marBottom w:val="0"/>
      <w:divBdr>
        <w:top w:val="none" w:sz="0" w:space="0" w:color="auto"/>
        <w:left w:val="none" w:sz="0" w:space="0" w:color="auto"/>
        <w:bottom w:val="none" w:sz="0" w:space="0" w:color="auto"/>
        <w:right w:val="none" w:sz="0" w:space="0" w:color="auto"/>
      </w:divBdr>
    </w:div>
    <w:div w:id="524832448">
      <w:bodyDiv w:val="1"/>
      <w:marLeft w:val="0"/>
      <w:marRight w:val="0"/>
      <w:marTop w:val="0"/>
      <w:marBottom w:val="0"/>
      <w:divBdr>
        <w:top w:val="none" w:sz="0" w:space="0" w:color="auto"/>
        <w:left w:val="none" w:sz="0" w:space="0" w:color="auto"/>
        <w:bottom w:val="none" w:sz="0" w:space="0" w:color="auto"/>
        <w:right w:val="none" w:sz="0" w:space="0" w:color="auto"/>
      </w:divBdr>
    </w:div>
    <w:div w:id="529492593">
      <w:bodyDiv w:val="1"/>
      <w:marLeft w:val="0"/>
      <w:marRight w:val="0"/>
      <w:marTop w:val="0"/>
      <w:marBottom w:val="0"/>
      <w:divBdr>
        <w:top w:val="none" w:sz="0" w:space="0" w:color="auto"/>
        <w:left w:val="none" w:sz="0" w:space="0" w:color="auto"/>
        <w:bottom w:val="none" w:sz="0" w:space="0" w:color="auto"/>
        <w:right w:val="none" w:sz="0" w:space="0" w:color="auto"/>
      </w:divBdr>
    </w:div>
    <w:div w:id="545220685">
      <w:bodyDiv w:val="1"/>
      <w:marLeft w:val="0"/>
      <w:marRight w:val="0"/>
      <w:marTop w:val="0"/>
      <w:marBottom w:val="0"/>
      <w:divBdr>
        <w:top w:val="none" w:sz="0" w:space="0" w:color="auto"/>
        <w:left w:val="none" w:sz="0" w:space="0" w:color="auto"/>
        <w:bottom w:val="none" w:sz="0" w:space="0" w:color="auto"/>
        <w:right w:val="none" w:sz="0" w:space="0" w:color="auto"/>
      </w:divBdr>
    </w:div>
    <w:div w:id="548222562">
      <w:bodyDiv w:val="1"/>
      <w:marLeft w:val="0"/>
      <w:marRight w:val="0"/>
      <w:marTop w:val="0"/>
      <w:marBottom w:val="0"/>
      <w:divBdr>
        <w:top w:val="none" w:sz="0" w:space="0" w:color="auto"/>
        <w:left w:val="none" w:sz="0" w:space="0" w:color="auto"/>
        <w:bottom w:val="none" w:sz="0" w:space="0" w:color="auto"/>
        <w:right w:val="none" w:sz="0" w:space="0" w:color="auto"/>
      </w:divBdr>
    </w:div>
    <w:div w:id="594627855">
      <w:bodyDiv w:val="1"/>
      <w:marLeft w:val="0"/>
      <w:marRight w:val="0"/>
      <w:marTop w:val="0"/>
      <w:marBottom w:val="0"/>
      <w:divBdr>
        <w:top w:val="none" w:sz="0" w:space="0" w:color="auto"/>
        <w:left w:val="none" w:sz="0" w:space="0" w:color="auto"/>
        <w:bottom w:val="none" w:sz="0" w:space="0" w:color="auto"/>
        <w:right w:val="none" w:sz="0" w:space="0" w:color="auto"/>
      </w:divBdr>
    </w:div>
    <w:div w:id="614869130">
      <w:bodyDiv w:val="1"/>
      <w:marLeft w:val="0"/>
      <w:marRight w:val="0"/>
      <w:marTop w:val="0"/>
      <w:marBottom w:val="0"/>
      <w:divBdr>
        <w:top w:val="none" w:sz="0" w:space="0" w:color="auto"/>
        <w:left w:val="none" w:sz="0" w:space="0" w:color="auto"/>
        <w:bottom w:val="none" w:sz="0" w:space="0" w:color="auto"/>
        <w:right w:val="none" w:sz="0" w:space="0" w:color="auto"/>
      </w:divBdr>
    </w:div>
    <w:div w:id="622930650">
      <w:bodyDiv w:val="1"/>
      <w:marLeft w:val="0"/>
      <w:marRight w:val="0"/>
      <w:marTop w:val="0"/>
      <w:marBottom w:val="0"/>
      <w:divBdr>
        <w:top w:val="none" w:sz="0" w:space="0" w:color="auto"/>
        <w:left w:val="none" w:sz="0" w:space="0" w:color="auto"/>
        <w:bottom w:val="none" w:sz="0" w:space="0" w:color="auto"/>
        <w:right w:val="none" w:sz="0" w:space="0" w:color="auto"/>
      </w:divBdr>
    </w:div>
    <w:div w:id="640036501">
      <w:bodyDiv w:val="1"/>
      <w:marLeft w:val="0"/>
      <w:marRight w:val="0"/>
      <w:marTop w:val="0"/>
      <w:marBottom w:val="0"/>
      <w:divBdr>
        <w:top w:val="none" w:sz="0" w:space="0" w:color="auto"/>
        <w:left w:val="none" w:sz="0" w:space="0" w:color="auto"/>
        <w:bottom w:val="none" w:sz="0" w:space="0" w:color="auto"/>
        <w:right w:val="none" w:sz="0" w:space="0" w:color="auto"/>
      </w:divBdr>
    </w:div>
    <w:div w:id="647250513">
      <w:bodyDiv w:val="1"/>
      <w:marLeft w:val="0"/>
      <w:marRight w:val="0"/>
      <w:marTop w:val="0"/>
      <w:marBottom w:val="0"/>
      <w:divBdr>
        <w:top w:val="none" w:sz="0" w:space="0" w:color="auto"/>
        <w:left w:val="none" w:sz="0" w:space="0" w:color="auto"/>
        <w:bottom w:val="none" w:sz="0" w:space="0" w:color="auto"/>
        <w:right w:val="none" w:sz="0" w:space="0" w:color="auto"/>
      </w:divBdr>
    </w:div>
    <w:div w:id="648365155">
      <w:bodyDiv w:val="1"/>
      <w:marLeft w:val="0"/>
      <w:marRight w:val="0"/>
      <w:marTop w:val="0"/>
      <w:marBottom w:val="0"/>
      <w:divBdr>
        <w:top w:val="none" w:sz="0" w:space="0" w:color="auto"/>
        <w:left w:val="none" w:sz="0" w:space="0" w:color="auto"/>
        <w:bottom w:val="none" w:sz="0" w:space="0" w:color="auto"/>
        <w:right w:val="none" w:sz="0" w:space="0" w:color="auto"/>
      </w:divBdr>
    </w:div>
    <w:div w:id="705568014">
      <w:bodyDiv w:val="1"/>
      <w:marLeft w:val="0"/>
      <w:marRight w:val="0"/>
      <w:marTop w:val="0"/>
      <w:marBottom w:val="0"/>
      <w:divBdr>
        <w:top w:val="none" w:sz="0" w:space="0" w:color="auto"/>
        <w:left w:val="none" w:sz="0" w:space="0" w:color="auto"/>
        <w:bottom w:val="none" w:sz="0" w:space="0" w:color="auto"/>
        <w:right w:val="none" w:sz="0" w:space="0" w:color="auto"/>
      </w:divBdr>
    </w:div>
    <w:div w:id="712466695">
      <w:bodyDiv w:val="1"/>
      <w:marLeft w:val="0"/>
      <w:marRight w:val="0"/>
      <w:marTop w:val="0"/>
      <w:marBottom w:val="0"/>
      <w:divBdr>
        <w:top w:val="none" w:sz="0" w:space="0" w:color="auto"/>
        <w:left w:val="none" w:sz="0" w:space="0" w:color="auto"/>
        <w:bottom w:val="none" w:sz="0" w:space="0" w:color="auto"/>
        <w:right w:val="none" w:sz="0" w:space="0" w:color="auto"/>
      </w:divBdr>
    </w:div>
    <w:div w:id="725422289">
      <w:bodyDiv w:val="1"/>
      <w:marLeft w:val="0"/>
      <w:marRight w:val="0"/>
      <w:marTop w:val="0"/>
      <w:marBottom w:val="0"/>
      <w:divBdr>
        <w:top w:val="none" w:sz="0" w:space="0" w:color="auto"/>
        <w:left w:val="none" w:sz="0" w:space="0" w:color="auto"/>
        <w:bottom w:val="none" w:sz="0" w:space="0" w:color="auto"/>
        <w:right w:val="none" w:sz="0" w:space="0" w:color="auto"/>
      </w:divBdr>
    </w:div>
    <w:div w:id="730228511">
      <w:bodyDiv w:val="1"/>
      <w:marLeft w:val="0"/>
      <w:marRight w:val="0"/>
      <w:marTop w:val="0"/>
      <w:marBottom w:val="0"/>
      <w:divBdr>
        <w:top w:val="none" w:sz="0" w:space="0" w:color="auto"/>
        <w:left w:val="none" w:sz="0" w:space="0" w:color="auto"/>
        <w:bottom w:val="none" w:sz="0" w:space="0" w:color="auto"/>
        <w:right w:val="none" w:sz="0" w:space="0" w:color="auto"/>
      </w:divBdr>
    </w:div>
    <w:div w:id="755595358">
      <w:bodyDiv w:val="1"/>
      <w:marLeft w:val="0"/>
      <w:marRight w:val="0"/>
      <w:marTop w:val="0"/>
      <w:marBottom w:val="0"/>
      <w:divBdr>
        <w:top w:val="none" w:sz="0" w:space="0" w:color="auto"/>
        <w:left w:val="none" w:sz="0" w:space="0" w:color="auto"/>
        <w:bottom w:val="none" w:sz="0" w:space="0" w:color="auto"/>
        <w:right w:val="none" w:sz="0" w:space="0" w:color="auto"/>
      </w:divBdr>
    </w:div>
    <w:div w:id="760561486">
      <w:bodyDiv w:val="1"/>
      <w:marLeft w:val="0"/>
      <w:marRight w:val="0"/>
      <w:marTop w:val="0"/>
      <w:marBottom w:val="0"/>
      <w:divBdr>
        <w:top w:val="none" w:sz="0" w:space="0" w:color="auto"/>
        <w:left w:val="none" w:sz="0" w:space="0" w:color="auto"/>
        <w:bottom w:val="none" w:sz="0" w:space="0" w:color="auto"/>
        <w:right w:val="none" w:sz="0" w:space="0" w:color="auto"/>
      </w:divBdr>
    </w:div>
    <w:div w:id="761101533">
      <w:bodyDiv w:val="1"/>
      <w:marLeft w:val="0"/>
      <w:marRight w:val="0"/>
      <w:marTop w:val="0"/>
      <w:marBottom w:val="0"/>
      <w:divBdr>
        <w:top w:val="none" w:sz="0" w:space="0" w:color="auto"/>
        <w:left w:val="none" w:sz="0" w:space="0" w:color="auto"/>
        <w:bottom w:val="none" w:sz="0" w:space="0" w:color="auto"/>
        <w:right w:val="none" w:sz="0" w:space="0" w:color="auto"/>
      </w:divBdr>
    </w:div>
    <w:div w:id="764960096">
      <w:bodyDiv w:val="1"/>
      <w:marLeft w:val="0"/>
      <w:marRight w:val="0"/>
      <w:marTop w:val="0"/>
      <w:marBottom w:val="0"/>
      <w:divBdr>
        <w:top w:val="none" w:sz="0" w:space="0" w:color="auto"/>
        <w:left w:val="none" w:sz="0" w:space="0" w:color="auto"/>
        <w:bottom w:val="none" w:sz="0" w:space="0" w:color="auto"/>
        <w:right w:val="none" w:sz="0" w:space="0" w:color="auto"/>
      </w:divBdr>
    </w:div>
    <w:div w:id="782917971">
      <w:bodyDiv w:val="1"/>
      <w:marLeft w:val="0"/>
      <w:marRight w:val="0"/>
      <w:marTop w:val="0"/>
      <w:marBottom w:val="0"/>
      <w:divBdr>
        <w:top w:val="none" w:sz="0" w:space="0" w:color="auto"/>
        <w:left w:val="none" w:sz="0" w:space="0" w:color="auto"/>
        <w:bottom w:val="none" w:sz="0" w:space="0" w:color="auto"/>
        <w:right w:val="none" w:sz="0" w:space="0" w:color="auto"/>
      </w:divBdr>
    </w:div>
    <w:div w:id="785083193">
      <w:bodyDiv w:val="1"/>
      <w:marLeft w:val="0"/>
      <w:marRight w:val="0"/>
      <w:marTop w:val="0"/>
      <w:marBottom w:val="0"/>
      <w:divBdr>
        <w:top w:val="none" w:sz="0" w:space="0" w:color="auto"/>
        <w:left w:val="none" w:sz="0" w:space="0" w:color="auto"/>
        <w:bottom w:val="none" w:sz="0" w:space="0" w:color="auto"/>
        <w:right w:val="none" w:sz="0" w:space="0" w:color="auto"/>
      </w:divBdr>
    </w:div>
    <w:div w:id="793140492">
      <w:bodyDiv w:val="1"/>
      <w:marLeft w:val="0"/>
      <w:marRight w:val="0"/>
      <w:marTop w:val="0"/>
      <w:marBottom w:val="0"/>
      <w:divBdr>
        <w:top w:val="none" w:sz="0" w:space="0" w:color="auto"/>
        <w:left w:val="none" w:sz="0" w:space="0" w:color="auto"/>
        <w:bottom w:val="none" w:sz="0" w:space="0" w:color="auto"/>
        <w:right w:val="none" w:sz="0" w:space="0" w:color="auto"/>
      </w:divBdr>
    </w:div>
    <w:div w:id="811868659">
      <w:bodyDiv w:val="1"/>
      <w:marLeft w:val="0"/>
      <w:marRight w:val="0"/>
      <w:marTop w:val="0"/>
      <w:marBottom w:val="0"/>
      <w:divBdr>
        <w:top w:val="none" w:sz="0" w:space="0" w:color="auto"/>
        <w:left w:val="none" w:sz="0" w:space="0" w:color="auto"/>
        <w:bottom w:val="none" w:sz="0" w:space="0" w:color="auto"/>
        <w:right w:val="none" w:sz="0" w:space="0" w:color="auto"/>
      </w:divBdr>
    </w:div>
    <w:div w:id="832455533">
      <w:bodyDiv w:val="1"/>
      <w:marLeft w:val="0"/>
      <w:marRight w:val="0"/>
      <w:marTop w:val="0"/>
      <w:marBottom w:val="0"/>
      <w:divBdr>
        <w:top w:val="none" w:sz="0" w:space="0" w:color="auto"/>
        <w:left w:val="none" w:sz="0" w:space="0" w:color="auto"/>
        <w:bottom w:val="none" w:sz="0" w:space="0" w:color="auto"/>
        <w:right w:val="none" w:sz="0" w:space="0" w:color="auto"/>
      </w:divBdr>
    </w:div>
    <w:div w:id="865601156">
      <w:bodyDiv w:val="1"/>
      <w:marLeft w:val="0"/>
      <w:marRight w:val="0"/>
      <w:marTop w:val="0"/>
      <w:marBottom w:val="0"/>
      <w:divBdr>
        <w:top w:val="none" w:sz="0" w:space="0" w:color="auto"/>
        <w:left w:val="none" w:sz="0" w:space="0" w:color="auto"/>
        <w:bottom w:val="none" w:sz="0" w:space="0" w:color="auto"/>
        <w:right w:val="none" w:sz="0" w:space="0" w:color="auto"/>
      </w:divBdr>
    </w:div>
    <w:div w:id="874122183">
      <w:bodyDiv w:val="1"/>
      <w:marLeft w:val="0"/>
      <w:marRight w:val="0"/>
      <w:marTop w:val="0"/>
      <w:marBottom w:val="0"/>
      <w:divBdr>
        <w:top w:val="none" w:sz="0" w:space="0" w:color="auto"/>
        <w:left w:val="none" w:sz="0" w:space="0" w:color="auto"/>
        <w:bottom w:val="none" w:sz="0" w:space="0" w:color="auto"/>
        <w:right w:val="none" w:sz="0" w:space="0" w:color="auto"/>
      </w:divBdr>
    </w:div>
    <w:div w:id="880554674">
      <w:bodyDiv w:val="1"/>
      <w:marLeft w:val="0"/>
      <w:marRight w:val="0"/>
      <w:marTop w:val="0"/>
      <w:marBottom w:val="0"/>
      <w:divBdr>
        <w:top w:val="none" w:sz="0" w:space="0" w:color="auto"/>
        <w:left w:val="none" w:sz="0" w:space="0" w:color="auto"/>
        <w:bottom w:val="none" w:sz="0" w:space="0" w:color="auto"/>
        <w:right w:val="none" w:sz="0" w:space="0" w:color="auto"/>
      </w:divBdr>
    </w:div>
    <w:div w:id="898518548">
      <w:bodyDiv w:val="1"/>
      <w:marLeft w:val="0"/>
      <w:marRight w:val="0"/>
      <w:marTop w:val="0"/>
      <w:marBottom w:val="0"/>
      <w:divBdr>
        <w:top w:val="none" w:sz="0" w:space="0" w:color="auto"/>
        <w:left w:val="none" w:sz="0" w:space="0" w:color="auto"/>
        <w:bottom w:val="none" w:sz="0" w:space="0" w:color="auto"/>
        <w:right w:val="none" w:sz="0" w:space="0" w:color="auto"/>
      </w:divBdr>
    </w:div>
    <w:div w:id="922879162">
      <w:bodyDiv w:val="1"/>
      <w:marLeft w:val="0"/>
      <w:marRight w:val="0"/>
      <w:marTop w:val="0"/>
      <w:marBottom w:val="0"/>
      <w:divBdr>
        <w:top w:val="none" w:sz="0" w:space="0" w:color="auto"/>
        <w:left w:val="none" w:sz="0" w:space="0" w:color="auto"/>
        <w:bottom w:val="none" w:sz="0" w:space="0" w:color="auto"/>
        <w:right w:val="none" w:sz="0" w:space="0" w:color="auto"/>
      </w:divBdr>
    </w:div>
    <w:div w:id="940527919">
      <w:bodyDiv w:val="1"/>
      <w:marLeft w:val="0"/>
      <w:marRight w:val="0"/>
      <w:marTop w:val="0"/>
      <w:marBottom w:val="0"/>
      <w:divBdr>
        <w:top w:val="none" w:sz="0" w:space="0" w:color="auto"/>
        <w:left w:val="none" w:sz="0" w:space="0" w:color="auto"/>
        <w:bottom w:val="none" w:sz="0" w:space="0" w:color="auto"/>
        <w:right w:val="none" w:sz="0" w:space="0" w:color="auto"/>
      </w:divBdr>
    </w:div>
    <w:div w:id="946809201">
      <w:bodyDiv w:val="1"/>
      <w:marLeft w:val="0"/>
      <w:marRight w:val="0"/>
      <w:marTop w:val="0"/>
      <w:marBottom w:val="0"/>
      <w:divBdr>
        <w:top w:val="none" w:sz="0" w:space="0" w:color="auto"/>
        <w:left w:val="none" w:sz="0" w:space="0" w:color="auto"/>
        <w:bottom w:val="none" w:sz="0" w:space="0" w:color="auto"/>
        <w:right w:val="none" w:sz="0" w:space="0" w:color="auto"/>
      </w:divBdr>
    </w:div>
    <w:div w:id="947082132">
      <w:bodyDiv w:val="1"/>
      <w:marLeft w:val="0"/>
      <w:marRight w:val="0"/>
      <w:marTop w:val="0"/>
      <w:marBottom w:val="0"/>
      <w:divBdr>
        <w:top w:val="none" w:sz="0" w:space="0" w:color="auto"/>
        <w:left w:val="none" w:sz="0" w:space="0" w:color="auto"/>
        <w:bottom w:val="none" w:sz="0" w:space="0" w:color="auto"/>
        <w:right w:val="none" w:sz="0" w:space="0" w:color="auto"/>
      </w:divBdr>
    </w:div>
    <w:div w:id="964847462">
      <w:bodyDiv w:val="1"/>
      <w:marLeft w:val="0"/>
      <w:marRight w:val="0"/>
      <w:marTop w:val="0"/>
      <w:marBottom w:val="0"/>
      <w:divBdr>
        <w:top w:val="none" w:sz="0" w:space="0" w:color="auto"/>
        <w:left w:val="none" w:sz="0" w:space="0" w:color="auto"/>
        <w:bottom w:val="none" w:sz="0" w:space="0" w:color="auto"/>
        <w:right w:val="none" w:sz="0" w:space="0" w:color="auto"/>
      </w:divBdr>
    </w:div>
    <w:div w:id="998922396">
      <w:bodyDiv w:val="1"/>
      <w:marLeft w:val="0"/>
      <w:marRight w:val="0"/>
      <w:marTop w:val="0"/>
      <w:marBottom w:val="0"/>
      <w:divBdr>
        <w:top w:val="none" w:sz="0" w:space="0" w:color="auto"/>
        <w:left w:val="none" w:sz="0" w:space="0" w:color="auto"/>
        <w:bottom w:val="none" w:sz="0" w:space="0" w:color="auto"/>
        <w:right w:val="none" w:sz="0" w:space="0" w:color="auto"/>
      </w:divBdr>
    </w:div>
    <w:div w:id="999306172">
      <w:bodyDiv w:val="1"/>
      <w:marLeft w:val="0"/>
      <w:marRight w:val="0"/>
      <w:marTop w:val="0"/>
      <w:marBottom w:val="0"/>
      <w:divBdr>
        <w:top w:val="none" w:sz="0" w:space="0" w:color="auto"/>
        <w:left w:val="none" w:sz="0" w:space="0" w:color="auto"/>
        <w:bottom w:val="none" w:sz="0" w:space="0" w:color="auto"/>
        <w:right w:val="none" w:sz="0" w:space="0" w:color="auto"/>
      </w:divBdr>
    </w:div>
    <w:div w:id="1006983069">
      <w:bodyDiv w:val="1"/>
      <w:marLeft w:val="0"/>
      <w:marRight w:val="0"/>
      <w:marTop w:val="0"/>
      <w:marBottom w:val="0"/>
      <w:divBdr>
        <w:top w:val="none" w:sz="0" w:space="0" w:color="auto"/>
        <w:left w:val="none" w:sz="0" w:space="0" w:color="auto"/>
        <w:bottom w:val="none" w:sz="0" w:space="0" w:color="auto"/>
        <w:right w:val="none" w:sz="0" w:space="0" w:color="auto"/>
      </w:divBdr>
    </w:div>
    <w:div w:id="1010447430">
      <w:bodyDiv w:val="1"/>
      <w:marLeft w:val="0"/>
      <w:marRight w:val="0"/>
      <w:marTop w:val="0"/>
      <w:marBottom w:val="0"/>
      <w:divBdr>
        <w:top w:val="none" w:sz="0" w:space="0" w:color="auto"/>
        <w:left w:val="none" w:sz="0" w:space="0" w:color="auto"/>
        <w:bottom w:val="none" w:sz="0" w:space="0" w:color="auto"/>
        <w:right w:val="none" w:sz="0" w:space="0" w:color="auto"/>
      </w:divBdr>
    </w:div>
    <w:div w:id="1020277866">
      <w:bodyDiv w:val="1"/>
      <w:marLeft w:val="0"/>
      <w:marRight w:val="0"/>
      <w:marTop w:val="0"/>
      <w:marBottom w:val="0"/>
      <w:divBdr>
        <w:top w:val="none" w:sz="0" w:space="0" w:color="auto"/>
        <w:left w:val="none" w:sz="0" w:space="0" w:color="auto"/>
        <w:bottom w:val="none" w:sz="0" w:space="0" w:color="auto"/>
        <w:right w:val="none" w:sz="0" w:space="0" w:color="auto"/>
      </w:divBdr>
    </w:div>
    <w:div w:id="1037972238">
      <w:bodyDiv w:val="1"/>
      <w:marLeft w:val="0"/>
      <w:marRight w:val="0"/>
      <w:marTop w:val="0"/>
      <w:marBottom w:val="0"/>
      <w:divBdr>
        <w:top w:val="none" w:sz="0" w:space="0" w:color="auto"/>
        <w:left w:val="none" w:sz="0" w:space="0" w:color="auto"/>
        <w:bottom w:val="none" w:sz="0" w:space="0" w:color="auto"/>
        <w:right w:val="none" w:sz="0" w:space="0" w:color="auto"/>
      </w:divBdr>
    </w:div>
    <w:div w:id="1061558009">
      <w:bodyDiv w:val="1"/>
      <w:marLeft w:val="0"/>
      <w:marRight w:val="0"/>
      <w:marTop w:val="0"/>
      <w:marBottom w:val="0"/>
      <w:divBdr>
        <w:top w:val="none" w:sz="0" w:space="0" w:color="auto"/>
        <w:left w:val="none" w:sz="0" w:space="0" w:color="auto"/>
        <w:bottom w:val="none" w:sz="0" w:space="0" w:color="auto"/>
        <w:right w:val="none" w:sz="0" w:space="0" w:color="auto"/>
      </w:divBdr>
    </w:div>
    <w:div w:id="1062293074">
      <w:bodyDiv w:val="1"/>
      <w:marLeft w:val="0"/>
      <w:marRight w:val="0"/>
      <w:marTop w:val="0"/>
      <w:marBottom w:val="0"/>
      <w:divBdr>
        <w:top w:val="none" w:sz="0" w:space="0" w:color="auto"/>
        <w:left w:val="none" w:sz="0" w:space="0" w:color="auto"/>
        <w:bottom w:val="none" w:sz="0" w:space="0" w:color="auto"/>
        <w:right w:val="none" w:sz="0" w:space="0" w:color="auto"/>
      </w:divBdr>
    </w:div>
    <w:div w:id="1073551116">
      <w:bodyDiv w:val="1"/>
      <w:marLeft w:val="0"/>
      <w:marRight w:val="0"/>
      <w:marTop w:val="0"/>
      <w:marBottom w:val="0"/>
      <w:divBdr>
        <w:top w:val="none" w:sz="0" w:space="0" w:color="auto"/>
        <w:left w:val="none" w:sz="0" w:space="0" w:color="auto"/>
        <w:bottom w:val="none" w:sz="0" w:space="0" w:color="auto"/>
        <w:right w:val="none" w:sz="0" w:space="0" w:color="auto"/>
      </w:divBdr>
    </w:div>
    <w:div w:id="1093285125">
      <w:bodyDiv w:val="1"/>
      <w:marLeft w:val="0"/>
      <w:marRight w:val="0"/>
      <w:marTop w:val="0"/>
      <w:marBottom w:val="0"/>
      <w:divBdr>
        <w:top w:val="none" w:sz="0" w:space="0" w:color="auto"/>
        <w:left w:val="none" w:sz="0" w:space="0" w:color="auto"/>
        <w:bottom w:val="none" w:sz="0" w:space="0" w:color="auto"/>
        <w:right w:val="none" w:sz="0" w:space="0" w:color="auto"/>
      </w:divBdr>
    </w:div>
    <w:div w:id="1093355102">
      <w:bodyDiv w:val="1"/>
      <w:marLeft w:val="0"/>
      <w:marRight w:val="0"/>
      <w:marTop w:val="0"/>
      <w:marBottom w:val="0"/>
      <w:divBdr>
        <w:top w:val="none" w:sz="0" w:space="0" w:color="auto"/>
        <w:left w:val="none" w:sz="0" w:space="0" w:color="auto"/>
        <w:bottom w:val="none" w:sz="0" w:space="0" w:color="auto"/>
        <w:right w:val="none" w:sz="0" w:space="0" w:color="auto"/>
      </w:divBdr>
    </w:div>
    <w:div w:id="1133518353">
      <w:bodyDiv w:val="1"/>
      <w:marLeft w:val="0"/>
      <w:marRight w:val="0"/>
      <w:marTop w:val="0"/>
      <w:marBottom w:val="0"/>
      <w:divBdr>
        <w:top w:val="none" w:sz="0" w:space="0" w:color="auto"/>
        <w:left w:val="none" w:sz="0" w:space="0" w:color="auto"/>
        <w:bottom w:val="none" w:sz="0" w:space="0" w:color="auto"/>
        <w:right w:val="none" w:sz="0" w:space="0" w:color="auto"/>
      </w:divBdr>
    </w:div>
    <w:div w:id="1139810971">
      <w:bodyDiv w:val="1"/>
      <w:marLeft w:val="0"/>
      <w:marRight w:val="0"/>
      <w:marTop w:val="0"/>
      <w:marBottom w:val="0"/>
      <w:divBdr>
        <w:top w:val="none" w:sz="0" w:space="0" w:color="auto"/>
        <w:left w:val="none" w:sz="0" w:space="0" w:color="auto"/>
        <w:bottom w:val="none" w:sz="0" w:space="0" w:color="auto"/>
        <w:right w:val="none" w:sz="0" w:space="0" w:color="auto"/>
      </w:divBdr>
    </w:div>
    <w:div w:id="1193153894">
      <w:bodyDiv w:val="1"/>
      <w:marLeft w:val="0"/>
      <w:marRight w:val="0"/>
      <w:marTop w:val="0"/>
      <w:marBottom w:val="0"/>
      <w:divBdr>
        <w:top w:val="none" w:sz="0" w:space="0" w:color="auto"/>
        <w:left w:val="none" w:sz="0" w:space="0" w:color="auto"/>
        <w:bottom w:val="none" w:sz="0" w:space="0" w:color="auto"/>
        <w:right w:val="none" w:sz="0" w:space="0" w:color="auto"/>
      </w:divBdr>
    </w:div>
    <w:div w:id="1197432365">
      <w:bodyDiv w:val="1"/>
      <w:marLeft w:val="0"/>
      <w:marRight w:val="0"/>
      <w:marTop w:val="0"/>
      <w:marBottom w:val="0"/>
      <w:divBdr>
        <w:top w:val="none" w:sz="0" w:space="0" w:color="auto"/>
        <w:left w:val="none" w:sz="0" w:space="0" w:color="auto"/>
        <w:bottom w:val="none" w:sz="0" w:space="0" w:color="auto"/>
        <w:right w:val="none" w:sz="0" w:space="0" w:color="auto"/>
      </w:divBdr>
    </w:div>
    <w:div w:id="1199513828">
      <w:bodyDiv w:val="1"/>
      <w:marLeft w:val="0"/>
      <w:marRight w:val="0"/>
      <w:marTop w:val="0"/>
      <w:marBottom w:val="0"/>
      <w:divBdr>
        <w:top w:val="none" w:sz="0" w:space="0" w:color="auto"/>
        <w:left w:val="none" w:sz="0" w:space="0" w:color="auto"/>
        <w:bottom w:val="none" w:sz="0" w:space="0" w:color="auto"/>
        <w:right w:val="none" w:sz="0" w:space="0" w:color="auto"/>
      </w:divBdr>
    </w:div>
    <w:div w:id="1205797152">
      <w:bodyDiv w:val="1"/>
      <w:marLeft w:val="0"/>
      <w:marRight w:val="0"/>
      <w:marTop w:val="0"/>
      <w:marBottom w:val="0"/>
      <w:divBdr>
        <w:top w:val="none" w:sz="0" w:space="0" w:color="auto"/>
        <w:left w:val="none" w:sz="0" w:space="0" w:color="auto"/>
        <w:bottom w:val="none" w:sz="0" w:space="0" w:color="auto"/>
        <w:right w:val="none" w:sz="0" w:space="0" w:color="auto"/>
      </w:divBdr>
    </w:div>
    <w:div w:id="1248225903">
      <w:bodyDiv w:val="1"/>
      <w:marLeft w:val="0"/>
      <w:marRight w:val="0"/>
      <w:marTop w:val="0"/>
      <w:marBottom w:val="0"/>
      <w:divBdr>
        <w:top w:val="none" w:sz="0" w:space="0" w:color="auto"/>
        <w:left w:val="none" w:sz="0" w:space="0" w:color="auto"/>
        <w:bottom w:val="none" w:sz="0" w:space="0" w:color="auto"/>
        <w:right w:val="none" w:sz="0" w:space="0" w:color="auto"/>
      </w:divBdr>
    </w:div>
    <w:div w:id="1260604967">
      <w:bodyDiv w:val="1"/>
      <w:marLeft w:val="0"/>
      <w:marRight w:val="0"/>
      <w:marTop w:val="0"/>
      <w:marBottom w:val="0"/>
      <w:divBdr>
        <w:top w:val="none" w:sz="0" w:space="0" w:color="auto"/>
        <w:left w:val="none" w:sz="0" w:space="0" w:color="auto"/>
        <w:bottom w:val="none" w:sz="0" w:space="0" w:color="auto"/>
        <w:right w:val="none" w:sz="0" w:space="0" w:color="auto"/>
      </w:divBdr>
    </w:div>
    <w:div w:id="1265067648">
      <w:bodyDiv w:val="1"/>
      <w:marLeft w:val="0"/>
      <w:marRight w:val="0"/>
      <w:marTop w:val="0"/>
      <w:marBottom w:val="0"/>
      <w:divBdr>
        <w:top w:val="none" w:sz="0" w:space="0" w:color="auto"/>
        <w:left w:val="none" w:sz="0" w:space="0" w:color="auto"/>
        <w:bottom w:val="none" w:sz="0" w:space="0" w:color="auto"/>
        <w:right w:val="none" w:sz="0" w:space="0" w:color="auto"/>
      </w:divBdr>
    </w:div>
    <w:div w:id="1273322789">
      <w:bodyDiv w:val="1"/>
      <w:marLeft w:val="0"/>
      <w:marRight w:val="0"/>
      <w:marTop w:val="0"/>
      <w:marBottom w:val="0"/>
      <w:divBdr>
        <w:top w:val="none" w:sz="0" w:space="0" w:color="auto"/>
        <w:left w:val="none" w:sz="0" w:space="0" w:color="auto"/>
        <w:bottom w:val="none" w:sz="0" w:space="0" w:color="auto"/>
        <w:right w:val="none" w:sz="0" w:space="0" w:color="auto"/>
      </w:divBdr>
    </w:div>
    <w:div w:id="1276055971">
      <w:bodyDiv w:val="1"/>
      <w:marLeft w:val="0"/>
      <w:marRight w:val="0"/>
      <w:marTop w:val="0"/>
      <w:marBottom w:val="0"/>
      <w:divBdr>
        <w:top w:val="none" w:sz="0" w:space="0" w:color="auto"/>
        <w:left w:val="none" w:sz="0" w:space="0" w:color="auto"/>
        <w:bottom w:val="none" w:sz="0" w:space="0" w:color="auto"/>
        <w:right w:val="none" w:sz="0" w:space="0" w:color="auto"/>
      </w:divBdr>
    </w:div>
    <w:div w:id="1305624538">
      <w:bodyDiv w:val="1"/>
      <w:marLeft w:val="0"/>
      <w:marRight w:val="0"/>
      <w:marTop w:val="0"/>
      <w:marBottom w:val="0"/>
      <w:divBdr>
        <w:top w:val="none" w:sz="0" w:space="0" w:color="auto"/>
        <w:left w:val="none" w:sz="0" w:space="0" w:color="auto"/>
        <w:bottom w:val="none" w:sz="0" w:space="0" w:color="auto"/>
        <w:right w:val="none" w:sz="0" w:space="0" w:color="auto"/>
      </w:divBdr>
    </w:div>
    <w:div w:id="1310132852">
      <w:bodyDiv w:val="1"/>
      <w:marLeft w:val="0"/>
      <w:marRight w:val="0"/>
      <w:marTop w:val="0"/>
      <w:marBottom w:val="0"/>
      <w:divBdr>
        <w:top w:val="none" w:sz="0" w:space="0" w:color="auto"/>
        <w:left w:val="none" w:sz="0" w:space="0" w:color="auto"/>
        <w:bottom w:val="none" w:sz="0" w:space="0" w:color="auto"/>
        <w:right w:val="none" w:sz="0" w:space="0" w:color="auto"/>
      </w:divBdr>
    </w:div>
    <w:div w:id="1317803572">
      <w:bodyDiv w:val="1"/>
      <w:marLeft w:val="0"/>
      <w:marRight w:val="0"/>
      <w:marTop w:val="0"/>
      <w:marBottom w:val="0"/>
      <w:divBdr>
        <w:top w:val="none" w:sz="0" w:space="0" w:color="auto"/>
        <w:left w:val="none" w:sz="0" w:space="0" w:color="auto"/>
        <w:bottom w:val="none" w:sz="0" w:space="0" w:color="auto"/>
        <w:right w:val="none" w:sz="0" w:space="0" w:color="auto"/>
      </w:divBdr>
    </w:div>
    <w:div w:id="1319116306">
      <w:bodyDiv w:val="1"/>
      <w:marLeft w:val="0"/>
      <w:marRight w:val="0"/>
      <w:marTop w:val="0"/>
      <w:marBottom w:val="0"/>
      <w:divBdr>
        <w:top w:val="none" w:sz="0" w:space="0" w:color="auto"/>
        <w:left w:val="none" w:sz="0" w:space="0" w:color="auto"/>
        <w:bottom w:val="none" w:sz="0" w:space="0" w:color="auto"/>
        <w:right w:val="none" w:sz="0" w:space="0" w:color="auto"/>
      </w:divBdr>
    </w:div>
    <w:div w:id="1324700509">
      <w:bodyDiv w:val="1"/>
      <w:marLeft w:val="0"/>
      <w:marRight w:val="0"/>
      <w:marTop w:val="0"/>
      <w:marBottom w:val="0"/>
      <w:divBdr>
        <w:top w:val="none" w:sz="0" w:space="0" w:color="auto"/>
        <w:left w:val="none" w:sz="0" w:space="0" w:color="auto"/>
        <w:bottom w:val="none" w:sz="0" w:space="0" w:color="auto"/>
        <w:right w:val="none" w:sz="0" w:space="0" w:color="auto"/>
      </w:divBdr>
    </w:div>
    <w:div w:id="1326862566">
      <w:bodyDiv w:val="1"/>
      <w:marLeft w:val="0"/>
      <w:marRight w:val="0"/>
      <w:marTop w:val="0"/>
      <w:marBottom w:val="0"/>
      <w:divBdr>
        <w:top w:val="none" w:sz="0" w:space="0" w:color="auto"/>
        <w:left w:val="none" w:sz="0" w:space="0" w:color="auto"/>
        <w:bottom w:val="none" w:sz="0" w:space="0" w:color="auto"/>
        <w:right w:val="none" w:sz="0" w:space="0" w:color="auto"/>
      </w:divBdr>
    </w:div>
    <w:div w:id="1335642690">
      <w:bodyDiv w:val="1"/>
      <w:marLeft w:val="0"/>
      <w:marRight w:val="0"/>
      <w:marTop w:val="0"/>
      <w:marBottom w:val="0"/>
      <w:divBdr>
        <w:top w:val="none" w:sz="0" w:space="0" w:color="auto"/>
        <w:left w:val="none" w:sz="0" w:space="0" w:color="auto"/>
        <w:bottom w:val="none" w:sz="0" w:space="0" w:color="auto"/>
        <w:right w:val="none" w:sz="0" w:space="0" w:color="auto"/>
      </w:divBdr>
    </w:div>
    <w:div w:id="1337465123">
      <w:bodyDiv w:val="1"/>
      <w:marLeft w:val="0"/>
      <w:marRight w:val="0"/>
      <w:marTop w:val="0"/>
      <w:marBottom w:val="0"/>
      <w:divBdr>
        <w:top w:val="none" w:sz="0" w:space="0" w:color="auto"/>
        <w:left w:val="none" w:sz="0" w:space="0" w:color="auto"/>
        <w:bottom w:val="none" w:sz="0" w:space="0" w:color="auto"/>
        <w:right w:val="none" w:sz="0" w:space="0" w:color="auto"/>
      </w:divBdr>
    </w:div>
    <w:div w:id="1374840213">
      <w:bodyDiv w:val="1"/>
      <w:marLeft w:val="0"/>
      <w:marRight w:val="0"/>
      <w:marTop w:val="0"/>
      <w:marBottom w:val="0"/>
      <w:divBdr>
        <w:top w:val="none" w:sz="0" w:space="0" w:color="auto"/>
        <w:left w:val="none" w:sz="0" w:space="0" w:color="auto"/>
        <w:bottom w:val="none" w:sz="0" w:space="0" w:color="auto"/>
        <w:right w:val="none" w:sz="0" w:space="0" w:color="auto"/>
      </w:divBdr>
    </w:div>
    <w:div w:id="1377656326">
      <w:bodyDiv w:val="1"/>
      <w:marLeft w:val="0"/>
      <w:marRight w:val="0"/>
      <w:marTop w:val="0"/>
      <w:marBottom w:val="0"/>
      <w:divBdr>
        <w:top w:val="none" w:sz="0" w:space="0" w:color="auto"/>
        <w:left w:val="none" w:sz="0" w:space="0" w:color="auto"/>
        <w:bottom w:val="none" w:sz="0" w:space="0" w:color="auto"/>
        <w:right w:val="none" w:sz="0" w:space="0" w:color="auto"/>
      </w:divBdr>
    </w:div>
    <w:div w:id="1390152352">
      <w:bodyDiv w:val="1"/>
      <w:marLeft w:val="0"/>
      <w:marRight w:val="0"/>
      <w:marTop w:val="0"/>
      <w:marBottom w:val="0"/>
      <w:divBdr>
        <w:top w:val="none" w:sz="0" w:space="0" w:color="auto"/>
        <w:left w:val="none" w:sz="0" w:space="0" w:color="auto"/>
        <w:bottom w:val="none" w:sz="0" w:space="0" w:color="auto"/>
        <w:right w:val="none" w:sz="0" w:space="0" w:color="auto"/>
      </w:divBdr>
    </w:div>
    <w:div w:id="1425764468">
      <w:bodyDiv w:val="1"/>
      <w:marLeft w:val="0"/>
      <w:marRight w:val="0"/>
      <w:marTop w:val="0"/>
      <w:marBottom w:val="0"/>
      <w:divBdr>
        <w:top w:val="none" w:sz="0" w:space="0" w:color="auto"/>
        <w:left w:val="none" w:sz="0" w:space="0" w:color="auto"/>
        <w:bottom w:val="none" w:sz="0" w:space="0" w:color="auto"/>
        <w:right w:val="none" w:sz="0" w:space="0" w:color="auto"/>
      </w:divBdr>
    </w:div>
    <w:div w:id="1433624194">
      <w:bodyDiv w:val="1"/>
      <w:marLeft w:val="0"/>
      <w:marRight w:val="0"/>
      <w:marTop w:val="0"/>
      <w:marBottom w:val="0"/>
      <w:divBdr>
        <w:top w:val="none" w:sz="0" w:space="0" w:color="auto"/>
        <w:left w:val="none" w:sz="0" w:space="0" w:color="auto"/>
        <w:bottom w:val="none" w:sz="0" w:space="0" w:color="auto"/>
        <w:right w:val="none" w:sz="0" w:space="0" w:color="auto"/>
      </w:divBdr>
    </w:div>
    <w:div w:id="1455370696">
      <w:bodyDiv w:val="1"/>
      <w:marLeft w:val="0"/>
      <w:marRight w:val="0"/>
      <w:marTop w:val="0"/>
      <w:marBottom w:val="0"/>
      <w:divBdr>
        <w:top w:val="none" w:sz="0" w:space="0" w:color="auto"/>
        <w:left w:val="none" w:sz="0" w:space="0" w:color="auto"/>
        <w:bottom w:val="none" w:sz="0" w:space="0" w:color="auto"/>
        <w:right w:val="none" w:sz="0" w:space="0" w:color="auto"/>
      </w:divBdr>
    </w:div>
    <w:div w:id="1455782575">
      <w:bodyDiv w:val="1"/>
      <w:marLeft w:val="0"/>
      <w:marRight w:val="0"/>
      <w:marTop w:val="0"/>
      <w:marBottom w:val="0"/>
      <w:divBdr>
        <w:top w:val="none" w:sz="0" w:space="0" w:color="auto"/>
        <w:left w:val="none" w:sz="0" w:space="0" w:color="auto"/>
        <w:bottom w:val="none" w:sz="0" w:space="0" w:color="auto"/>
        <w:right w:val="none" w:sz="0" w:space="0" w:color="auto"/>
      </w:divBdr>
    </w:div>
    <w:div w:id="1457410842">
      <w:bodyDiv w:val="1"/>
      <w:marLeft w:val="0"/>
      <w:marRight w:val="0"/>
      <w:marTop w:val="0"/>
      <w:marBottom w:val="0"/>
      <w:divBdr>
        <w:top w:val="none" w:sz="0" w:space="0" w:color="auto"/>
        <w:left w:val="none" w:sz="0" w:space="0" w:color="auto"/>
        <w:bottom w:val="none" w:sz="0" w:space="0" w:color="auto"/>
        <w:right w:val="none" w:sz="0" w:space="0" w:color="auto"/>
      </w:divBdr>
    </w:div>
    <w:div w:id="1458451258">
      <w:bodyDiv w:val="1"/>
      <w:marLeft w:val="0"/>
      <w:marRight w:val="0"/>
      <w:marTop w:val="0"/>
      <w:marBottom w:val="0"/>
      <w:divBdr>
        <w:top w:val="none" w:sz="0" w:space="0" w:color="auto"/>
        <w:left w:val="none" w:sz="0" w:space="0" w:color="auto"/>
        <w:bottom w:val="none" w:sz="0" w:space="0" w:color="auto"/>
        <w:right w:val="none" w:sz="0" w:space="0" w:color="auto"/>
      </w:divBdr>
    </w:div>
    <w:div w:id="1458641825">
      <w:bodyDiv w:val="1"/>
      <w:marLeft w:val="0"/>
      <w:marRight w:val="0"/>
      <w:marTop w:val="0"/>
      <w:marBottom w:val="0"/>
      <w:divBdr>
        <w:top w:val="none" w:sz="0" w:space="0" w:color="auto"/>
        <w:left w:val="none" w:sz="0" w:space="0" w:color="auto"/>
        <w:bottom w:val="none" w:sz="0" w:space="0" w:color="auto"/>
        <w:right w:val="none" w:sz="0" w:space="0" w:color="auto"/>
      </w:divBdr>
    </w:div>
    <w:div w:id="1465151897">
      <w:bodyDiv w:val="1"/>
      <w:marLeft w:val="0"/>
      <w:marRight w:val="0"/>
      <w:marTop w:val="0"/>
      <w:marBottom w:val="0"/>
      <w:divBdr>
        <w:top w:val="none" w:sz="0" w:space="0" w:color="auto"/>
        <w:left w:val="none" w:sz="0" w:space="0" w:color="auto"/>
        <w:bottom w:val="none" w:sz="0" w:space="0" w:color="auto"/>
        <w:right w:val="none" w:sz="0" w:space="0" w:color="auto"/>
      </w:divBdr>
    </w:div>
    <w:div w:id="1500265435">
      <w:bodyDiv w:val="1"/>
      <w:marLeft w:val="0"/>
      <w:marRight w:val="0"/>
      <w:marTop w:val="0"/>
      <w:marBottom w:val="0"/>
      <w:divBdr>
        <w:top w:val="none" w:sz="0" w:space="0" w:color="auto"/>
        <w:left w:val="none" w:sz="0" w:space="0" w:color="auto"/>
        <w:bottom w:val="none" w:sz="0" w:space="0" w:color="auto"/>
        <w:right w:val="none" w:sz="0" w:space="0" w:color="auto"/>
      </w:divBdr>
    </w:div>
    <w:div w:id="1500383164">
      <w:bodyDiv w:val="1"/>
      <w:marLeft w:val="0"/>
      <w:marRight w:val="0"/>
      <w:marTop w:val="0"/>
      <w:marBottom w:val="0"/>
      <w:divBdr>
        <w:top w:val="none" w:sz="0" w:space="0" w:color="auto"/>
        <w:left w:val="none" w:sz="0" w:space="0" w:color="auto"/>
        <w:bottom w:val="none" w:sz="0" w:space="0" w:color="auto"/>
        <w:right w:val="none" w:sz="0" w:space="0" w:color="auto"/>
      </w:divBdr>
    </w:div>
    <w:div w:id="1510675465">
      <w:bodyDiv w:val="1"/>
      <w:marLeft w:val="0"/>
      <w:marRight w:val="0"/>
      <w:marTop w:val="0"/>
      <w:marBottom w:val="0"/>
      <w:divBdr>
        <w:top w:val="none" w:sz="0" w:space="0" w:color="auto"/>
        <w:left w:val="none" w:sz="0" w:space="0" w:color="auto"/>
        <w:bottom w:val="none" w:sz="0" w:space="0" w:color="auto"/>
        <w:right w:val="none" w:sz="0" w:space="0" w:color="auto"/>
      </w:divBdr>
    </w:div>
    <w:div w:id="1513378473">
      <w:bodyDiv w:val="1"/>
      <w:marLeft w:val="0"/>
      <w:marRight w:val="0"/>
      <w:marTop w:val="0"/>
      <w:marBottom w:val="0"/>
      <w:divBdr>
        <w:top w:val="none" w:sz="0" w:space="0" w:color="auto"/>
        <w:left w:val="none" w:sz="0" w:space="0" w:color="auto"/>
        <w:bottom w:val="none" w:sz="0" w:space="0" w:color="auto"/>
        <w:right w:val="none" w:sz="0" w:space="0" w:color="auto"/>
      </w:divBdr>
    </w:div>
    <w:div w:id="1524707934">
      <w:bodyDiv w:val="1"/>
      <w:marLeft w:val="0"/>
      <w:marRight w:val="0"/>
      <w:marTop w:val="0"/>
      <w:marBottom w:val="0"/>
      <w:divBdr>
        <w:top w:val="none" w:sz="0" w:space="0" w:color="auto"/>
        <w:left w:val="none" w:sz="0" w:space="0" w:color="auto"/>
        <w:bottom w:val="none" w:sz="0" w:space="0" w:color="auto"/>
        <w:right w:val="none" w:sz="0" w:space="0" w:color="auto"/>
      </w:divBdr>
    </w:div>
    <w:div w:id="1529441485">
      <w:bodyDiv w:val="1"/>
      <w:marLeft w:val="0"/>
      <w:marRight w:val="0"/>
      <w:marTop w:val="0"/>
      <w:marBottom w:val="0"/>
      <w:divBdr>
        <w:top w:val="none" w:sz="0" w:space="0" w:color="auto"/>
        <w:left w:val="none" w:sz="0" w:space="0" w:color="auto"/>
        <w:bottom w:val="none" w:sz="0" w:space="0" w:color="auto"/>
        <w:right w:val="none" w:sz="0" w:space="0" w:color="auto"/>
      </w:divBdr>
    </w:div>
    <w:div w:id="1539121576">
      <w:bodyDiv w:val="1"/>
      <w:marLeft w:val="0"/>
      <w:marRight w:val="0"/>
      <w:marTop w:val="0"/>
      <w:marBottom w:val="0"/>
      <w:divBdr>
        <w:top w:val="none" w:sz="0" w:space="0" w:color="auto"/>
        <w:left w:val="none" w:sz="0" w:space="0" w:color="auto"/>
        <w:bottom w:val="none" w:sz="0" w:space="0" w:color="auto"/>
        <w:right w:val="none" w:sz="0" w:space="0" w:color="auto"/>
      </w:divBdr>
    </w:div>
    <w:div w:id="1557425853">
      <w:bodyDiv w:val="1"/>
      <w:marLeft w:val="0"/>
      <w:marRight w:val="0"/>
      <w:marTop w:val="0"/>
      <w:marBottom w:val="0"/>
      <w:divBdr>
        <w:top w:val="none" w:sz="0" w:space="0" w:color="auto"/>
        <w:left w:val="none" w:sz="0" w:space="0" w:color="auto"/>
        <w:bottom w:val="none" w:sz="0" w:space="0" w:color="auto"/>
        <w:right w:val="none" w:sz="0" w:space="0" w:color="auto"/>
      </w:divBdr>
    </w:div>
    <w:div w:id="1559123871">
      <w:bodyDiv w:val="1"/>
      <w:marLeft w:val="0"/>
      <w:marRight w:val="0"/>
      <w:marTop w:val="0"/>
      <w:marBottom w:val="0"/>
      <w:divBdr>
        <w:top w:val="none" w:sz="0" w:space="0" w:color="auto"/>
        <w:left w:val="none" w:sz="0" w:space="0" w:color="auto"/>
        <w:bottom w:val="none" w:sz="0" w:space="0" w:color="auto"/>
        <w:right w:val="none" w:sz="0" w:space="0" w:color="auto"/>
      </w:divBdr>
    </w:div>
    <w:div w:id="1569875266">
      <w:bodyDiv w:val="1"/>
      <w:marLeft w:val="0"/>
      <w:marRight w:val="0"/>
      <w:marTop w:val="0"/>
      <w:marBottom w:val="0"/>
      <w:divBdr>
        <w:top w:val="none" w:sz="0" w:space="0" w:color="auto"/>
        <w:left w:val="none" w:sz="0" w:space="0" w:color="auto"/>
        <w:bottom w:val="none" w:sz="0" w:space="0" w:color="auto"/>
        <w:right w:val="none" w:sz="0" w:space="0" w:color="auto"/>
      </w:divBdr>
    </w:div>
    <w:div w:id="1581255726">
      <w:bodyDiv w:val="1"/>
      <w:marLeft w:val="0"/>
      <w:marRight w:val="0"/>
      <w:marTop w:val="0"/>
      <w:marBottom w:val="0"/>
      <w:divBdr>
        <w:top w:val="none" w:sz="0" w:space="0" w:color="auto"/>
        <w:left w:val="none" w:sz="0" w:space="0" w:color="auto"/>
        <w:bottom w:val="none" w:sz="0" w:space="0" w:color="auto"/>
        <w:right w:val="none" w:sz="0" w:space="0" w:color="auto"/>
      </w:divBdr>
    </w:div>
    <w:div w:id="1582787031">
      <w:bodyDiv w:val="1"/>
      <w:marLeft w:val="0"/>
      <w:marRight w:val="0"/>
      <w:marTop w:val="0"/>
      <w:marBottom w:val="0"/>
      <w:divBdr>
        <w:top w:val="none" w:sz="0" w:space="0" w:color="auto"/>
        <w:left w:val="none" w:sz="0" w:space="0" w:color="auto"/>
        <w:bottom w:val="none" w:sz="0" w:space="0" w:color="auto"/>
        <w:right w:val="none" w:sz="0" w:space="0" w:color="auto"/>
      </w:divBdr>
    </w:div>
    <w:div w:id="1591885484">
      <w:bodyDiv w:val="1"/>
      <w:marLeft w:val="0"/>
      <w:marRight w:val="0"/>
      <w:marTop w:val="0"/>
      <w:marBottom w:val="0"/>
      <w:divBdr>
        <w:top w:val="none" w:sz="0" w:space="0" w:color="auto"/>
        <w:left w:val="none" w:sz="0" w:space="0" w:color="auto"/>
        <w:bottom w:val="none" w:sz="0" w:space="0" w:color="auto"/>
        <w:right w:val="none" w:sz="0" w:space="0" w:color="auto"/>
      </w:divBdr>
    </w:div>
    <w:div w:id="1676107228">
      <w:bodyDiv w:val="1"/>
      <w:marLeft w:val="0"/>
      <w:marRight w:val="0"/>
      <w:marTop w:val="0"/>
      <w:marBottom w:val="0"/>
      <w:divBdr>
        <w:top w:val="none" w:sz="0" w:space="0" w:color="auto"/>
        <w:left w:val="none" w:sz="0" w:space="0" w:color="auto"/>
        <w:bottom w:val="none" w:sz="0" w:space="0" w:color="auto"/>
        <w:right w:val="none" w:sz="0" w:space="0" w:color="auto"/>
      </w:divBdr>
    </w:div>
    <w:div w:id="1679037734">
      <w:bodyDiv w:val="1"/>
      <w:marLeft w:val="0"/>
      <w:marRight w:val="0"/>
      <w:marTop w:val="0"/>
      <w:marBottom w:val="0"/>
      <w:divBdr>
        <w:top w:val="none" w:sz="0" w:space="0" w:color="auto"/>
        <w:left w:val="none" w:sz="0" w:space="0" w:color="auto"/>
        <w:bottom w:val="none" w:sz="0" w:space="0" w:color="auto"/>
        <w:right w:val="none" w:sz="0" w:space="0" w:color="auto"/>
      </w:divBdr>
    </w:div>
    <w:div w:id="1694839837">
      <w:bodyDiv w:val="1"/>
      <w:marLeft w:val="0"/>
      <w:marRight w:val="0"/>
      <w:marTop w:val="0"/>
      <w:marBottom w:val="0"/>
      <w:divBdr>
        <w:top w:val="none" w:sz="0" w:space="0" w:color="auto"/>
        <w:left w:val="none" w:sz="0" w:space="0" w:color="auto"/>
        <w:bottom w:val="none" w:sz="0" w:space="0" w:color="auto"/>
        <w:right w:val="none" w:sz="0" w:space="0" w:color="auto"/>
      </w:divBdr>
    </w:div>
    <w:div w:id="1698383816">
      <w:bodyDiv w:val="1"/>
      <w:marLeft w:val="0"/>
      <w:marRight w:val="0"/>
      <w:marTop w:val="0"/>
      <w:marBottom w:val="0"/>
      <w:divBdr>
        <w:top w:val="none" w:sz="0" w:space="0" w:color="auto"/>
        <w:left w:val="none" w:sz="0" w:space="0" w:color="auto"/>
        <w:bottom w:val="none" w:sz="0" w:space="0" w:color="auto"/>
        <w:right w:val="none" w:sz="0" w:space="0" w:color="auto"/>
      </w:divBdr>
    </w:div>
    <w:div w:id="1728917058">
      <w:bodyDiv w:val="1"/>
      <w:marLeft w:val="0"/>
      <w:marRight w:val="0"/>
      <w:marTop w:val="0"/>
      <w:marBottom w:val="0"/>
      <w:divBdr>
        <w:top w:val="none" w:sz="0" w:space="0" w:color="auto"/>
        <w:left w:val="none" w:sz="0" w:space="0" w:color="auto"/>
        <w:bottom w:val="none" w:sz="0" w:space="0" w:color="auto"/>
        <w:right w:val="none" w:sz="0" w:space="0" w:color="auto"/>
      </w:divBdr>
    </w:div>
    <w:div w:id="1737120518">
      <w:bodyDiv w:val="1"/>
      <w:marLeft w:val="0"/>
      <w:marRight w:val="0"/>
      <w:marTop w:val="0"/>
      <w:marBottom w:val="0"/>
      <w:divBdr>
        <w:top w:val="none" w:sz="0" w:space="0" w:color="auto"/>
        <w:left w:val="none" w:sz="0" w:space="0" w:color="auto"/>
        <w:bottom w:val="none" w:sz="0" w:space="0" w:color="auto"/>
        <w:right w:val="none" w:sz="0" w:space="0" w:color="auto"/>
      </w:divBdr>
    </w:div>
    <w:div w:id="1772124228">
      <w:bodyDiv w:val="1"/>
      <w:marLeft w:val="0"/>
      <w:marRight w:val="0"/>
      <w:marTop w:val="0"/>
      <w:marBottom w:val="0"/>
      <w:divBdr>
        <w:top w:val="none" w:sz="0" w:space="0" w:color="auto"/>
        <w:left w:val="none" w:sz="0" w:space="0" w:color="auto"/>
        <w:bottom w:val="none" w:sz="0" w:space="0" w:color="auto"/>
        <w:right w:val="none" w:sz="0" w:space="0" w:color="auto"/>
      </w:divBdr>
    </w:div>
    <w:div w:id="1778713923">
      <w:bodyDiv w:val="1"/>
      <w:marLeft w:val="0"/>
      <w:marRight w:val="0"/>
      <w:marTop w:val="0"/>
      <w:marBottom w:val="0"/>
      <w:divBdr>
        <w:top w:val="none" w:sz="0" w:space="0" w:color="auto"/>
        <w:left w:val="none" w:sz="0" w:space="0" w:color="auto"/>
        <w:bottom w:val="none" w:sz="0" w:space="0" w:color="auto"/>
        <w:right w:val="none" w:sz="0" w:space="0" w:color="auto"/>
      </w:divBdr>
    </w:div>
    <w:div w:id="1788622617">
      <w:bodyDiv w:val="1"/>
      <w:marLeft w:val="0"/>
      <w:marRight w:val="0"/>
      <w:marTop w:val="0"/>
      <w:marBottom w:val="0"/>
      <w:divBdr>
        <w:top w:val="none" w:sz="0" w:space="0" w:color="auto"/>
        <w:left w:val="none" w:sz="0" w:space="0" w:color="auto"/>
        <w:bottom w:val="none" w:sz="0" w:space="0" w:color="auto"/>
        <w:right w:val="none" w:sz="0" w:space="0" w:color="auto"/>
      </w:divBdr>
    </w:div>
    <w:div w:id="1792741897">
      <w:bodyDiv w:val="1"/>
      <w:marLeft w:val="0"/>
      <w:marRight w:val="0"/>
      <w:marTop w:val="0"/>
      <w:marBottom w:val="0"/>
      <w:divBdr>
        <w:top w:val="none" w:sz="0" w:space="0" w:color="auto"/>
        <w:left w:val="none" w:sz="0" w:space="0" w:color="auto"/>
        <w:bottom w:val="none" w:sz="0" w:space="0" w:color="auto"/>
        <w:right w:val="none" w:sz="0" w:space="0" w:color="auto"/>
      </w:divBdr>
    </w:div>
    <w:div w:id="1817260872">
      <w:bodyDiv w:val="1"/>
      <w:marLeft w:val="0"/>
      <w:marRight w:val="0"/>
      <w:marTop w:val="0"/>
      <w:marBottom w:val="0"/>
      <w:divBdr>
        <w:top w:val="none" w:sz="0" w:space="0" w:color="auto"/>
        <w:left w:val="none" w:sz="0" w:space="0" w:color="auto"/>
        <w:bottom w:val="none" w:sz="0" w:space="0" w:color="auto"/>
        <w:right w:val="none" w:sz="0" w:space="0" w:color="auto"/>
      </w:divBdr>
    </w:div>
    <w:div w:id="1827627143">
      <w:bodyDiv w:val="1"/>
      <w:marLeft w:val="0"/>
      <w:marRight w:val="0"/>
      <w:marTop w:val="0"/>
      <w:marBottom w:val="0"/>
      <w:divBdr>
        <w:top w:val="none" w:sz="0" w:space="0" w:color="auto"/>
        <w:left w:val="none" w:sz="0" w:space="0" w:color="auto"/>
        <w:bottom w:val="none" w:sz="0" w:space="0" w:color="auto"/>
        <w:right w:val="none" w:sz="0" w:space="0" w:color="auto"/>
      </w:divBdr>
    </w:div>
    <w:div w:id="1828281606">
      <w:bodyDiv w:val="1"/>
      <w:marLeft w:val="0"/>
      <w:marRight w:val="0"/>
      <w:marTop w:val="0"/>
      <w:marBottom w:val="0"/>
      <w:divBdr>
        <w:top w:val="none" w:sz="0" w:space="0" w:color="auto"/>
        <w:left w:val="none" w:sz="0" w:space="0" w:color="auto"/>
        <w:bottom w:val="none" w:sz="0" w:space="0" w:color="auto"/>
        <w:right w:val="none" w:sz="0" w:space="0" w:color="auto"/>
      </w:divBdr>
    </w:div>
    <w:div w:id="1838183530">
      <w:bodyDiv w:val="1"/>
      <w:marLeft w:val="0"/>
      <w:marRight w:val="0"/>
      <w:marTop w:val="0"/>
      <w:marBottom w:val="0"/>
      <w:divBdr>
        <w:top w:val="none" w:sz="0" w:space="0" w:color="auto"/>
        <w:left w:val="none" w:sz="0" w:space="0" w:color="auto"/>
        <w:bottom w:val="none" w:sz="0" w:space="0" w:color="auto"/>
        <w:right w:val="none" w:sz="0" w:space="0" w:color="auto"/>
      </w:divBdr>
    </w:div>
    <w:div w:id="1845244986">
      <w:bodyDiv w:val="1"/>
      <w:marLeft w:val="0"/>
      <w:marRight w:val="0"/>
      <w:marTop w:val="0"/>
      <w:marBottom w:val="0"/>
      <w:divBdr>
        <w:top w:val="none" w:sz="0" w:space="0" w:color="auto"/>
        <w:left w:val="none" w:sz="0" w:space="0" w:color="auto"/>
        <w:bottom w:val="none" w:sz="0" w:space="0" w:color="auto"/>
        <w:right w:val="none" w:sz="0" w:space="0" w:color="auto"/>
      </w:divBdr>
    </w:div>
    <w:div w:id="1871019661">
      <w:bodyDiv w:val="1"/>
      <w:marLeft w:val="0"/>
      <w:marRight w:val="0"/>
      <w:marTop w:val="0"/>
      <w:marBottom w:val="0"/>
      <w:divBdr>
        <w:top w:val="none" w:sz="0" w:space="0" w:color="auto"/>
        <w:left w:val="none" w:sz="0" w:space="0" w:color="auto"/>
        <w:bottom w:val="none" w:sz="0" w:space="0" w:color="auto"/>
        <w:right w:val="none" w:sz="0" w:space="0" w:color="auto"/>
      </w:divBdr>
    </w:div>
    <w:div w:id="1882086499">
      <w:bodyDiv w:val="1"/>
      <w:marLeft w:val="0"/>
      <w:marRight w:val="0"/>
      <w:marTop w:val="0"/>
      <w:marBottom w:val="0"/>
      <w:divBdr>
        <w:top w:val="none" w:sz="0" w:space="0" w:color="auto"/>
        <w:left w:val="none" w:sz="0" w:space="0" w:color="auto"/>
        <w:bottom w:val="none" w:sz="0" w:space="0" w:color="auto"/>
        <w:right w:val="none" w:sz="0" w:space="0" w:color="auto"/>
      </w:divBdr>
    </w:div>
    <w:div w:id="1900550061">
      <w:bodyDiv w:val="1"/>
      <w:marLeft w:val="0"/>
      <w:marRight w:val="0"/>
      <w:marTop w:val="0"/>
      <w:marBottom w:val="0"/>
      <w:divBdr>
        <w:top w:val="none" w:sz="0" w:space="0" w:color="auto"/>
        <w:left w:val="none" w:sz="0" w:space="0" w:color="auto"/>
        <w:bottom w:val="none" w:sz="0" w:space="0" w:color="auto"/>
        <w:right w:val="none" w:sz="0" w:space="0" w:color="auto"/>
      </w:divBdr>
    </w:div>
    <w:div w:id="1940986655">
      <w:bodyDiv w:val="1"/>
      <w:marLeft w:val="0"/>
      <w:marRight w:val="0"/>
      <w:marTop w:val="0"/>
      <w:marBottom w:val="0"/>
      <w:divBdr>
        <w:top w:val="none" w:sz="0" w:space="0" w:color="auto"/>
        <w:left w:val="none" w:sz="0" w:space="0" w:color="auto"/>
        <w:bottom w:val="none" w:sz="0" w:space="0" w:color="auto"/>
        <w:right w:val="none" w:sz="0" w:space="0" w:color="auto"/>
      </w:divBdr>
    </w:div>
    <w:div w:id="1942952001">
      <w:bodyDiv w:val="1"/>
      <w:marLeft w:val="0"/>
      <w:marRight w:val="0"/>
      <w:marTop w:val="0"/>
      <w:marBottom w:val="0"/>
      <w:divBdr>
        <w:top w:val="none" w:sz="0" w:space="0" w:color="auto"/>
        <w:left w:val="none" w:sz="0" w:space="0" w:color="auto"/>
        <w:bottom w:val="none" w:sz="0" w:space="0" w:color="auto"/>
        <w:right w:val="none" w:sz="0" w:space="0" w:color="auto"/>
      </w:divBdr>
    </w:div>
    <w:div w:id="1945571432">
      <w:bodyDiv w:val="1"/>
      <w:marLeft w:val="0"/>
      <w:marRight w:val="0"/>
      <w:marTop w:val="0"/>
      <w:marBottom w:val="0"/>
      <w:divBdr>
        <w:top w:val="none" w:sz="0" w:space="0" w:color="auto"/>
        <w:left w:val="none" w:sz="0" w:space="0" w:color="auto"/>
        <w:bottom w:val="none" w:sz="0" w:space="0" w:color="auto"/>
        <w:right w:val="none" w:sz="0" w:space="0" w:color="auto"/>
      </w:divBdr>
    </w:div>
    <w:div w:id="1960530557">
      <w:bodyDiv w:val="1"/>
      <w:marLeft w:val="0"/>
      <w:marRight w:val="0"/>
      <w:marTop w:val="0"/>
      <w:marBottom w:val="0"/>
      <w:divBdr>
        <w:top w:val="none" w:sz="0" w:space="0" w:color="auto"/>
        <w:left w:val="none" w:sz="0" w:space="0" w:color="auto"/>
        <w:bottom w:val="none" w:sz="0" w:space="0" w:color="auto"/>
        <w:right w:val="none" w:sz="0" w:space="0" w:color="auto"/>
      </w:divBdr>
    </w:div>
    <w:div w:id="1977879186">
      <w:bodyDiv w:val="1"/>
      <w:marLeft w:val="0"/>
      <w:marRight w:val="0"/>
      <w:marTop w:val="0"/>
      <w:marBottom w:val="0"/>
      <w:divBdr>
        <w:top w:val="none" w:sz="0" w:space="0" w:color="auto"/>
        <w:left w:val="none" w:sz="0" w:space="0" w:color="auto"/>
        <w:bottom w:val="none" w:sz="0" w:space="0" w:color="auto"/>
        <w:right w:val="none" w:sz="0" w:space="0" w:color="auto"/>
      </w:divBdr>
    </w:div>
    <w:div w:id="1987277866">
      <w:bodyDiv w:val="1"/>
      <w:marLeft w:val="0"/>
      <w:marRight w:val="0"/>
      <w:marTop w:val="0"/>
      <w:marBottom w:val="0"/>
      <w:divBdr>
        <w:top w:val="none" w:sz="0" w:space="0" w:color="auto"/>
        <w:left w:val="none" w:sz="0" w:space="0" w:color="auto"/>
        <w:bottom w:val="none" w:sz="0" w:space="0" w:color="auto"/>
        <w:right w:val="none" w:sz="0" w:space="0" w:color="auto"/>
      </w:divBdr>
    </w:div>
    <w:div w:id="2007046901">
      <w:bodyDiv w:val="1"/>
      <w:marLeft w:val="0"/>
      <w:marRight w:val="0"/>
      <w:marTop w:val="0"/>
      <w:marBottom w:val="0"/>
      <w:divBdr>
        <w:top w:val="none" w:sz="0" w:space="0" w:color="auto"/>
        <w:left w:val="none" w:sz="0" w:space="0" w:color="auto"/>
        <w:bottom w:val="none" w:sz="0" w:space="0" w:color="auto"/>
        <w:right w:val="none" w:sz="0" w:space="0" w:color="auto"/>
      </w:divBdr>
    </w:div>
    <w:div w:id="2020501887">
      <w:bodyDiv w:val="1"/>
      <w:marLeft w:val="0"/>
      <w:marRight w:val="0"/>
      <w:marTop w:val="0"/>
      <w:marBottom w:val="0"/>
      <w:divBdr>
        <w:top w:val="none" w:sz="0" w:space="0" w:color="auto"/>
        <w:left w:val="none" w:sz="0" w:space="0" w:color="auto"/>
        <w:bottom w:val="none" w:sz="0" w:space="0" w:color="auto"/>
        <w:right w:val="none" w:sz="0" w:space="0" w:color="auto"/>
      </w:divBdr>
    </w:div>
    <w:div w:id="2024820587">
      <w:bodyDiv w:val="1"/>
      <w:marLeft w:val="0"/>
      <w:marRight w:val="0"/>
      <w:marTop w:val="0"/>
      <w:marBottom w:val="0"/>
      <w:divBdr>
        <w:top w:val="none" w:sz="0" w:space="0" w:color="auto"/>
        <w:left w:val="none" w:sz="0" w:space="0" w:color="auto"/>
        <w:bottom w:val="none" w:sz="0" w:space="0" w:color="auto"/>
        <w:right w:val="none" w:sz="0" w:space="0" w:color="auto"/>
      </w:divBdr>
    </w:div>
    <w:div w:id="2033802471">
      <w:bodyDiv w:val="1"/>
      <w:marLeft w:val="0"/>
      <w:marRight w:val="0"/>
      <w:marTop w:val="0"/>
      <w:marBottom w:val="0"/>
      <w:divBdr>
        <w:top w:val="none" w:sz="0" w:space="0" w:color="auto"/>
        <w:left w:val="none" w:sz="0" w:space="0" w:color="auto"/>
        <w:bottom w:val="none" w:sz="0" w:space="0" w:color="auto"/>
        <w:right w:val="none" w:sz="0" w:space="0" w:color="auto"/>
      </w:divBdr>
    </w:div>
    <w:div w:id="2068448896">
      <w:bodyDiv w:val="1"/>
      <w:marLeft w:val="0"/>
      <w:marRight w:val="0"/>
      <w:marTop w:val="0"/>
      <w:marBottom w:val="0"/>
      <w:divBdr>
        <w:top w:val="none" w:sz="0" w:space="0" w:color="auto"/>
        <w:left w:val="none" w:sz="0" w:space="0" w:color="auto"/>
        <w:bottom w:val="none" w:sz="0" w:space="0" w:color="auto"/>
        <w:right w:val="none" w:sz="0" w:space="0" w:color="auto"/>
      </w:divBdr>
    </w:div>
    <w:div w:id="2070372623">
      <w:bodyDiv w:val="1"/>
      <w:marLeft w:val="0"/>
      <w:marRight w:val="0"/>
      <w:marTop w:val="0"/>
      <w:marBottom w:val="0"/>
      <w:divBdr>
        <w:top w:val="none" w:sz="0" w:space="0" w:color="auto"/>
        <w:left w:val="none" w:sz="0" w:space="0" w:color="auto"/>
        <w:bottom w:val="none" w:sz="0" w:space="0" w:color="auto"/>
        <w:right w:val="none" w:sz="0" w:space="0" w:color="auto"/>
      </w:divBdr>
    </w:div>
    <w:div w:id="2070683924">
      <w:bodyDiv w:val="1"/>
      <w:marLeft w:val="0"/>
      <w:marRight w:val="0"/>
      <w:marTop w:val="0"/>
      <w:marBottom w:val="0"/>
      <w:divBdr>
        <w:top w:val="none" w:sz="0" w:space="0" w:color="auto"/>
        <w:left w:val="none" w:sz="0" w:space="0" w:color="auto"/>
        <w:bottom w:val="none" w:sz="0" w:space="0" w:color="auto"/>
        <w:right w:val="none" w:sz="0" w:space="0" w:color="auto"/>
      </w:divBdr>
    </w:div>
    <w:div w:id="2081319709">
      <w:bodyDiv w:val="1"/>
      <w:marLeft w:val="0"/>
      <w:marRight w:val="0"/>
      <w:marTop w:val="0"/>
      <w:marBottom w:val="0"/>
      <w:divBdr>
        <w:top w:val="none" w:sz="0" w:space="0" w:color="auto"/>
        <w:left w:val="none" w:sz="0" w:space="0" w:color="auto"/>
        <w:bottom w:val="none" w:sz="0" w:space="0" w:color="auto"/>
        <w:right w:val="none" w:sz="0" w:space="0" w:color="auto"/>
      </w:divBdr>
    </w:div>
    <w:div w:id="2082947072">
      <w:bodyDiv w:val="1"/>
      <w:marLeft w:val="0"/>
      <w:marRight w:val="0"/>
      <w:marTop w:val="0"/>
      <w:marBottom w:val="0"/>
      <w:divBdr>
        <w:top w:val="none" w:sz="0" w:space="0" w:color="auto"/>
        <w:left w:val="none" w:sz="0" w:space="0" w:color="auto"/>
        <w:bottom w:val="none" w:sz="0" w:space="0" w:color="auto"/>
        <w:right w:val="none" w:sz="0" w:space="0" w:color="auto"/>
      </w:divBdr>
    </w:div>
    <w:div w:id="2102288062">
      <w:bodyDiv w:val="1"/>
      <w:marLeft w:val="0"/>
      <w:marRight w:val="0"/>
      <w:marTop w:val="0"/>
      <w:marBottom w:val="0"/>
      <w:divBdr>
        <w:top w:val="none" w:sz="0" w:space="0" w:color="auto"/>
        <w:left w:val="none" w:sz="0" w:space="0" w:color="auto"/>
        <w:bottom w:val="none" w:sz="0" w:space="0" w:color="auto"/>
        <w:right w:val="none" w:sz="0" w:space="0" w:color="auto"/>
      </w:divBdr>
    </w:div>
    <w:div w:id="2133866870">
      <w:bodyDiv w:val="1"/>
      <w:marLeft w:val="0"/>
      <w:marRight w:val="0"/>
      <w:marTop w:val="0"/>
      <w:marBottom w:val="0"/>
      <w:divBdr>
        <w:top w:val="none" w:sz="0" w:space="0" w:color="auto"/>
        <w:left w:val="none" w:sz="0" w:space="0" w:color="auto"/>
        <w:bottom w:val="none" w:sz="0" w:space="0" w:color="auto"/>
        <w:right w:val="none" w:sz="0" w:space="0" w:color="auto"/>
      </w:divBdr>
    </w:div>
    <w:div w:id="2140410952">
      <w:bodyDiv w:val="1"/>
      <w:marLeft w:val="0"/>
      <w:marRight w:val="0"/>
      <w:marTop w:val="0"/>
      <w:marBottom w:val="0"/>
      <w:divBdr>
        <w:top w:val="none" w:sz="0" w:space="0" w:color="auto"/>
        <w:left w:val="none" w:sz="0" w:space="0" w:color="auto"/>
        <w:bottom w:val="none" w:sz="0" w:space="0" w:color="auto"/>
        <w:right w:val="none" w:sz="0" w:space="0" w:color="auto"/>
      </w:divBdr>
    </w:div>
    <w:div w:id="21444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ONRcx</b:Tag>
    <b:SourceType>Book</b:SourceType>
    <b:Guid>{DC32CF01-6ABF-4B1D-8110-5E746C178A09}</b:Guid>
    <b:Title>New Nuclear Power Plants: Generic Design Assessment Guidance to Requesting Parties, ONR-GDA-GD-006</b:Title>
    <b:Year>Issue 1, August 2024, https://www.onr.org.uk/media/iexmextu/onr-gda-gd-006.docx</b:Year>
    <b:Author>
      <b:Author>
        <b:Corporate>ONR</b:Corporate>
      </b:Author>
    </b:Author>
    <b:RefOrder>1</b:RefOrder>
  </b:Source>
  <b:Source>
    <b:Tag>PSRChapterA2</b:Tag>
    <b:SourceType>Book</b:SourceType>
    <b:Guid>{D635C60B-6BCD-41BB-8D30-6AB3F98CA6FC}</b:Guid>
    <b:Author>
      <b:Author>
        <b:Corporate>Holtec Britain</b:Corporate>
      </b:Author>
    </b:Author>
    <b:Title>PSR PART A Chapter 2 General Design Aspects and Site, HI-2240333, Revision 1, 4 July 2025. ONRW-2019369590-22264</b:Title>
    <b:RefOrder>6</b:RefOrder>
  </b:Source>
  <b:Source>
    <b:Tag>PSRChapterA1</b:Tag>
    <b:SourceType>Book</b:SourceType>
    <b:Guid>{7CB60990-F700-4342-88F8-72E7A3CE745C}</b:Guid>
    <b:Author>
      <b:Author>
        <b:Corporate>Holtec Britain</b:Corporate>
      </b:Author>
    </b:Author>
    <b:Title>PSR PART A Chapter 1 Introduction, HI-2240332, Revision 1, 4 July 2025. ONRW-2019369590-22263</b:Title>
    <b:RefOrder>5</b:RefOrder>
  </b:Source>
  <b:Source>
    <b:Tag>DRP</b:Tag>
    <b:SourceType>Book</b:SourceType>
    <b:Guid>{B4871BB4-E434-4092-BA3C-D3E9C9D4C97C}</b:Guid>
    <b:Author>
      <b:Author>
        <b:Corporate>Holtec Britain</b:Corporate>
      </b:Author>
    </b:Author>
    <b:Title>GDA Design Reference Point, HI-2240648 - R2.0, May 2025. ONRW-2019369590-20879</b:Title>
    <b:RefOrder>4</b:RefOrder>
  </b:Source>
  <b:Source>
    <b:Tag>MDSL</b:Tag>
    <b:SourceType>Book</b:SourceType>
    <b:Guid>{C9D43EBD-565A-490D-8D10-C135E061CD39}</b:Guid>
    <b:Author>
      <b:Author>
        <b:Corporate>Holtec Britain</b:Corporate>
      </b:Author>
    </b:Author>
    <b:Title>Holtec Britain, Master Document Submission List, HI-2240061 Revision 17, 27 November 2025, ONRW-2019369590-25528</b:Title>
    <b:RefOrder>3</b:RefOrder>
  </b:Source>
  <b:Source>
    <b:Tag>ONR5</b:Tag>
    <b:SourceType>Book</b:SourceType>
    <b:Guid>{548B69AB-3AA7-40AB-92E6-6383824F7F52}</b:Guid>
    <b:Author>
      <b:Author>
        <b:Corporate>ONR</b:Corporate>
      </b:Author>
    </b:Author>
    <b:Title>Holtec SMR-300 Step 2 - Summary Report, Revision 1, January 2026. ONRW-2019369590-22557</b:Title>
    <b:RefOrder>2</b:RefOrder>
  </b:Source>
</b:Sources>
</file>

<file path=customXml/itemProps1.xml><?xml version="1.0" encoding="utf-8"?>
<ds:datastoreItem xmlns:ds="http://schemas.openxmlformats.org/officeDocument/2006/customXml" ds:itemID="{437E5289-6BE9-431C-BFE2-A9993037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Wynne</cp:lastModifiedBy>
  <cp:revision>3</cp:revision>
  <dcterms:created xsi:type="dcterms:W3CDTF">2026-03-10T18:01:00Z</dcterms:created>
  <dcterms:modified xsi:type="dcterms:W3CDTF">2026-03-31T09:28:00Z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2026-03-10T18:01:46Z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0d094afe-3905-4aea-a901-e6bf26bdae9c</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