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7FE8" w14:textId="383DA56D" w:rsidR="0070308F" w:rsidRDefault="00E73150">
      <w:r>
        <w:rPr>
          <w:noProof/>
        </w:rPr>
        <w:drawing>
          <wp:inline distT="0" distB="0" distL="0" distR="0" wp14:anchorId="2A0E45EA" wp14:editId="59C6BC96">
            <wp:extent cx="657225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0" cy="621665"/>
                    </a:xfrm>
                    <a:prstGeom prst="rect">
                      <a:avLst/>
                    </a:prstGeom>
                    <a:noFill/>
                  </pic:spPr>
                </pic:pic>
              </a:graphicData>
            </a:graphic>
          </wp:inline>
        </w:drawing>
      </w:r>
    </w:p>
    <w:p w14:paraId="7A4EBEA5" w14:textId="77777777" w:rsidR="0070308F" w:rsidRDefault="0070308F"/>
    <w:p w14:paraId="39F4B834" w14:textId="77777777" w:rsidR="0070308F" w:rsidRDefault="0070308F"/>
    <w:p w14:paraId="7C4B6AE5" w14:textId="77777777" w:rsidR="0070308F" w:rsidRDefault="0070308F"/>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2938"/>
        <w:gridCol w:w="2160"/>
        <w:gridCol w:w="2160"/>
        <w:gridCol w:w="2042"/>
      </w:tblGrid>
      <w:tr w:rsidR="0070308F" w:rsidRPr="0020262A" w14:paraId="593E18B8" w14:textId="77777777" w:rsidTr="002B7EAE">
        <w:trPr>
          <w:trHeight w:val="686"/>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7450C262" w14:textId="77777777" w:rsidR="0070308F" w:rsidRPr="002B7EAE" w:rsidRDefault="0070308F" w:rsidP="002B7EAE">
            <w:pPr>
              <w:jc w:val="center"/>
            </w:pPr>
            <w:r w:rsidRPr="002B7EAE">
              <w:t>ONR GUIDE</w:t>
            </w:r>
          </w:p>
        </w:tc>
      </w:tr>
      <w:tr w:rsidR="0070308F" w:rsidRPr="0020262A" w14:paraId="4C7F066A" w14:textId="77777777" w:rsidTr="002B7EAE">
        <w:trPr>
          <w:trHeight w:val="711"/>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3E473312" w14:textId="49BAB554" w:rsidR="0070308F" w:rsidRPr="0070308F" w:rsidRDefault="00CC6E39" w:rsidP="00CC6E39">
            <w:pPr>
              <w:jc w:val="center"/>
              <w:rPr>
                <w:b/>
              </w:rPr>
            </w:pPr>
            <w:r>
              <w:rPr>
                <w:b/>
              </w:rPr>
              <w:t xml:space="preserve">CIVIL ENGINEERING - </w:t>
            </w:r>
            <w:r w:rsidR="000761BD">
              <w:rPr>
                <w:b/>
              </w:rPr>
              <w:t xml:space="preserve">POST OPERATION </w:t>
            </w:r>
          </w:p>
        </w:tc>
      </w:tr>
      <w:tr w:rsidR="0070308F" w:rsidRPr="0020262A" w14:paraId="662D316A" w14:textId="77777777" w:rsidTr="001479F5">
        <w:trPr>
          <w:trHeight w:val="454"/>
        </w:trPr>
        <w:tc>
          <w:tcPr>
            <w:tcW w:w="2938" w:type="dxa"/>
            <w:vAlign w:val="center"/>
          </w:tcPr>
          <w:p w14:paraId="4025F849" w14:textId="77777777" w:rsidR="0070308F" w:rsidRPr="0020262A" w:rsidRDefault="0070308F" w:rsidP="001479F5">
            <w:pPr>
              <w:rPr>
                <w:rFonts w:cs="Arial"/>
                <w:b/>
                <w:szCs w:val="22"/>
              </w:rPr>
            </w:pPr>
            <w:r w:rsidRPr="0020262A">
              <w:rPr>
                <w:rFonts w:cs="Arial"/>
                <w:b/>
                <w:szCs w:val="22"/>
              </w:rPr>
              <w:t>Document Type:</w:t>
            </w:r>
          </w:p>
        </w:tc>
        <w:tc>
          <w:tcPr>
            <w:tcW w:w="6362" w:type="dxa"/>
            <w:gridSpan w:val="3"/>
            <w:vAlign w:val="center"/>
          </w:tcPr>
          <w:p w14:paraId="0BB2D1F4" w14:textId="77777777" w:rsidR="0070308F" w:rsidRPr="0020262A" w:rsidRDefault="009F5553" w:rsidP="001479F5">
            <w:pPr>
              <w:rPr>
                <w:rFonts w:cs="Arial"/>
                <w:szCs w:val="22"/>
              </w:rPr>
            </w:pPr>
            <w:r>
              <w:rPr>
                <w:rFonts w:cs="Arial"/>
                <w:szCs w:val="22"/>
              </w:rPr>
              <w:t>Nuclear Safety Technical Assessment Guide Annex</w:t>
            </w:r>
          </w:p>
        </w:tc>
      </w:tr>
      <w:tr w:rsidR="0070308F" w:rsidRPr="0020262A" w14:paraId="1459E213" w14:textId="77777777" w:rsidTr="001479F5">
        <w:trPr>
          <w:trHeight w:val="454"/>
        </w:trPr>
        <w:tc>
          <w:tcPr>
            <w:tcW w:w="2938" w:type="dxa"/>
            <w:vAlign w:val="center"/>
          </w:tcPr>
          <w:p w14:paraId="6ECD9D0D" w14:textId="77777777" w:rsidR="0070308F" w:rsidRPr="0020262A" w:rsidRDefault="0070308F" w:rsidP="001479F5">
            <w:pPr>
              <w:rPr>
                <w:rFonts w:cs="Arial"/>
                <w:b/>
                <w:szCs w:val="22"/>
              </w:rPr>
            </w:pPr>
            <w:r w:rsidRPr="0020262A">
              <w:rPr>
                <w:rFonts w:cs="Arial"/>
                <w:b/>
                <w:szCs w:val="22"/>
              </w:rPr>
              <w:t>Unique Document ID and Revision No:</w:t>
            </w:r>
          </w:p>
        </w:tc>
        <w:tc>
          <w:tcPr>
            <w:tcW w:w="6362" w:type="dxa"/>
            <w:gridSpan w:val="3"/>
            <w:vAlign w:val="center"/>
          </w:tcPr>
          <w:p w14:paraId="610EEAFD" w14:textId="7A010F94" w:rsidR="0070308F" w:rsidRPr="00F52770" w:rsidRDefault="00532561" w:rsidP="000D303B">
            <w:pPr>
              <w:rPr>
                <w:rFonts w:cs="Arial"/>
                <w:szCs w:val="22"/>
              </w:rPr>
            </w:pPr>
            <w:r w:rsidRPr="00F52770">
              <w:rPr>
                <w:rFonts w:cs="Arial"/>
                <w:szCs w:val="22"/>
              </w:rPr>
              <w:t>NS-TAST-GD-017</w:t>
            </w:r>
            <w:r w:rsidR="0070308F" w:rsidRPr="00F52770">
              <w:rPr>
                <w:rFonts w:cs="Arial"/>
                <w:szCs w:val="22"/>
              </w:rPr>
              <w:t xml:space="preserve"> </w:t>
            </w:r>
            <w:r w:rsidRPr="00F52770">
              <w:rPr>
                <w:rFonts w:cs="Arial"/>
                <w:szCs w:val="22"/>
              </w:rPr>
              <w:t xml:space="preserve">Annex </w:t>
            </w:r>
            <w:r w:rsidR="000D303B" w:rsidRPr="00F52770">
              <w:rPr>
                <w:rFonts w:cs="Arial"/>
                <w:szCs w:val="22"/>
              </w:rPr>
              <w:t>6</w:t>
            </w:r>
            <w:r w:rsidR="0070308F" w:rsidRPr="00F52770">
              <w:rPr>
                <w:rFonts w:cs="Arial"/>
                <w:szCs w:val="22"/>
              </w:rPr>
              <w:t xml:space="preserve"> </w:t>
            </w:r>
            <w:r w:rsidR="008356AA">
              <w:rPr>
                <w:rFonts w:cs="Arial"/>
                <w:szCs w:val="22"/>
              </w:rPr>
              <w:t>Issue 1.1</w:t>
            </w:r>
            <w:r w:rsidR="008B4361" w:rsidRPr="00F52770">
              <w:rPr>
                <w:rFonts w:cs="Arial"/>
                <w:szCs w:val="22"/>
              </w:rPr>
              <w:t xml:space="preserve"> </w:t>
            </w:r>
          </w:p>
        </w:tc>
      </w:tr>
      <w:tr w:rsidR="0070308F" w:rsidRPr="0020262A" w14:paraId="312FD264" w14:textId="77777777" w:rsidTr="001479F5">
        <w:trPr>
          <w:trHeight w:val="340"/>
        </w:trPr>
        <w:tc>
          <w:tcPr>
            <w:tcW w:w="2938" w:type="dxa"/>
            <w:vAlign w:val="center"/>
          </w:tcPr>
          <w:p w14:paraId="5742B789" w14:textId="77777777" w:rsidR="0070308F" w:rsidRPr="00793476" w:rsidRDefault="0070308F" w:rsidP="001479F5">
            <w:pPr>
              <w:rPr>
                <w:rFonts w:cs="Arial"/>
                <w:b/>
                <w:szCs w:val="22"/>
              </w:rPr>
            </w:pPr>
            <w:r w:rsidRPr="00793476">
              <w:rPr>
                <w:rFonts w:cs="Arial"/>
                <w:b/>
                <w:szCs w:val="22"/>
              </w:rPr>
              <w:t>Date Issued:</w:t>
            </w:r>
          </w:p>
        </w:tc>
        <w:tc>
          <w:tcPr>
            <w:tcW w:w="2160" w:type="dxa"/>
            <w:vAlign w:val="center"/>
          </w:tcPr>
          <w:p w14:paraId="3587EB4C" w14:textId="16E0F5CE" w:rsidR="0070308F" w:rsidRPr="00F52770" w:rsidRDefault="00F52770" w:rsidP="00440A4F">
            <w:pPr>
              <w:rPr>
                <w:rFonts w:cs="Arial"/>
                <w:szCs w:val="22"/>
              </w:rPr>
            </w:pPr>
            <w:r w:rsidRPr="00F52770">
              <w:rPr>
                <w:rFonts w:cs="Arial"/>
                <w:szCs w:val="22"/>
              </w:rPr>
              <w:t>November</w:t>
            </w:r>
            <w:r w:rsidR="005B35B6" w:rsidRPr="00F52770">
              <w:rPr>
                <w:rFonts w:cs="Arial"/>
                <w:szCs w:val="22"/>
              </w:rPr>
              <w:t xml:space="preserve"> </w:t>
            </w:r>
            <w:r w:rsidR="007E19C2" w:rsidRPr="00F52770">
              <w:rPr>
                <w:rFonts w:cs="Arial"/>
                <w:szCs w:val="22"/>
              </w:rPr>
              <w:t>2020</w:t>
            </w:r>
          </w:p>
        </w:tc>
        <w:tc>
          <w:tcPr>
            <w:tcW w:w="2160" w:type="dxa"/>
            <w:vAlign w:val="center"/>
          </w:tcPr>
          <w:p w14:paraId="3A5A84FF" w14:textId="21AC88F6" w:rsidR="0070308F" w:rsidRPr="00F52770" w:rsidRDefault="0070308F" w:rsidP="005B35B6">
            <w:pPr>
              <w:rPr>
                <w:rFonts w:cs="Arial"/>
                <w:b/>
                <w:szCs w:val="22"/>
              </w:rPr>
            </w:pPr>
            <w:r w:rsidRPr="00F52770">
              <w:rPr>
                <w:rFonts w:cs="Arial"/>
                <w:b/>
                <w:szCs w:val="22"/>
              </w:rPr>
              <w:t>R</w:t>
            </w:r>
            <w:r w:rsidR="005B35B6" w:rsidRPr="00F52770">
              <w:rPr>
                <w:rFonts w:cs="Arial"/>
                <w:b/>
                <w:szCs w:val="22"/>
              </w:rPr>
              <w:t>e</w:t>
            </w:r>
            <w:r w:rsidRPr="00F52770">
              <w:rPr>
                <w:rFonts w:cs="Arial"/>
                <w:b/>
                <w:szCs w:val="22"/>
              </w:rPr>
              <w:t>view Date:</w:t>
            </w:r>
          </w:p>
        </w:tc>
        <w:tc>
          <w:tcPr>
            <w:tcW w:w="2042" w:type="dxa"/>
            <w:vAlign w:val="center"/>
          </w:tcPr>
          <w:p w14:paraId="3DAD01EE" w14:textId="2E1E7F72" w:rsidR="0070308F" w:rsidRPr="00F52770" w:rsidRDefault="008356AA" w:rsidP="00440A4F">
            <w:pPr>
              <w:rPr>
                <w:rFonts w:cs="Arial"/>
                <w:szCs w:val="22"/>
              </w:rPr>
            </w:pPr>
            <w:r>
              <w:rPr>
                <w:rFonts w:cs="Arial"/>
                <w:szCs w:val="22"/>
              </w:rPr>
              <w:t>March 2026</w:t>
            </w:r>
          </w:p>
        </w:tc>
      </w:tr>
      <w:tr w:rsidR="0006030B" w:rsidRPr="0020262A" w14:paraId="6D29CF21" w14:textId="77777777" w:rsidTr="001479F5">
        <w:trPr>
          <w:trHeight w:val="340"/>
        </w:trPr>
        <w:tc>
          <w:tcPr>
            <w:tcW w:w="2938" w:type="dxa"/>
            <w:vAlign w:val="center"/>
          </w:tcPr>
          <w:p w14:paraId="12A71262" w14:textId="77777777" w:rsidR="0006030B" w:rsidRPr="0020262A" w:rsidRDefault="0006030B" w:rsidP="001479F5">
            <w:pPr>
              <w:rPr>
                <w:rFonts w:cs="Arial"/>
                <w:b/>
                <w:szCs w:val="22"/>
              </w:rPr>
            </w:pPr>
            <w:r w:rsidRPr="0020262A">
              <w:rPr>
                <w:rFonts w:cs="Arial"/>
                <w:b/>
                <w:szCs w:val="22"/>
              </w:rPr>
              <w:t>Prepared by:</w:t>
            </w:r>
          </w:p>
        </w:tc>
        <w:tc>
          <w:tcPr>
            <w:tcW w:w="2160" w:type="dxa"/>
            <w:vAlign w:val="center"/>
          </w:tcPr>
          <w:p w14:paraId="2E78FB17" w14:textId="3537D366" w:rsidR="00103E75" w:rsidRPr="00F52770" w:rsidRDefault="00103E75" w:rsidP="009025A8">
            <w:pPr>
              <w:rPr>
                <w:rFonts w:cs="Arial"/>
                <w:szCs w:val="22"/>
              </w:rPr>
            </w:pPr>
          </w:p>
        </w:tc>
        <w:tc>
          <w:tcPr>
            <w:tcW w:w="4202" w:type="dxa"/>
            <w:gridSpan w:val="2"/>
            <w:vAlign w:val="center"/>
          </w:tcPr>
          <w:p w14:paraId="62E61832" w14:textId="77777777" w:rsidR="00DE6525" w:rsidRPr="00F52770" w:rsidRDefault="00DE6525" w:rsidP="0030733B">
            <w:pPr>
              <w:rPr>
                <w:rFonts w:cs="Arial"/>
                <w:szCs w:val="22"/>
              </w:rPr>
            </w:pPr>
            <w:r w:rsidRPr="00F52770">
              <w:rPr>
                <w:rFonts w:cs="Arial"/>
                <w:szCs w:val="22"/>
              </w:rPr>
              <w:t>Principal Inspector</w:t>
            </w:r>
          </w:p>
          <w:p w14:paraId="68CBCADD" w14:textId="77777777" w:rsidR="00DE6525" w:rsidRPr="00F52770" w:rsidRDefault="00DE6525" w:rsidP="0030733B">
            <w:pPr>
              <w:rPr>
                <w:rFonts w:cs="Arial"/>
                <w:szCs w:val="22"/>
              </w:rPr>
            </w:pPr>
            <w:r w:rsidRPr="00F52770">
              <w:rPr>
                <w:rFonts w:cs="Arial"/>
                <w:szCs w:val="22"/>
              </w:rPr>
              <w:t>Principal Inspector</w:t>
            </w:r>
          </w:p>
          <w:p w14:paraId="724571C0" w14:textId="7FB31148" w:rsidR="00103E75" w:rsidRPr="00F52770" w:rsidRDefault="00103E75" w:rsidP="0030733B">
            <w:pPr>
              <w:rPr>
                <w:rFonts w:cs="Arial"/>
                <w:szCs w:val="22"/>
              </w:rPr>
            </w:pPr>
            <w:r w:rsidRPr="00F52770">
              <w:rPr>
                <w:rFonts w:cs="Arial"/>
                <w:szCs w:val="22"/>
              </w:rPr>
              <w:t>Nuclear Safety Inspector</w:t>
            </w:r>
          </w:p>
        </w:tc>
      </w:tr>
      <w:tr w:rsidR="0070308F" w:rsidRPr="0020262A" w14:paraId="681815D7" w14:textId="77777777" w:rsidTr="001479F5">
        <w:trPr>
          <w:trHeight w:val="340"/>
        </w:trPr>
        <w:tc>
          <w:tcPr>
            <w:tcW w:w="2938" w:type="dxa"/>
            <w:vAlign w:val="center"/>
          </w:tcPr>
          <w:p w14:paraId="77FC12E8" w14:textId="684C253E" w:rsidR="0070308F" w:rsidRPr="0020262A" w:rsidRDefault="0070308F" w:rsidP="001479F5">
            <w:pPr>
              <w:rPr>
                <w:rFonts w:cs="Arial"/>
                <w:b/>
                <w:szCs w:val="22"/>
              </w:rPr>
            </w:pPr>
            <w:r w:rsidRPr="0020262A">
              <w:rPr>
                <w:rFonts w:cs="Arial"/>
                <w:b/>
                <w:szCs w:val="22"/>
              </w:rPr>
              <w:t>Approved by:</w:t>
            </w:r>
          </w:p>
        </w:tc>
        <w:tc>
          <w:tcPr>
            <w:tcW w:w="2160" w:type="dxa"/>
            <w:vAlign w:val="center"/>
          </w:tcPr>
          <w:p w14:paraId="08CA7413" w14:textId="12F1AEFA" w:rsidR="005B35B6" w:rsidRDefault="005B35B6" w:rsidP="005B35B6">
            <w:pPr>
              <w:rPr>
                <w:rFonts w:cs="Arial"/>
                <w:szCs w:val="22"/>
              </w:rPr>
            </w:pPr>
          </w:p>
          <w:p w14:paraId="1C6E3A1B" w14:textId="137AF210" w:rsidR="0070308F" w:rsidRPr="00BB592C" w:rsidRDefault="0070308F" w:rsidP="001479F5">
            <w:pPr>
              <w:rPr>
                <w:rFonts w:cs="Arial"/>
                <w:szCs w:val="22"/>
                <w:highlight w:val="yellow"/>
              </w:rPr>
            </w:pPr>
          </w:p>
        </w:tc>
        <w:tc>
          <w:tcPr>
            <w:tcW w:w="4202" w:type="dxa"/>
            <w:gridSpan w:val="2"/>
            <w:vAlign w:val="center"/>
          </w:tcPr>
          <w:p w14:paraId="4BB7DFF8" w14:textId="02626128" w:rsidR="0070308F" w:rsidRPr="0020262A" w:rsidRDefault="009025A8" w:rsidP="009025A8">
            <w:pPr>
              <w:rPr>
                <w:rFonts w:cs="Arial"/>
                <w:szCs w:val="22"/>
              </w:rPr>
            </w:pPr>
            <w:r>
              <w:rPr>
                <w:rFonts w:cs="Arial"/>
                <w:szCs w:val="22"/>
              </w:rPr>
              <w:t>Professional Lead CEEH</w:t>
            </w:r>
          </w:p>
        </w:tc>
      </w:tr>
      <w:tr w:rsidR="0070308F" w:rsidRPr="0020262A" w14:paraId="1F5F6E9F" w14:textId="77777777" w:rsidTr="001479F5">
        <w:trPr>
          <w:trHeight w:val="288"/>
        </w:trPr>
        <w:tc>
          <w:tcPr>
            <w:tcW w:w="2938" w:type="dxa"/>
            <w:vAlign w:val="center"/>
          </w:tcPr>
          <w:p w14:paraId="7F0AD6C2" w14:textId="77777777" w:rsidR="0070308F" w:rsidRPr="0020262A" w:rsidRDefault="0070308F" w:rsidP="001479F5">
            <w:pPr>
              <w:rPr>
                <w:rFonts w:cs="Arial"/>
                <w:b/>
                <w:szCs w:val="22"/>
              </w:rPr>
            </w:pPr>
            <w:r w:rsidRPr="0020262A">
              <w:rPr>
                <w:rFonts w:cs="Arial"/>
                <w:b/>
                <w:szCs w:val="22"/>
              </w:rPr>
              <w:t>Record Reference:</w:t>
            </w:r>
          </w:p>
        </w:tc>
        <w:tc>
          <w:tcPr>
            <w:tcW w:w="6362" w:type="dxa"/>
            <w:gridSpan w:val="3"/>
            <w:vAlign w:val="center"/>
          </w:tcPr>
          <w:p w14:paraId="5DDDC1C4" w14:textId="09767726" w:rsidR="0070308F" w:rsidRPr="0020262A" w:rsidRDefault="008356AA" w:rsidP="009B186D">
            <w:pPr>
              <w:rPr>
                <w:rFonts w:cs="Arial"/>
                <w:szCs w:val="22"/>
              </w:rPr>
            </w:pPr>
            <w:hyperlink r:id="rId13" w:tgtFrame="_blank" w:tooltip="ONRHH-822789359-20105" w:history="1">
              <w:r w:rsidRPr="008356AA">
                <w:rPr>
                  <w:rStyle w:val="Hyperlink"/>
                  <w:rFonts w:cs="Arial"/>
                  <w:szCs w:val="22"/>
                </w:rPr>
                <w:t>ONRHH-822789359-20105</w:t>
              </w:r>
            </w:hyperlink>
          </w:p>
        </w:tc>
      </w:tr>
      <w:tr w:rsidR="0070308F" w:rsidRPr="0020262A" w14:paraId="171A4453" w14:textId="77777777" w:rsidTr="001479F5">
        <w:trPr>
          <w:trHeight w:val="288"/>
        </w:trPr>
        <w:tc>
          <w:tcPr>
            <w:tcW w:w="2938" w:type="dxa"/>
            <w:vAlign w:val="center"/>
          </w:tcPr>
          <w:p w14:paraId="2B238B40" w14:textId="77777777" w:rsidR="0070308F" w:rsidRPr="0020262A" w:rsidRDefault="0070308F" w:rsidP="001479F5">
            <w:pPr>
              <w:rPr>
                <w:rFonts w:cs="Arial"/>
                <w:b/>
                <w:szCs w:val="22"/>
              </w:rPr>
            </w:pPr>
            <w:r w:rsidRPr="0020262A">
              <w:rPr>
                <w:rFonts w:cs="Arial"/>
                <w:b/>
                <w:szCs w:val="22"/>
              </w:rPr>
              <w:t>Revision commentary:</w:t>
            </w:r>
          </w:p>
        </w:tc>
        <w:tc>
          <w:tcPr>
            <w:tcW w:w="6362" w:type="dxa"/>
            <w:gridSpan w:val="3"/>
            <w:vAlign w:val="center"/>
          </w:tcPr>
          <w:p w14:paraId="4E1D1BAE" w14:textId="77777777" w:rsidR="0070308F" w:rsidRDefault="0070308F" w:rsidP="009025A8">
            <w:pPr>
              <w:rPr>
                <w:rFonts w:cs="Arial"/>
                <w:szCs w:val="22"/>
              </w:rPr>
            </w:pPr>
            <w:r w:rsidRPr="0020262A">
              <w:rPr>
                <w:rFonts w:cs="Arial"/>
                <w:szCs w:val="22"/>
              </w:rPr>
              <w:t>F</w:t>
            </w:r>
            <w:r w:rsidR="009025A8">
              <w:rPr>
                <w:rFonts w:cs="Arial"/>
                <w:szCs w:val="22"/>
              </w:rPr>
              <w:t>ull</w:t>
            </w:r>
            <w:r w:rsidRPr="0020262A">
              <w:rPr>
                <w:rFonts w:cs="Arial"/>
                <w:szCs w:val="22"/>
              </w:rPr>
              <w:t xml:space="preserve"> review</w:t>
            </w:r>
          </w:p>
          <w:p w14:paraId="0DA1E6A7" w14:textId="1990744B" w:rsidR="008356AA" w:rsidRPr="0020262A" w:rsidRDefault="008356AA" w:rsidP="009025A8">
            <w:pPr>
              <w:rPr>
                <w:rFonts w:cs="Arial"/>
                <w:szCs w:val="22"/>
              </w:rPr>
            </w:pPr>
            <w:r>
              <w:rPr>
                <w:rFonts w:cs="Arial"/>
                <w:szCs w:val="22"/>
              </w:rPr>
              <w:t xml:space="preserve">1.1 - </w:t>
            </w:r>
            <w:r w:rsidRPr="008356AA">
              <w:rPr>
                <w:rFonts w:cs="Arial"/>
                <w:szCs w:val="22"/>
              </w:rPr>
              <w:t>Minor update to extend review date to allow time for internal peer review to account for wider review of technical guidance</w:t>
            </w:r>
          </w:p>
        </w:tc>
      </w:tr>
    </w:tbl>
    <w:p w14:paraId="4CE53029" w14:textId="77777777" w:rsidR="001F2DE6" w:rsidRDefault="001F2DE6" w:rsidP="001F2DE6">
      <w:pPr>
        <w:rPr>
          <w:sz w:val="20"/>
          <w:szCs w:val="20"/>
        </w:rPr>
      </w:pPr>
    </w:p>
    <w:p w14:paraId="0F7576E7" w14:textId="77777777" w:rsidR="001F2DE6" w:rsidRDefault="001F2DE6" w:rsidP="001F2DE6">
      <w:pPr>
        <w:rPr>
          <w:sz w:val="20"/>
          <w:szCs w:val="20"/>
        </w:rPr>
      </w:pPr>
    </w:p>
    <w:p w14:paraId="285F45E0" w14:textId="77777777" w:rsidR="001F2DE6" w:rsidRDefault="001F2DE6" w:rsidP="001F2DE6">
      <w:pPr>
        <w:rPr>
          <w:sz w:val="20"/>
          <w:szCs w:val="20"/>
        </w:rPr>
      </w:pPr>
    </w:p>
    <w:p w14:paraId="6A086090" w14:textId="77777777" w:rsidR="001F2DE6" w:rsidRDefault="001F2DE6" w:rsidP="001F2DE6">
      <w:pPr>
        <w:rPr>
          <w:sz w:val="20"/>
          <w:szCs w:val="20"/>
        </w:rPr>
      </w:pPr>
    </w:p>
    <w:p w14:paraId="5E6D6B5F" w14:textId="77777777" w:rsidR="005E6BBD" w:rsidRPr="005E6BBD" w:rsidRDefault="005E6BBD" w:rsidP="001F2DE6">
      <w:pPr>
        <w:rPr>
          <w:i/>
          <w:sz w:val="18"/>
          <w:szCs w:val="20"/>
        </w:rPr>
      </w:pPr>
      <w:r>
        <w:br w:type="page"/>
      </w:r>
    </w:p>
    <w:p w14:paraId="081E37BA" w14:textId="77777777" w:rsidR="002F5007" w:rsidRDefault="002F5007" w:rsidP="008E67CB">
      <w:pPr>
        <w:jc w:val="center"/>
        <w:rPr>
          <w:b/>
        </w:rPr>
      </w:pPr>
    </w:p>
    <w:p w14:paraId="0A4C9CE3" w14:textId="77777777" w:rsidR="002F5007" w:rsidRDefault="002F5007" w:rsidP="008E67CB">
      <w:pPr>
        <w:jc w:val="center"/>
        <w:rPr>
          <w:b/>
        </w:rPr>
      </w:pPr>
    </w:p>
    <w:p w14:paraId="46F3CF92" w14:textId="77777777" w:rsidR="002F5007" w:rsidRDefault="002F5007" w:rsidP="005E101A">
      <w:pPr>
        <w:jc w:val="center"/>
        <w:rPr>
          <w:b/>
        </w:rPr>
      </w:pPr>
      <w:r w:rsidRPr="00EA5973">
        <w:rPr>
          <w:b/>
        </w:rPr>
        <w:t>TABLE OF CONTENTS</w:t>
      </w:r>
    </w:p>
    <w:p w14:paraId="169DEB89" w14:textId="77777777" w:rsidR="007030D5" w:rsidRPr="008E67CB" w:rsidRDefault="007030D5" w:rsidP="002F5007">
      <w:pPr>
        <w:jc w:val="center"/>
        <w:rPr>
          <w:b/>
        </w:rPr>
      </w:pPr>
    </w:p>
    <w:p w14:paraId="509D7EE9" w14:textId="16CA69F8" w:rsidR="00EA5973" w:rsidRDefault="002F5007">
      <w:pPr>
        <w:pStyle w:val="TOC1"/>
        <w:rPr>
          <w:rFonts w:asciiTheme="minorHAnsi" w:eastAsiaTheme="minorEastAsia" w:hAnsiTheme="minorHAnsi" w:cstheme="minorBidi"/>
          <w:caps w:val="0"/>
          <w:noProof/>
          <w:szCs w:val="22"/>
          <w:lang w:eastAsia="en-GB"/>
        </w:rPr>
      </w:pPr>
      <w:r>
        <w:fldChar w:fldCharType="begin"/>
      </w:r>
      <w:r>
        <w:instrText xml:space="preserve"> TOC \h \z \t "TS Heading Numbered 1,1,TS Heading Numbered 1.1,2" </w:instrText>
      </w:r>
      <w:r>
        <w:fldChar w:fldCharType="separate"/>
      </w:r>
      <w:hyperlink w:anchor="_Toc57895870" w:history="1">
        <w:r w:rsidR="00EA5973" w:rsidRPr="00B26410">
          <w:rPr>
            <w:rStyle w:val="Hyperlink"/>
            <w:rFonts w:cs="Arial"/>
            <w:noProof/>
          </w:rPr>
          <w:t>LIST OF ABBREVIATIONS</w:t>
        </w:r>
        <w:r w:rsidR="00EA5973">
          <w:rPr>
            <w:noProof/>
            <w:webHidden/>
          </w:rPr>
          <w:tab/>
        </w:r>
        <w:r w:rsidR="00EA5973">
          <w:rPr>
            <w:noProof/>
            <w:webHidden/>
          </w:rPr>
          <w:fldChar w:fldCharType="begin"/>
        </w:r>
        <w:r w:rsidR="00EA5973">
          <w:rPr>
            <w:noProof/>
            <w:webHidden/>
          </w:rPr>
          <w:instrText xml:space="preserve"> PAGEREF _Toc57895870 \h </w:instrText>
        </w:r>
        <w:r w:rsidR="00EA5973">
          <w:rPr>
            <w:noProof/>
            <w:webHidden/>
          </w:rPr>
        </w:r>
        <w:r w:rsidR="00EA5973">
          <w:rPr>
            <w:noProof/>
            <w:webHidden/>
          </w:rPr>
          <w:fldChar w:fldCharType="separate"/>
        </w:r>
        <w:r w:rsidR="00EA5973">
          <w:rPr>
            <w:noProof/>
            <w:webHidden/>
          </w:rPr>
          <w:t>3</w:t>
        </w:r>
        <w:r w:rsidR="00EA5973">
          <w:rPr>
            <w:noProof/>
            <w:webHidden/>
          </w:rPr>
          <w:fldChar w:fldCharType="end"/>
        </w:r>
      </w:hyperlink>
    </w:p>
    <w:p w14:paraId="451A944D" w14:textId="10C41297" w:rsidR="00EA5973" w:rsidRDefault="00EA5973">
      <w:pPr>
        <w:pStyle w:val="TOC1"/>
        <w:rPr>
          <w:rFonts w:asciiTheme="minorHAnsi" w:eastAsiaTheme="minorEastAsia" w:hAnsiTheme="minorHAnsi" w:cstheme="minorBidi"/>
          <w:caps w:val="0"/>
          <w:noProof/>
          <w:szCs w:val="22"/>
          <w:lang w:eastAsia="en-GB"/>
        </w:rPr>
      </w:pPr>
      <w:hyperlink w:anchor="_Toc57895871" w:history="1">
        <w:r w:rsidRPr="00B26410">
          <w:rPr>
            <w:rStyle w:val="Hyperlink"/>
            <w:noProof/>
          </w:rPr>
          <w:t>GLOSSARY</w:t>
        </w:r>
        <w:r>
          <w:rPr>
            <w:noProof/>
            <w:webHidden/>
          </w:rPr>
          <w:tab/>
        </w:r>
        <w:r>
          <w:rPr>
            <w:noProof/>
            <w:webHidden/>
          </w:rPr>
          <w:fldChar w:fldCharType="begin"/>
        </w:r>
        <w:r>
          <w:rPr>
            <w:noProof/>
            <w:webHidden/>
          </w:rPr>
          <w:instrText xml:space="preserve"> PAGEREF _Toc57895871 \h </w:instrText>
        </w:r>
        <w:r>
          <w:rPr>
            <w:noProof/>
            <w:webHidden/>
          </w:rPr>
        </w:r>
        <w:r>
          <w:rPr>
            <w:noProof/>
            <w:webHidden/>
          </w:rPr>
          <w:fldChar w:fldCharType="separate"/>
        </w:r>
        <w:r>
          <w:rPr>
            <w:noProof/>
            <w:webHidden/>
          </w:rPr>
          <w:t>4</w:t>
        </w:r>
        <w:r>
          <w:rPr>
            <w:noProof/>
            <w:webHidden/>
          </w:rPr>
          <w:fldChar w:fldCharType="end"/>
        </w:r>
      </w:hyperlink>
    </w:p>
    <w:p w14:paraId="27B817C7" w14:textId="104CA16A" w:rsidR="00EA5973" w:rsidRDefault="00EA5973">
      <w:pPr>
        <w:pStyle w:val="TOC1"/>
        <w:rPr>
          <w:rFonts w:asciiTheme="minorHAnsi" w:eastAsiaTheme="minorEastAsia" w:hAnsiTheme="minorHAnsi" w:cstheme="minorBidi"/>
          <w:caps w:val="0"/>
          <w:noProof/>
          <w:szCs w:val="22"/>
          <w:lang w:eastAsia="en-GB"/>
        </w:rPr>
      </w:pPr>
      <w:hyperlink w:anchor="_Toc57895872" w:history="1">
        <w:r w:rsidRPr="00B26410">
          <w:rPr>
            <w:rStyle w:val="Hyperlink"/>
            <w:rFonts w:cs="Arial"/>
            <w:noProof/>
          </w:rPr>
          <w:t>1.</w:t>
        </w:r>
        <w:r>
          <w:rPr>
            <w:rFonts w:asciiTheme="minorHAnsi" w:eastAsiaTheme="minorEastAsia" w:hAnsiTheme="minorHAnsi" w:cstheme="minorBidi"/>
            <w:caps w:val="0"/>
            <w:noProof/>
            <w:szCs w:val="22"/>
            <w:lang w:eastAsia="en-GB"/>
          </w:rPr>
          <w:tab/>
        </w:r>
        <w:r w:rsidRPr="00B26410">
          <w:rPr>
            <w:rStyle w:val="Hyperlink"/>
            <w:noProof/>
          </w:rPr>
          <w:t>INTRODUCTION</w:t>
        </w:r>
        <w:r>
          <w:rPr>
            <w:noProof/>
            <w:webHidden/>
          </w:rPr>
          <w:tab/>
        </w:r>
        <w:r>
          <w:rPr>
            <w:noProof/>
            <w:webHidden/>
          </w:rPr>
          <w:fldChar w:fldCharType="begin"/>
        </w:r>
        <w:r>
          <w:rPr>
            <w:noProof/>
            <w:webHidden/>
          </w:rPr>
          <w:instrText xml:space="preserve"> PAGEREF _Toc57895872 \h </w:instrText>
        </w:r>
        <w:r>
          <w:rPr>
            <w:noProof/>
            <w:webHidden/>
          </w:rPr>
        </w:r>
        <w:r>
          <w:rPr>
            <w:noProof/>
            <w:webHidden/>
          </w:rPr>
          <w:fldChar w:fldCharType="separate"/>
        </w:r>
        <w:r>
          <w:rPr>
            <w:noProof/>
            <w:webHidden/>
          </w:rPr>
          <w:t>7</w:t>
        </w:r>
        <w:r>
          <w:rPr>
            <w:noProof/>
            <w:webHidden/>
          </w:rPr>
          <w:fldChar w:fldCharType="end"/>
        </w:r>
      </w:hyperlink>
    </w:p>
    <w:p w14:paraId="5C7503E9" w14:textId="313E5945" w:rsidR="00EA5973" w:rsidRDefault="00EA5973">
      <w:pPr>
        <w:pStyle w:val="TOC2"/>
        <w:rPr>
          <w:rFonts w:asciiTheme="minorHAnsi" w:eastAsiaTheme="minorEastAsia" w:hAnsiTheme="minorHAnsi" w:cstheme="minorBidi"/>
          <w:noProof/>
          <w:szCs w:val="22"/>
          <w:lang w:eastAsia="en-GB"/>
        </w:rPr>
      </w:pPr>
      <w:hyperlink w:anchor="_Toc57895873" w:history="1">
        <w:r w:rsidRPr="00B26410">
          <w:rPr>
            <w:rStyle w:val="Hyperlink"/>
            <w:noProof/>
          </w:rPr>
          <w:t>1.1</w:t>
        </w:r>
        <w:r>
          <w:rPr>
            <w:rFonts w:asciiTheme="minorHAnsi" w:eastAsiaTheme="minorEastAsia" w:hAnsiTheme="minorHAnsi" w:cstheme="minorBidi"/>
            <w:noProof/>
            <w:szCs w:val="22"/>
            <w:lang w:eastAsia="en-GB"/>
          </w:rPr>
          <w:tab/>
        </w:r>
        <w:r w:rsidRPr="00B26410">
          <w:rPr>
            <w:rStyle w:val="Hyperlink"/>
            <w:noProof/>
          </w:rPr>
          <w:t>Scope</w:t>
        </w:r>
        <w:r>
          <w:rPr>
            <w:noProof/>
            <w:webHidden/>
          </w:rPr>
          <w:tab/>
        </w:r>
        <w:r>
          <w:rPr>
            <w:noProof/>
            <w:webHidden/>
          </w:rPr>
          <w:fldChar w:fldCharType="begin"/>
        </w:r>
        <w:r>
          <w:rPr>
            <w:noProof/>
            <w:webHidden/>
          </w:rPr>
          <w:instrText xml:space="preserve"> PAGEREF _Toc57895873 \h </w:instrText>
        </w:r>
        <w:r>
          <w:rPr>
            <w:noProof/>
            <w:webHidden/>
          </w:rPr>
        </w:r>
        <w:r>
          <w:rPr>
            <w:noProof/>
            <w:webHidden/>
          </w:rPr>
          <w:fldChar w:fldCharType="separate"/>
        </w:r>
        <w:r>
          <w:rPr>
            <w:noProof/>
            <w:webHidden/>
          </w:rPr>
          <w:t>7</w:t>
        </w:r>
        <w:r>
          <w:rPr>
            <w:noProof/>
            <w:webHidden/>
          </w:rPr>
          <w:fldChar w:fldCharType="end"/>
        </w:r>
      </w:hyperlink>
    </w:p>
    <w:p w14:paraId="1023DA96" w14:textId="7CA9E3D9" w:rsidR="00EA5973" w:rsidRDefault="00EA5973">
      <w:pPr>
        <w:pStyle w:val="TOC2"/>
        <w:rPr>
          <w:rFonts w:asciiTheme="minorHAnsi" w:eastAsiaTheme="minorEastAsia" w:hAnsiTheme="minorHAnsi" w:cstheme="minorBidi"/>
          <w:noProof/>
          <w:szCs w:val="22"/>
          <w:lang w:eastAsia="en-GB"/>
        </w:rPr>
      </w:pPr>
      <w:hyperlink w:anchor="_Toc57895874" w:history="1">
        <w:r w:rsidRPr="00B26410">
          <w:rPr>
            <w:rStyle w:val="Hyperlink"/>
            <w:noProof/>
          </w:rPr>
          <w:t>1.2</w:t>
        </w:r>
        <w:r>
          <w:rPr>
            <w:rFonts w:asciiTheme="minorHAnsi" w:eastAsiaTheme="minorEastAsia" w:hAnsiTheme="minorHAnsi" w:cstheme="minorBidi"/>
            <w:noProof/>
            <w:szCs w:val="22"/>
            <w:lang w:eastAsia="en-GB"/>
          </w:rPr>
          <w:tab/>
        </w:r>
        <w:r w:rsidRPr="00B26410">
          <w:rPr>
            <w:rStyle w:val="Hyperlink"/>
            <w:noProof/>
          </w:rPr>
          <w:t>Structure of this annex</w:t>
        </w:r>
        <w:r>
          <w:rPr>
            <w:noProof/>
            <w:webHidden/>
          </w:rPr>
          <w:tab/>
        </w:r>
        <w:r>
          <w:rPr>
            <w:noProof/>
            <w:webHidden/>
          </w:rPr>
          <w:fldChar w:fldCharType="begin"/>
        </w:r>
        <w:r>
          <w:rPr>
            <w:noProof/>
            <w:webHidden/>
          </w:rPr>
          <w:instrText xml:space="preserve"> PAGEREF _Toc57895874 \h </w:instrText>
        </w:r>
        <w:r>
          <w:rPr>
            <w:noProof/>
            <w:webHidden/>
          </w:rPr>
        </w:r>
        <w:r>
          <w:rPr>
            <w:noProof/>
            <w:webHidden/>
          </w:rPr>
          <w:fldChar w:fldCharType="separate"/>
        </w:r>
        <w:r>
          <w:rPr>
            <w:noProof/>
            <w:webHidden/>
          </w:rPr>
          <w:t>7</w:t>
        </w:r>
        <w:r>
          <w:rPr>
            <w:noProof/>
            <w:webHidden/>
          </w:rPr>
          <w:fldChar w:fldCharType="end"/>
        </w:r>
      </w:hyperlink>
    </w:p>
    <w:p w14:paraId="4A857745" w14:textId="63EB9E12" w:rsidR="00EA5973" w:rsidRDefault="00EA5973">
      <w:pPr>
        <w:pStyle w:val="TOC2"/>
        <w:rPr>
          <w:rFonts w:asciiTheme="minorHAnsi" w:eastAsiaTheme="minorEastAsia" w:hAnsiTheme="minorHAnsi" w:cstheme="minorBidi"/>
          <w:noProof/>
          <w:szCs w:val="22"/>
          <w:lang w:eastAsia="en-GB"/>
        </w:rPr>
      </w:pPr>
      <w:hyperlink w:anchor="_Toc57895875" w:history="1">
        <w:r w:rsidRPr="00B26410">
          <w:rPr>
            <w:rStyle w:val="Hyperlink"/>
            <w:noProof/>
          </w:rPr>
          <w:t>1.3</w:t>
        </w:r>
        <w:r>
          <w:rPr>
            <w:rFonts w:asciiTheme="minorHAnsi" w:eastAsiaTheme="minorEastAsia" w:hAnsiTheme="minorHAnsi" w:cstheme="minorBidi"/>
            <w:noProof/>
            <w:szCs w:val="22"/>
            <w:lang w:eastAsia="en-GB"/>
          </w:rPr>
          <w:tab/>
        </w:r>
        <w:r w:rsidRPr="00B26410">
          <w:rPr>
            <w:rStyle w:val="Hyperlink"/>
            <w:noProof/>
          </w:rPr>
          <w:t>Applicable SAPs to this annex</w:t>
        </w:r>
        <w:r>
          <w:rPr>
            <w:noProof/>
            <w:webHidden/>
          </w:rPr>
          <w:tab/>
        </w:r>
        <w:r>
          <w:rPr>
            <w:noProof/>
            <w:webHidden/>
          </w:rPr>
          <w:fldChar w:fldCharType="begin"/>
        </w:r>
        <w:r>
          <w:rPr>
            <w:noProof/>
            <w:webHidden/>
          </w:rPr>
          <w:instrText xml:space="preserve"> PAGEREF _Toc57895875 \h </w:instrText>
        </w:r>
        <w:r>
          <w:rPr>
            <w:noProof/>
            <w:webHidden/>
          </w:rPr>
        </w:r>
        <w:r>
          <w:rPr>
            <w:noProof/>
            <w:webHidden/>
          </w:rPr>
          <w:fldChar w:fldCharType="separate"/>
        </w:r>
        <w:r>
          <w:rPr>
            <w:noProof/>
            <w:webHidden/>
          </w:rPr>
          <w:t>8</w:t>
        </w:r>
        <w:r>
          <w:rPr>
            <w:noProof/>
            <w:webHidden/>
          </w:rPr>
          <w:fldChar w:fldCharType="end"/>
        </w:r>
      </w:hyperlink>
    </w:p>
    <w:p w14:paraId="7D3D768B" w14:textId="0BB1FC6F" w:rsidR="00EA5973" w:rsidRDefault="00EA5973">
      <w:pPr>
        <w:pStyle w:val="TOC2"/>
        <w:rPr>
          <w:rFonts w:asciiTheme="minorHAnsi" w:eastAsiaTheme="minorEastAsia" w:hAnsiTheme="minorHAnsi" w:cstheme="minorBidi"/>
          <w:noProof/>
          <w:szCs w:val="22"/>
          <w:lang w:eastAsia="en-GB"/>
        </w:rPr>
      </w:pPr>
      <w:hyperlink w:anchor="_Toc57895876" w:history="1">
        <w:r w:rsidRPr="00B26410">
          <w:rPr>
            <w:rStyle w:val="Hyperlink"/>
            <w:noProof/>
          </w:rPr>
          <w:t>1.4</w:t>
        </w:r>
        <w:r>
          <w:rPr>
            <w:rFonts w:asciiTheme="minorHAnsi" w:eastAsiaTheme="minorEastAsia" w:hAnsiTheme="minorHAnsi" w:cstheme="minorBidi"/>
            <w:noProof/>
            <w:szCs w:val="22"/>
            <w:lang w:eastAsia="en-GB"/>
          </w:rPr>
          <w:tab/>
        </w:r>
        <w:r w:rsidRPr="00B26410">
          <w:rPr>
            <w:rStyle w:val="Hyperlink"/>
            <w:noProof/>
          </w:rPr>
          <w:t>Exclusions</w:t>
        </w:r>
        <w:r>
          <w:rPr>
            <w:noProof/>
            <w:webHidden/>
          </w:rPr>
          <w:tab/>
        </w:r>
        <w:r>
          <w:rPr>
            <w:noProof/>
            <w:webHidden/>
          </w:rPr>
          <w:fldChar w:fldCharType="begin"/>
        </w:r>
        <w:r>
          <w:rPr>
            <w:noProof/>
            <w:webHidden/>
          </w:rPr>
          <w:instrText xml:space="preserve"> PAGEREF _Toc57895876 \h </w:instrText>
        </w:r>
        <w:r>
          <w:rPr>
            <w:noProof/>
            <w:webHidden/>
          </w:rPr>
        </w:r>
        <w:r>
          <w:rPr>
            <w:noProof/>
            <w:webHidden/>
          </w:rPr>
          <w:fldChar w:fldCharType="separate"/>
        </w:r>
        <w:r>
          <w:rPr>
            <w:noProof/>
            <w:webHidden/>
          </w:rPr>
          <w:t>9</w:t>
        </w:r>
        <w:r>
          <w:rPr>
            <w:noProof/>
            <w:webHidden/>
          </w:rPr>
          <w:fldChar w:fldCharType="end"/>
        </w:r>
      </w:hyperlink>
    </w:p>
    <w:p w14:paraId="39F9A297" w14:textId="6B55CEF5" w:rsidR="00EA5973" w:rsidRDefault="00EA5973">
      <w:pPr>
        <w:pStyle w:val="TOC1"/>
        <w:rPr>
          <w:rFonts w:asciiTheme="minorHAnsi" w:eastAsiaTheme="minorEastAsia" w:hAnsiTheme="minorHAnsi" w:cstheme="minorBidi"/>
          <w:caps w:val="0"/>
          <w:noProof/>
          <w:szCs w:val="22"/>
          <w:lang w:eastAsia="en-GB"/>
        </w:rPr>
      </w:pPr>
      <w:hyperlink w:anchor="_Toc57895877" w:history="1">
        <w:r w:rsidRPr="00B26410">
          <w:rPr>
            <w:rStyle w:val="Hyperlink"/>
            <w:rFonts w:cs="Arial"/>
            <w:noProof/>
          </w:rPr>
          <w:t>2.</w:t>
        </w:r>
        <w:r>
          <w:rPr>
            <w:rFonts w:asciiTheme="minorHAnsi" w:eastAsiaTheme="minorEastAsia" w:hAnsiTheme="minorHAnsi" w:cstheme="minorBidi"/>
            <w:caps w:val="0"/>
            <w:noProof/>
            <w:szCs w:val="22"/>
            <w:lang w:eastAsia="en-GB"/>
          </w:rPr>
          <w:tab/>
        </w:r>
        <w:r w:rsidRPr="00B26410">
          <w:rPr>
            <w:rStyle w:val="Hyperlink"/>
            <w:noProof/>
          </w:rPr>
          <w:t>Post OPERATION OVERALL Considerations</w:t>
        </w:r>
        <w:r>
          <w:rPr>
            <w:noProof/>
            <w:webHidden/>
          </w:rPr>
          <w:tab/>
        </w:r>
        <w:r>
          <w:rPr>
            <w:noProof/>
            <w:webHidden/>
          </w:rPr>
          <w:fldChar w:fldCharType="begin"/>
        </w:r>
        <w:r>
          <w:rPr>
            <w:noProof/>
            <w:webHidden/>
          </w:rPr>
          <w:instrText xml:space="preserve"> PAGEREF _Toc57895877 \h </w:instrText>
        </w:r>
        <w:r>
          <w:rPr>
            <w:noProof/>
            <w:webHidden/>
          </w:rPr>
        </w:r>
        <w:r>
          <w:rPr>
            <w:noProof/>
            <w:webHidden/>
          </w:rPr>
          <w:fldChar w:fldCharType="separate"/>
        </w:r>
        <w:r>
          <w:rPr>
            <w:noProof/>
            <w:webHidden/>
          </w:rPr>
          <w:t>9</w:t>
        </w:r>
        <w:r>
          <w:rPr>
            <w:noProof/>
            <w:webHidden/>
          </w:rPr>
          <w:fldChar w:fldCharType="end"/>
        </w:r>
      </w:hyperlink>
    </w:p>
    <w:p w14:paraId="38DF4A81" w14:textId="2E306286" w:rsidR="00EA5973" w:rsidRPr="00EA5973" w:rsidRDefault="00EA5973" w:rsidP="00EA5973">
      <w:pPr>
        <w:pStyle w:val="TOC2"/>
        <w:rPr>
          <w:rStyle w:val="Hyperlink"/>
          <w:noProof/>
        </w:rPr>
      </w:pPr>
      <w:hyperlink w:anchor="_Toc57895878" w:history="1">
        <w:r w:rsidRPr="00B26410">
          <w:rPr>
            <w:rStyle w:val="Hyperlink"/>
            <w:noProof/>
          </w:rPr>
          <w:t>2.1</w:t>
        </w:r>
        <w:r w:rsidRPr="00EA5973">
          <w:rPr>
            <w:rStyle w:val="Hyperlink"/>
            <w:noProof/>
          </w:rPr>
          <w:tab/>
        </w:r>
        <w:r w:rsidRPr="00B26410">
          <w:rPr>
            <w:rStyle w:val="Hyperlink"/>
            <w:noProof/>
          </w:rPr>
          <w:t>Decommissioning Strategy</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_Toc57895878 \h </w:instrText>
        </w:r>
        <w:r w:rsidRPr="00EA5973">
          <w:rPr>
            <w:rStyle w:val="Hyperlink"/>
            <w:noProof/>
            <w:webHidden/>
          </w:rPr>
        </w:r>
        <w:r w:rsidRPr="00EA5973">
          <w:rPr>
            <w:rStyle w:val="Hyperlink"/>
            <w:noProof/>
            <w:webHidden/>
          </w:rPr>
          <w:fldChar w:fldCharType="separate"/>
        </w:r>
        <w:r>
          <w:rPr>
            <w:rStyle w:val="Hyperlink"/>
            <w:noProof/>
            <w:webHidden/>
          </w:rPr>
          <w:t>9</w:t>
        </w:r>
        <w:r w:rsidRPr="00EA5973">
          <w:rPr>
            <w:rStyle w:val="Hyperlink"/>
            <w:noProof/>
            <w:webHidden/>
          </w:rPr>
          <w:fldChar w:fldCharType="end"/>
        </w:r>
      </w:hyperlink>
    </w:p>
    <w:p w14:paraId="693A13EC" w14:textId="70B16B4B" w:rsidR="00EA5973" w:rsidRPr="00EA5973" w:rsidRDefault="00EA5973" w:rsidP="00EA5973">
      <w:pPr>
        <w:pStyle w:val="TOC2"/>
        <w:rPr>
          <w:rStyle w:val="Hyperlink"/>
          <w:noProof/>
        </w:rPr>
      </w:pPr>
      <w:hyperlink w:anchor="_Toc57895879" w:history="1">
        <w:r w:rsidRPr="00EA5973">
          <w:rPr>
            <w:rStyle w:val="Hyperlink"/>
            <w:noProof/>
          </w:rPr>
          <w:t>2.2</w:t>
        </w:r>
        <w:r w:rsidRPr="00EA5973">
          <w:rPr>
            <w:rStyle w:val="Hyperlink"/>
            <w:noProof/>
          </w:rPr>
          <w:tab/>
          <w:t>Decommissioning Plans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_Toc57895879 \h </w:instrText>
        </w:r>
        <w:r w:rsidRPr="00EA5973">
          <w:rPr>
            <w:rStyle w:val="Hyperlink"/>
            <w:noProof/>
            <w:webHidden/>
          </w:rPr>
        </w:r>
        <w:r w:rsidRPr="00EA5973">
          <w:rPr>
            <w:rStyle w:val="Hyperlink"/>
            <w:noProof/>
            <w:webHidden/>
          </w:rPr>
          <w:fldChar w:fldCharType="separate"/>
        </w:r>
        <w:r>
          <w:rPr>
            <w:rStyle w:val="Hyperlink"/>
            <w:noProof/>
            <w:webHidden/>
          </w:rPr>
          <w:t>10</w:t>
        </w:r>
        <w:r w:rsidRPr="00EA5973">
          <w:rPr>
            <w:rStyle w:val="Hyperlink"/>
            <w:noProof/>
            <w:webHidden/>
          </w:rPr>
          <w:fldChar w:fldCharType="end"/>
        </w:r>
      </w:hyperlink>
    </w:p>
    <w:p w14:paraId="741B3580" w14:textId="545546D7" w:rsidR="00EA5973" w:rsidRPr="00EA5973" w:rsidRDefault="00EA5973" w:rsidP="00EA5973">
      <w:pPr>
        <w:pStyle w:val="TOC2"/>
        <w:rPr>
          <w:rStyle w:val="Hyperlink"/>
          <w:noProof/>
        </w:rPr>
      </w:pPr>
      <w:hyperlink w:anchor="_Toc57895880" w:history="1">
        <w:r w:rsidRPr="00B26410">
          <w:rPr>
            <w:rStyle w:val="Hyperlink"/>
            <w:noProof/>
          </w:rPr>
          <w:t>2.3</w:t>
        </w:r>
        <w:r w:rsidRPr="00EA5973">
          <w:rPr>
            <w:rStyle w:val="Hyperlink"/>
            <w:noProof/>
          </w:rPr>
          <w:tab/>
        </w:r>
        <w:r w:rsidRPr="00B26410">
          <w:rPr>
            <w:rStyle w:val="Hyperlink"/>
            <w:noProof/>
          </w:rPr>
          <w:t>Design Authority</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_Toc57895880 \h </w:instrText>
        </w:r>
        <w:r w:rsidRPr="00EA5973">
          <w:rPr>
            <w:rStyle w:val="Hyperlink"/>
            <w:noProof/>
            <w:webHidden/>
          </w:rPr>
        </w:r>
        <w:r w:rsidRPr="00EA5973">
          <w:rPr>
            <w:rStyle w:val="Hyperlink"/>
            <w:noProof/>
            <w:webHidden/>
          </w:rPr>
          <w:fldChar w:fldCharType="separate"/>
        </w:r>
        <w:r>
          <w:rPr>
            <w:rStyle w:val="Hyperlink"/>
            <w:noProof/>
            <w:webHidden/>
          </w:rPr>
          <w:t>11</w:t>
        </w:r>
        <w:r w:rsidRPr="00EA5973">
          <w:rPr>
            <w:rStyle w:val="Hyperlink"/>
            <w:noProof/>
            <w:webHidden/>
          </w:rPr>
          <w:fldChar w:fldCharType="end"/>
        </w:r>
      </w:hyperlink>
    </w:p>
    <w:p w14:paraId="23E6D8A0" w14:textId="14B4AAAE" w:rsidR="00EA5973" w:rsidRPr="00EA5973" w:rsidRDefault="00EA5973" w:rsidP="00EA5973">
      <w:pPr>
        <w:pStyle w:val="TOC2"/>
        <w:rPr>
          <w:rStyle w:val="Hyperlink"/>
          <w:noProof/>
        </w:rPr>
      </w:pPr>
      <w:hyperlink w:anchor="_Toc57895884" w:history="1">
        <w:r w:rsidRPr="00B26410">
          <w:rPr>
            <w:rStyle w:val="Hyperlink"/>
            <w:noProof/>
          </w:rPr>
          <w:t>2.4</w:t>
        </w:r>
        <w:r w:rsidRPr="00EA5973">
          <w:rPr>
            <w:rStyle w:val="Hyperlink"/>
            <w:noProof/>
          </w:rPr>
          <w:tab/>
        </w:r>
        <w:r w:rsidRPr="00B26410">
          <w:rPr>
            <w:rStyle w:val="Hyperlink"/>
            <w:noProof/>
          </w:rPr>
          <w:t>Management Arrangements and Systems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_Toc57895884 \h </w:instrText>
        </w:r>
        <w:r w:rsidRPr="00EA5973">
          <w:rPr>
            <w:rStyle w:val="Hyperlink"/>
            <w:noProof/>
            <w:webHidden/>
          </w:rPr>
        </w:r>
        <w:r w:rsidRPr="00EA5973">
          <w:rPr>
            <w:rStyle w:val="Hyperlink"/>
            <w:noProof/>
            <w:webHidden/>
          </w:rPr>
          <w:fldChar w:fldCharType="separate"/>
        </w:r>
        <w:r>
          <w:rPr>
            <w:rStyle w:val="Hyperlink"/>
            <w:noProof/>
            <w:webHidden/>
          </w:rPr>
          <w:t>15</w:t>
        </w:r>
        <w:r w:rsidRPr="00EA5973">
          <w:rPr>
            <w:rStyle w:val="Hyperlink"/>
            <w:noProof/>
            <w:webHidden/>
          </w:rPr>
          <w:fldChar w:fldCharType="end"/>
        </w:r>
      </w:hyperlink>
    </w:p>
    <w:p w14:paraId="6A113077" w14:textId="3225034F" w:rsidR="00EA5973" w:rsidRPr="00EA5973" w:rsidRDefault="00EA5973" w:rsidP="00EA5973">
      <w:pPr>
        <w:pStyle w:val="TOC2"/>
        <w:rPr>
          <w:rStyle w:val="Hyperlink"/>
          <w:noProof/>
        </w:rPr>
      </w:pPr>
      <w:hyperlink w:anchor="_Toc57895885" w:history="1">
        <w:r w:rsidRPr="00B26410">
          <w:rPr>
            <w:rStyle w:val="Hyperlink"/>
            <w:noProof/>
          </w:rPr>
          <w:t>2.5</w:t>
        </w:r>
        <w:r w:rsidRPr="00EA5973">
          <w:rPr>
            <w:rStyle w:val="Hyperlink"/>
            <w:noProof/>
          </w:rPr>
          <w:tab/>
        </w:r>
        <w:r w:rsidRPr="00B26410">
          <w:rPr>
            <w:rStyle w:val="Hyperlink"/>
            <w:noProof/>
          </w:rPr>
          <w:t>Records for use in decommissioning</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_Toc57895885 \h </w:instrText>
        </w:r>
        <w:r w:rsidRPr="00EA5973">
          <w:rPr>
            <w:rStyle w:val="Hyperlink"/>
            <w:noProof/>
            <w:webHidden/>
          </w:rPr>
        </w:r>
        <w:r w:rsidRPr="00EA5973">
          <w:rPr>
            <w:rStyle w:val="Hyperlink"/>
            <w:noProof/>
            <w:webHidden/>
          </w:rPr>
          <w:fldChar w:fldCharType="separate"/>
        </w:r>
        <w:r>
          <w:rPr>
            <w:rStyle w:val="Hyperlink"/>
            <w:noProof/>
            <w:webHidden/>
          </w:rPr>
          <w:t>16</w:t>
        </w:r>
        <w:r w:rsidRPr="00EA5973">
          <w:rPr>
            <w:rStyle w:val="Hyperlink"/>
            <w:noProof/>
            <w:webHidden/>
          </w:rPr>
          <w:fldChar w:fldCharType="end"/>
        </w:r>
      </w:hyperlink>
    </w:p>
    <w:p w14:paraId="307D23DE" w14:textId="0CC4C7B4" w:rsidR="00EA5973" w:rsidRPr="00EA5973" w:rsidRDefault="00EA5973" w:rsidP="00EA5973">
      <w:pPr>
        <w:pStyle w:val="TOC2"/>
        <w:rPr>
          <w:rStyle w:val="Hyperlink"/>
          <w:noProof/>
        </w:rPr>
      </w:pPr>
      <w:hyperlink w:anchor="_Toc57895886" w:history="1">
        <w:r w:rsidRPr="00B26410">
          <w:rPr>
            <w:rStyle w:val="Hyperlink"/>
            <w:noProof/>
          </w:rPr>
          <w:t>2.6</w:t>
        </w:r>
        <w:r w:rsidRPr="00EA5973">
          <w:rPr>
            <w:rStyle w:val="Hyperlink"/>
            <w:noProof/>
          </w:rPr>
          <w:tab/>
        </w:r>
        <w:r w:rsidRPr="00B26410">
          <w:rPr>
            <w:rStyle w:val="Hyperlink"/>
            <w:noProof/>
          </w:rPr>
          <w:t>Decommissioning in stages across sites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_Toc57895886 \h </w:instrText>
        </w:r>
        <w:r w:rsidRPr="00EA5973">
          <w:rPr>
            <w:rStyle w:val="Hyperlink"/>
            <w:noProof/>
            <w:webHidden/>
          </w:rPr>
        </w:r>
        <w:r w:rsidRPr="00EA5973">
          <w:rPr>
            <w:rStyle w:val="Hyperlink"/>
            <w:noProof/>
            <w:webHidden/>
          </w:rPr>
          <w:fldChar w:fldCharType="separate"/>
        </w:r>
        <w:r>
          <w:rPr>
            <w:rStyle w:val="Hyperlink"/>
            <w:noProof/>
            <w:webHidden/>
          </w:rPr>
          <w:t>17</w:t>
        </w:r>
        <w:r w:rsidRPr="00EA5973">
          <w:rPr>
            <w:rStyle w:val="Hyperlink"/>
            <w:noProof/>
            <w:webHidden/>
          </w:rPr>
          <w:fldChar w:fldCharType="end"/>
        </w:r>
      </w:hyperlink>
    </w:p>
    <w:p w14:paraId="4BD5BEEF" w14:textId="24E6762A" w:rsidR="00EA5973" w:rsidRPr="00EA5973" w:rsidRDefault="00EA5973" w:rsidP="00EA5973">
      <w:pPr>
        <w:pStyle w:val="TOC2"/>
        <w:rPr>
          <w:rStyle w:val="Hyperlink"/>
          <w:noProof/>
        </w:rPr>
      </w:pPr>
      <w:hyperlink w:anchor="_Toc57895887" w:history="1">
        <w:r w:rsidRPr="00B26410">
          <w:rPr>
            <w:rStyle w:val="Hyperlink"/>
            <w:noProof/>
          </w:rPr>
          <w:t>2.7</w:t>
        </w:r>
        <w:r w:rsidRPr="00EA5973">
          <w:rPr>
            <w:rStyle w:val="Hyperlink"/>
            <w:noProof/>
          </w:rPr>
          <w:tab/>
        </w:r>
        <w:r w:rsidRPr="00B26410">
          <w:rPr>
            <w:rStyle w:val="Hyperlink"/>
            <w:noProof/>
          </w:rPr>
          <w:t>Deferred decommissioning or demolition</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_Toc57895887 \h </w:instrText>
        </w:r>
        <w:r w:rsidRPr="00EA5973">
          <w:rPr>
            <w:rStyle w:val="Hyperlink"/>
            <w:noProof/>
            <w:webHidden/>
          </w:rPr>
        </w:r>
        <w:r w:rsidRPr="00EA5973">
          <w:rPr>
            <w:rStyle w:val="Hyperlink"/>
            <w:noProof/>
            <w:webHidden/>
          </w:rPr>
          <w:fldChar w:fldCharType="separate"/>
        </w:r>
        <w:r>
          <w:rPr>
            <w:rStyle w:val="Hyperlink"/>
            <w:noProof/>
            <w:webHidden/>
          </w:rPr>
          <w:t>18</w:t>
        </w:r>
        <w:r w:rsidRPr="00EA5973">
          <w:rPr>
            <w:rStyle w:val="Hyperlink"/>
            <w:noProof/>
            <w:webHidden/>
          </w:rPr>
          <w:fldChar w:fldCharType="end"/>
        </w:r>
      </w:hyperlink>
    </w:p>
    <w:p w14:paraId="620AB502" w14:textId="6D4C4D84" w:rsidR="00EA5973" w:rsidRPr="00EA5973" w:rsidRDefault="00EA5973" w:rsidP="00EA5973">
      <w:pPr>
        <w:pStyle w:val="TOC2"/>
        <w:rPr>
          <w:rStyle w:val="Hyperlink"/>
          <w:noProof/>
        </w:rPr>
      </w:pPr>
      <w:hyperlink w:anchor="_Toc57895888" w:history="1">
        <w:r w:rsidRPr="00B26410">
          <w:rPr>
            <w:rStyle w:val="Hyperlink"/>
            <w:noProof/>
          </w:rPr>
          <w:t>2.8</w:t>
        </w:r>
        <w:r w:rsidRPr="00EA5973">
          <w:rPr>
            <w:rStyle w:val="Hyperlink"/>
            <w:noProof/>
          </w:rPr>
          <w:tab/>
        </w:r>
        <w:r w:rsidRPr="00B26410">
          <w:rPr>
            <w:rStyle w:val="Hyperlink"/>
            <w:noProof/>
          </w:rPr>
          <w:t>Design life</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_Toc57895888 \h </w:instrText>
        </w:r>
        <w:r w:rsidRPr="00EA5973">
          <w:rPr>
            <w:rStyle w:val="Hyperlink"/>
            <w:noProof/>
            <w:webHidden/>
          </w:rPr>
        </w:r>
        <w:r w:rsidRPr="00EA5973">
          <w:rPr>
            <w:rStyle w:val="Hyperlink"/>
            <w:noProof/>
            <w:webHidden/>
          </w:rPr>
          <w:fldChar w:fldCharType="separate"/>
        </w:r>
        <w:r>
          <w:rPr>
            <w:rStyle w:val="Hyperlink"/>
            <w:noProof/>
            <w:webHidden/>
          </w:rPr>
          <w:t>19</w:t>
        </w:r>
        <w:r w:rsidRPr="00EA5973">
          <w:rPr>
            <w:rStyle w:val="Hyperlink"/>
            <w:noProof/>
            <w:webHidden/>
          </w:rPr>
          <w:fldChar w:fldCharType="end"/>
        </w:r>
      </w:hyperlink>
    </w:p>
    <w:p w14:paraId="4FCEF3EE" w14:textId="68B857F4" w:rsidR="00EA5973" w:rsidRPr="00EA5973" w:rsidRDefault="00EA5973" w:rsidP="00EA5973">
      <w:pPr>
        <w:pStyle w:val="TOC2"/>
        <w:rPr>
          <w:rStyle w:val="Hyperlink"/>
          <w:noProof/>
        </w:rPr>
      </w:pPr>
      <w:hyperlink w:anchor="_Toc57895889" w:history="1">
        <w:r w:rsidRPr="00B26410">
          <w:rPr>
            <w:rStyle w:val="Hyperlink"/>
            <w:noProof/>
          </w:rPr>
          <w:t>2.9</w:t>
        </w:r>
        <w:r w:rsidRPr="00EA5973">
          <w:rPr>
            <w:rStyle w:val="Hyperlink"/>
            <w:noProof/>
          </w:rPr>
          <w:tab/>
        </w:r>
        <w:r w:rsidRPr="00B26410">
          <w:rPr>
            <w:rStyle w:val="Hyperlink"/>
            <w:noProof/>
          </w:rPr>
          <w:t>Security arrangements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_Toc57895889 \h </w:instrText>
        </w:r>
        <w:r w:rsidRPr="00EA5973">
          <w:rPr>
            <w:rStyle w:val="Hyperlink"/>
            <w:noProof/>
            <w:webHidden/>
          </w:rPr>
        </w:r>
        <w:r w:rsidRPr="00EA5973">
          <w:rPr>
            <w:rStyle w:val="Hyperlink"/>
            <w:noProof/>
            <w:webHidden/>
          </w:rPr>
          <w:fldChar w:fldCharType="separate"/>
        </w:r>
        <w:r>
          <w:rPr>
            <w:rStyle w:val="Hyperlink"/>
            <w:noProof/>
            <w:webHidden/>
          </w:rPr>
          <w:t>20</w:t>
        </w:r>
        <w:r w:rsidRPr="00EA5973">
          <w:rPr>
            <w:rStyle w:val="Hyperlink"/>
            <w:noProof/>
            <w:webHidden/>
          </w:rPr>
          <w:fldChar w:fldCharType="end"/>
        </w:r>
      </w:hyperlink>
    </w:p>
    <w:p w14:paraId="5170C202" w14:textId="0F55485D" w:rsidR="00EA5973" w:rsidRPr="00EA5973" w:rsidRDefault="00EA5973" w:rsidP="00EA5973">
      <w:pPr>
        <w:pStyle w:val="TOC2"/>
        <w:rPr>
          <w:rStyle w:val="Hyperlink"/>
          <w:noProof/>
        </w:rPr>
      </w:pPr>
      <w:hyperlink w:anchor="_Toc57895890" w:history="1">
        <w:r w:rsidRPr="00B26410">
          <w:rPr>
            <w:rStyle w:val="Hyperlink"/>
            <w:noProof/>
          </w:rPr>
          <w:t>2.10</w:t>
        </w:r>
        <w:r w:rsidRPr="00EA5973">
          <w:rPr>
            <w:rStyle w:val="Hyperlink"/>
            <w:noProof/>
          </w:rPr>
          <w:tab/>
        </w:r>
        <w:r w:rsidRPr="00B26410">
          <w:rPr>
            <w:rStyle w:val="Hyperlink"/>
            <w:noProof/>
          </w:rPr>
          <w:t>Emergency arrangements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_Toc57895890 \h </w:instrText>
        </w:r>
        <w:r w:rsidRPr="00EA5973">
          <w:rPr>
            <w:rStyle w:val="Hyperlink"/>
            <w:noProof/>
            <w:webHidden/>
          </w:rPr>
        </w:r>
        <w:r w:rsidRPr="00EA5973">
          <w:rPr>
            <w:rStyle w:val="Hyperlink"/>
            <w:noProof/>
            <w:webHidden/>
          </w:rPr>
          <w:fldChar w:fldCharType="separate"/>
        </w:r>
        <w:r>
          <w:rPr>
            <w:rStyle w:val="Hyperlink"/>
            <w:noProof/>
            <w:webHidden/>
          </w:rPr>
          <w:t>20</w:t>
        </w:r>
        <w:r w:rsidRPr="00EA5973">
          <w:rPr>
            <w:rStyle w:val="Hyperlink"/>
            <w:noProof/>
            <w:webHidden/>
          </w:rPr>
          <w:fldChar w:fldCharType="end"/>
        </w:r>
      </w:hyperlink>
    </w:p>
    <w:p w14:paraId="6DCFAAAE" w14:textId="1FB4D649" w:rsidR="00EA5973" w:rsidRDefault="00EA5973">
      <w:pPr>
        <w:pStyle w:val="TOC1"/>
        <w:rPr>
          <w:rFonts w:asciiTheme="minorHAnsi" w:eastAsiaTheme="minorEastAsia" w:hAnsiTheme="minorHAnsi" w:cstheme="minorBidi"/>
          <w:caps w:val="0"/>
          <w:noProof/>
          <w:szCs w:val="22"/>
          <w:lang w:eastAsia="en-GB"/>
        </w:rPr>
      </w:pPr>
      <w:hyperlink w:anchor="_Toc57895891" w:history="1">
        <w:r w:rsidRPr="00B26410">
          <w:rPr>
            <w:rStyle w:val="Hyperlink"/>
            <w:rFonts w:cs="Arial"/>
            <w:noProof/>
          </w:rPr>
          <w:t>3.</w:t>
        </w:r>
        <w:r>
          <w:rPr>
            <w:rFonts w:asciiTheme="minorHAnsi" w:eastAsiaTheme="minorEastAsia" w:hAnsiTheme="minorHAnsi" w:cstheme="minorBidi"/>
            <w:caps w:val="0"/>
            <w:noProof/>
            <w:szCs w:val="22"/>
            <w:lang w:eastAsia="en-GB"/>
          </w:rPr>
          <w:tab/>
        </w:r>
        <w:r w:rsidRPr="00B26410">
          <w:rPr>
            <w:rStyle w:val="Hyperlink"/>
            <w:noProof/>
          </w:rPr>
          <w:t>Decommissioning Plan</w:t>
        </w:r>
        <w:r>
          <w:rPr>
            <w:noProof/>
            <w:webHidden/>
          </w:rPr>
          <w:tab/>
        </w:r>
        <w:r>
          <w:rPr>
            <w:noProof/>
            <w:webHidden/>
          </w:rPr>
          <w:fldChar w:fldCharType="begin"/>
        </w:r>
        <w:r>
          <w:rPr>
            <w:noProof/>
            <w:webHidden/>
          </w:rPr>
          <w:instrText xml:space="preserve"> PAGEREF _Toc57895891 \h </w:instrText>
        </w:r>
        <w:r>
          <w:rPr>
            <w:noProof/>
            <w:webHidden/>
          </w:rPr>
        </w:r>
        <w:r>
          <w:rPr>
            <w:noProof/>
            <w:webHidden/>
          </w:rPr>
          <w:fldChar w:fldCharType="separate"/>
        </w:r>
        <w:r>
          <w:rPr>
            <w:noProof/>
            <w:webHidden/>
          </w:rPr>
          <w:t>21</w:t>
        </w:r>
        <w:r>
          <w:rPr>
            <w:noProof/>
            <w:webHidden/>
          </w:rPr>
          <w:fldChar w:fldCharType="end"/>
        </w:r>
      </w:hyperlink>
    </w:p>
    <w:p w14:paraId="52D3BAE3" w14:textId="07AA31A8" w:rsidR="00EA5973" w:rsidRPr="00EA5973" w:rsidRDefault="00EA5973" w:rsidP="00EA5973">
      <w:pPr>
        <w:pStyle w:val="TOC2"/>
        <w:rPr>
          <w:rStyle w:val="Hyperlink"/>
          <w:noProof/>
        </w:rPr>
      </w:pPr>
      <w:hyperlink w:anchor="_Toc57895892" w:history="1">
        <w:r w:rsidRPr="00B26410">
          <w:rPr>
            <w:rStyle w:val="Hyperlink"/>
            <w:noProof/>
          </w:rPr>
          <w:t>3.1</w:t>
        </w:r>
        <w:r w:rsidRPr="00EA5973">
          <w:rPr>
            <w:rStyle w:val="Hyperlink"/>
            <w:noProof/>
          </w:rPr>
          <w:tab/>
        </w:r>
        <w:r w:rsidRPr="00B26410">
          <w:rPr>
            <w:rStyle w:val="Hyperlink"/>
            <w:noProof/>
          </w:rPr>
          <w:t>Requirements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_Toc57895892 \h </w:instrText>
        </w:r>
        <w:r w:rsidRPr="00EA5973">
          <w:rPr>
            <w:rStyle w:val="Hyperlink"/>
            <w:noProof/>
            <w:webHidden/>
          </w:rPr>
        </w:r>
        <w:r w:rsidRPr="00EA5973">
          <w:rPr>
            <w:rStyle w:val="Hyperlink"/>
            <w:noProof/>
            <w:webHidden/>
          </w:rPr>
          <w:fldChar w:fldCharType="separate"/>
        </w:r>
        <w:r>
          <w:rPr>
            <w:rStyle w:val="Hyperlink"/>
            <w:noProof/>
            <w:webHidden/>
          </w:rPr>
          <w:t>21</w:t>
        </w:r>
        <w:r w:rsidRPr="00EA5973">
          <w:rPr>
            <w:rStyle w:val="Hyperlink"/>
            <w:noProof/>
            <w:webHidden/>
          </w:rPr>
          <w:fldChar w:fldCharType="end"/>
        </w:r>
      </w:hyperlink>
    </w:p>
    <w:p w14:paraId="1FB5830A" w14:textId="4F01BC24" w:rsidR="00EA5973" w:rsidRPr="00EA5973" w:rsidRDefault="00EA5973" w:rsidP="00EA5973">
      <w:pPr>
        <w:pStyle w:val="TOC2"/>
        <w:rPr>
          <w:rStyle w:val="Hyperlink"/>
          <w:noProof/>
        </w:rPr>
      </w:pPr>
      <w:hyperlink w:anchor="_Toc57895893" w:history="1">
        <w:r w:rsidRPr="00B26410">
          <w:rPr>
            <w:rStyle w:val="Hyperlink"/>
            <w:noProof/>
          </w:rPr>
          <w:t>3.2</w:t>
        </w:r>
        <w:r w:rsidRPr="00EA5973">
          <w:rPr>
            <w:rStyle w:val="Hyperlink"/>
            <w:noProof/>
          </w:rPr>
          <w:tab/>
        </w:r>
        <w:r w:rsidRPr="00B26410">
          <w:rPr>
            <w:rStyle w:val="Hyperlink"/>
            <w:noProof/>
          </w:rPr>
          <w:t>Purpose of the Decommissioning Plan</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_Toc57895893 \h </w:instrText>
        </w:r>
        <w:r w:rsidRPr="00EA5973">
          <w:rPr>
            <w:rStyle w:val="Hyperlink"/>
            <w:noProof/>
            <w:webHidden/>
          </w:rPr>
        </w:r>
        <w:r w:rsidRPr="00EA5973">
          <w:rPr>
            <w:rStyle w:val="Hyperlink"/>
            <w:noProof/>
            <w:webHidden/>
          </w:rPr>
          <w:fldChar w:fldCharType="separate"/>
        </w:r>
        <w:r>
          <w:rPr>
            <w:rStyle w:val="Hyperlink"/>
            <w:noProof/>
            <w:webHidden/>
          </w:rPr>
          <w:t>21</w:t>
        </w:r>
        <w:r w:rsidRPr="00EA5973">
          <w:rPr>
            <w:rStyle w:val="Hyperlink"/>
            <w:noProof/>
            <w:webHidden/>
          </w:rPr>
          <w:fldChar w:fldCharType="end"/>
        </w:r>
      </w:hyperlink>
    </w:p>
    <w:p w14:paraId="1170D1AE" w14:textId="3CD94C44" w:rsidR="00EA5973" w:rsidRPr="00EA5973" w:rsidRDefault="00EA5973" w:rsidP="00EA5973">
      <w:pPr>
        <w:pStyle w:val="TOC2"/>
        <w:rPr>
          <w:rStyle w:val="Hyperlink"/>
          <w:noProof/>
        </w:rPr>
      </w:pPr>
      <w:hyperlink w:anchor="_Toc57895894" w:history="1">
        <w:r w:rsidRPr="00B26410">
          <w:rPr>
            <w:rStyle w:val="Hyperlink"/>
            <w:noProof/>
          </w:rPr>
          <w:t>3.3</w:t>
        </w:r>
        <w:r w:rsidRPr="00EA5973">
          <w:rPr>
            <w:rStyle w:val="Hyperlink"/>
            <w:noProof/>
          </w:rPr>
          <w:tab/>
        </w:r>
        <w:r w:rsidRPr="00B26410">
          <w:rPr>
            <w:rStyle w:val="Hyperlink"/>
            <w:noProof/>
          </w:rPr>
          <w:t>Expected features of the decommissioning plan</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_Toc57895894 \h </w:instrText>
        </w:r>
        <w:r w:rsidRPr="00EA5973">
          <w:rPr>
            <w:rStyle w:val="Hyperlink"/>
            <w:noProof/>
            <w:webHidden/>
          </w:rPr>
        </w:r>
        <w:r w:rsidRPr="00EA5973">
          <w:rPr>
            <w:rStyle w:val="Hyperlink"/>
            <w:noProof/>
            <w:webHidden/>
          </w:rPr>
          <w:fldChar w:fldCharType="separate"/>
        </w:r>
        <w:r>
          <w:rPr>
            <w:rStyle w:val="Hyperlink"/>
            <w:noProof/>
            <w:webHidden/>
          </w:rPr>
          <w:t>21</w:t>
        </w:r>
        <w:r w:rsidRPr="00EA5973">
          <w:rPr>
            <w:rStyle w:val="Hyperlink"/>
            <w:noProof/>
            <w:webHidden/>
          </w:rPr>
          <w:fldChar w:fldCharType="end"/>
        </w:r>
      </w:hyperlink>
    </w:p>
    <w:p w14:paraId="3028B8C8" w14:textId="42621A73" w:rsidR="00EA5973" w:rsidRDefault="00EA5973">
      <w:pPr>
        <w:pStyle w:val="TOC1"/>
        <w:rPr>
          <w:rFonts w:asciiTheme="minorHAnsi" w:eastAsiaTheme="minorEastAsia" w:hAnsiTheme="minorHAnsi" w:cstheme="minorBidi"/>
          <w:caps w:val="0"/>
          <w:noProof/>
          <w:szCs w:val="22"/>
          <w:lang w:eastAsia="en-GB"/>
        </w:rPr>
      </w:pPr>
      <w:hyperlink w:anchor="_Toc57895895" w:history="1">
        <w:r w:rsidRPr="00B26410">
          <w:rPr>
            <w:rStyle w:val="Hyperlink"/>
            <w:rFonts w:cs="Arial"/>
            <w:noProof/>
          </w:rPr>
          <w:t>4.</w:t>
        </w:r>
        <w:r>
          <w:rPr>
            <w:rFonts w:asciiTheme="minorHAnsi" w:eastAsiaTheme="minorEastAsia" w:hAnsiTheme="minorHAnsi" w:cstheme="minorBidi"/>
            <w:caps w:val="0"/>
            <w:noProof/>
            <w:szCs w:val="22"/>
            <w:lang w:eastAsia="en-GB"/>
          </w:rPr>
          <w:tab/>
        </w:r>
        <w:r w:rsidRPr="00B26410">
          <w:rPr>
            <w:rStyle w:val="Hyperlink"/>
            <w:noProof/>
          </w:rPr>
          <w:t>Post Operation Phases</w:t>
        </w:r>
        <w:r>
          <w:rPr>
            <w:noProof/>
            <w:webHidden/>
          </w:rPr>
          <w:tab/>
        </w:r>
        <w:r>
          <w:rPr>
            <w:noProof/>
            <w:webHidden/>
          </w:rPr>
          <w:fldChar w:fldCharType="begin"/>
        </w:r>
        <w:r>
          <w:rPr>
            <w:noProof/>
            <w:webHidden/>
          </w:rPr>
          <w:instrText xml:space="preserve"> PAGEREF _Toc57895895 \h </w:instrText>
        </w:r>
        <w:r>
          <w:rPr>
            <w:noProof/>
            <w:webHidden/>
          </w:rPr>
        </w:r>
        <w:r>
          <w:rPr>
            <w:noProof/>
            <w:webHidden/>
          </w:rPr>
          <w:fldChar w:fldCharType="separate"/>
        </w:r>
        <w:r>
          <w:rPr>
            <w:noProof/>
            <w:webHidden/>
          </w:rPr>
          <w:t>22</w:t>
        </w:r>
        <w:r>
          <w:rPr>
            <w:noProof/>
            <w:webHidden/>
          </w:rPr>
          <w:fldChar w:fldCharType="end"/>
        </w:r>
      </w:hyperlink>
    </w:p>
    <w:p w14:paraId="2545AFD1" w14:textId="5D321809" w:rsidR="00EA5973" w:rsidRPr="00EA5973" w:rsidRDefault="00EA5973" w:rsidP="00EA5973">
      <w:pPr>
        <w:pStyle w:val="TOC2"/>
        <w:rPr>
          <w:rStyle w:val="Hyperlink"/>
          <w:noProof/>
        </w:rPr>
      </w:pPr>
      <w:hyperlink w:anchor="_Toc57895896" w:history="1">
        <w:r w:rsidRPr="00B26410">
          <w:rPr>
            <w:rStyle w:val="Hyperlink"/>
            <w:noProof/>
          </w:rPr>
          <w:t>4.1</w:t>
        </w:r>
        <w:r w:rsidRPr="00EA5973">
          <w:rPr>
            <w:rStyle w:val="Hyperlink"/>
            <w:noProof/>
          </w:rPr>
          <w:tab/>
        </w:r>
        <w:r w:rsidRPr="00B26410">
          <w:rPr>
            <w:rStyle w:val="Hyperlink"/>
            <w:noProof/>
          </w:rPr>
          <w:t>Inactive quiescent storage</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_Toc57895896 \h </w:instrText>
        </w:r>
        <w:r w:rsidRPr="00EA5973">
          <w:rPr>
            <w:rStyle w:val="Hyperlink"/>
            <w:noProof/>
            <w:webHidden/>
          </w:rPr>
        </w:r>
        <w:r w:rsidRPr="00EA5973">
          <w:rPr>
            <w:rStyle w:val="Hyperlink"/>
            <w:noProof/>
            <w:webHidden/>
          </w:rPr>
          <w:fldChar w:fldCharType="separate"/>
        </w:r>
        <w:r>
          <w:rPr>
            <w:rStyle w:val="Hyperlink"/>
            <w:noProof/>
            <w:webHidden/>
          </w:rPr>
          <w:t>23</w:t>
        </w:r>
        <w:r w:rsidRPr="00EA5973">
          <w:rPr>
            <w:rStyle w:val="Hyperlink"/>
            <w:noProof/>
            <w:webHidden/>
          </w:rPr>
          <w:fldChar w:fldCharType="end"/>
        </w:r>
      </w:hyperlink>
    </w:p>
    <w:p w14:paraId="7D76B29F" w14:textId="1E3C7BCA" w:rsidR="00EA5973" w:rsidRPr="00EA5973" w:rsidRDefault="00EA5973" w:rsidP="00EA5973">
      <w:pPr>
        <w:pStyle w:val="TOC2"/>
        <w:rPr>
          <w:rStyle w:val="Hyperlink"/>
          <w:noProof/>
        </w:rPr>
      </w:pPr>
      <w:hyperlink w:anchor="_Toc57895897" w:history="1">
        <w:r w:rsidRPr="00B26410">
          <w:rPr>
            <w:rStyle w:val="Hyperlink"/>
            <w:noProof/>
          </w:rPr>
          <w:t>4.2</w:t>
        </w:r>
        <w:r w:rsidRPr="00EA5973">
          <w:rPr>
            <w:rStyle w:val="Hyperlink"/>
            <w:noProof/>
          </w:rPr>
          <w:tab/>
        </w:r>
        <w:r w:rsidRPr="00B26410">
          <w:rPr>
            <w:rStyle w:val="Hyperlink"/>
            <w:noProof/>
          </w:rPr>
          <w:t>Post operational clean out (POCO)</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_Toc57895897 \h </w:instrText>
        </w:r>
        <w:r w:rsidRPr="00EA5973">
          <w:rPr>
            <w:rStyle w:val="Hyperlink"/>
            <w:noProof/>
            <w:webHidden/>
          </w:rPr>
        </w:r>
        <w:r w:rsidRPr="00EA5973">
          <w:rPr>
            <w:rStyle w:val="Hyperlink"/>
            <w:noProof/>
            <w:webHidden/>
          </w:rPr>
          <w:fldChar w:fldCharType="separate"/>
        </w:r>
        <w:r>
          <w:rPr>
            <w:rStyle w:val="Hyperlink"/>
            <w:noProof/>
            <w:webHidden/>
          </w:rPr>
          <w:t>23</w:t>
        </w:r>
        <w:r w:rsidRPr="00EA5973">
          <w:rPr>
            <w:rStyle w:val="Hyperlink"/>
            <w:noProof/>
            <w:webHidden/>
          </w:rPr>
          <w:fldChar w:fldCharType="end"/>
        </w:r>
      </w:hyperlink>
    </w:p>
    <w:p w14:paraId="4DAF8BD3" w14:textId="070A5063" w:rsidR="00EA5973" w:rsidRPr="00EA5973" w:rsidRDefault="00EA5973" w:rsidP="00EA5973">
      <w:pPr>
        <w:pStyle w:val="TOC2"/>
        <w:rPr>
          <w:rStyle w:val="Hyperlink"/>
          <w:noProof/>
        </w:rPr>
      </w:pPr>
      <w:hyperlink w:anchor="_Toc57895898" w:history="1">
        <w:r w:rsidRPr="00B26410">
          <w:rPr>
            <w:rStyle w:val="Hyperlink"/>
            <w:noProof/>
          </w:rPr>
          <w:t>4.3</w:t>
        </w:r>
        <w:r w:rsidRPr="00EA5973">
          <w:rPr>
            <w:rStyle w:val="Hyperlink"/>
            <w:noProof/>
          </w:rPr>
          <w:tab/>
        </w:r>
        <w:r w:rsidRPr="00B26410">
          <w:rPr>
            <w:rStyle w:val="Hyperlink"/>
            <w:noProof/>
          </w:rPr>
          <w:t>Care and maintenance (C&amp;M) phase</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_Toc57895898 \h </w:instrText>
        </w:r>
        <w:r w:rsidRPr="00EA5973">
          <w:rPr>
            <w:rStyle w:val="Hyperlink"/>
            <w:noProof/>
            <w:webHidden/>
          </w:rPr>
        </w:r>
        <w:r w:rsidRPr="00EA5973">
          <w:rPr>
            <w:rStyle w:val="Hyperlink"/>
            <w:noProof/>
            <w:webHidden/>
          </w:rPr>
          <w:fldChar w:fldCharType="separate"/>
        </w:r>
        <w:r>
          <w:rPr>
            <w:rStyle w:val="Hyperlink"/>
            <w:noProof/>
            <w:webHidden/>
          </w:rPr>
          <w:t>23</w:t>
        </w:r>
        <w:r w:rsidRPr="00EA5973">
          <w:rPr>
            <w:rStyle w:val="Hyperlink"/>
            <w:noProof/>
            <w:webHidden/>
          </w:rPr>
          <w:fldChar w:fldCharType="end"/>
        </w:r>
      </w:hyperlink>
    </w:p>
    <w:p w14:paraId="6294067A" w14:textId="5E191BAC" w:rsidR="00EA5973" w:rsidRPr="00EA5973" w:rsidRDefault="00EA5973" w:rsidP="00EA5973">
      <w:pPr>
        <w:pStyle w:val="TOC2"/>
        <w:rPr>
          <w:rStyle w:val="Hyperlink"/>
          <w:noProof/>
        </w:rPr>
      </w:pPr>
      <w:hyperlink w:anchor="_Toc57895899" w:history="1">
        <w:r w:rsidRPr="00B26410">
          <w:rPr>
            <w:rStyle w:val="Hyperlink"/>
            <w:noProof/>
          </w:rPr>
          <w:t>4.4</w:t>
        </w:r>
        <w:r w:rsidRPr="00EA5973">
          <w:rPr>
            <w:rStyle w:val="Hyperlink"/>
            <w:noProof/>
          </w:rPr>
          <w:tab/>
        </w:r>
        <w:r w:rsidRPr="00B26410">
          <w:rPr>
            <w:rStyle w:val="Hyperlink"/>
            <w:noProof/>
          </w:rPr>
          <w:t>Decommissioning</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_Toc57895899 \h </w:instrText>
        </w:r>
        <w:r w:rsidRPr="00EA5973">
          <w:rPr>
            <w:rStyle w:val="Hyperlink"/>
            <w:noProof/>
            <w:webHidden/>
          </w:rPr>
        </w:r>
        <w:r w:rsidRPr="00EA5973">
          <w:rPr>
            <w:rStyle w:val="Hyperlink"/>
            <w:noProof/>
            <w:webHidden/>
          </w:rPr>
          <w:fldChar w:fldCharType="separate"/>
        </w:r>
        <w:r>
          <w:rPr>
            <w:rStyle w:val="Hyperlink"/>
            <w:noProof/>
            <w:webHidden/>
          </w:rPr>
          <w:t>25</w:t>
        </w:r>
        <w:r w:rsidRPr="00EA5973">
          <w:rPr>
            <w:rStyle w:val="Hyperlink"/>
            <w:noProof/>
            <w:webHidden/>
          </w:rPr>
          <w:fldChar w:fldCharType="end"/>
        </w:r>
      </w:hyperlink>
    </w:p>
    <w:p w14:paraId="63C95494" w14:textId="431F197B" w:rsidR="00EA5973" w:rsidRPr="00EA5973" w:rsidRDefault="00EA5973" w:rsidP="00EA5973">
      <w:pPr>
        <w:pStyle w:val="TOC2"/>
        <w:rPr>
          <w:rStyle w:val="Hyperlink"/>
          <w:noProof/>
        </w:rPr>
      </w:pPr>
      <w:hyperlink w:anchor="_Toc57895900" w:history="1">
        <w:r w:rsidRPr="00B26410">
          <w:rPr>
            <w:rStyle w:val="Hyperlink"/>
            <w:noProof/>
          </w:rPr>
          <w:t>4.5</w:t>
        </w:r>
        <w:r w:rsidRPr="00EA5973">
          <w:rPr>
            <w:rStyle w:val="Hyperlink"/>
            <w:noProof/>
          </w:rPr>
          <w:tab/>
        </w:r>
        <w:r w:rsidRPr="00B26410">
          <w:rPr>
            <w:rStyle w:val="Hyperlink"/>
            <w:noProof/>
          </w:rPr>
          <w:t>Demolition</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_Toc57895900 \h </w:instrText>
        </w:r>
        <w:r w:rsidRPr="00EA5973">
          <w:rPr>
            <w:rStyle w:val="Hyperlink"/>
            <w:noProof/>
            <w:webHidden/>
          </w:rPr>
        </w:r>
        <w:r w:rsidRPr="00EA5973">
          <w:rPr>
            <w:rStyle w:val="Hyperlink"/>
            <w:noProof/>
            <w:webHidden/>
          </w:rPr>
          <w:fldChar w:fldCharType="separate"/>
        </w:r>
        <w:r>
          <w:rPr>
            <w:rStyle w:val="Hyperlink"/>
            <w:noProof/>
            <w:webHidden/>
          </w:rPr>
          <w:t>25</w:t>
        </w:r>
        <w:r w:rsidRPr="00EA5973">
          <w:rPr>
            <w:rStyle w:val="Hyperlink"/>
            <w:noProof/>
            <w:webHidden/>
          </w:rPr>
          <w:fldChar w:fldCharType="end"/>
        </w:r>
      </w:hyperlink>
    </w:p>
    <w:p w14:paraId="3DBE9EF0" w14:textId="6938F8EB" w:rsidR="00EA5973" w:rsidRPr="00EA5973" w:rsidRDefault="00EA5973" w:rsidP="00EA5973">
      <w:pPr>
        <w:pStyle w:val="TOC2"/>
        <w:rPr>
          <w:rStyle w:val="Hyperlink"/>
          <w:noProof/>
        </w:rPr>
      </w:pPr>
      <w:hyperlink w:anchor="_Toc57895901" w:history="1">
        <w:r w:rsidRPr="00B26410">
          <w:rPr>
            <w:rStyle w:val="Hyperlink"/>
            <w:noProof/>
          </w:rPr>
          <w:t>4.6</w:t>
        </w:r>
        <w:r w:rsidRPr="00EA5973">
          <w:rPr>
            <w:rStyle w:val="Hyperlink"/>
            <w:noProof/>
          </w:rPr>
          <w:tab/>
        </w:r>
        <w:r w:rsidRPr="00B26410">
          <w:rPr>
            <w:rStyle w:val="Hyperlink"/>
            <w:noProof/>
          </w:rPr>
          <w:t>Site Remediation</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_Toc57895901 \h </w:instrText>
        </w:r>
        <w:r w:rsidRPr="00EA5973">
          <w:rPr>
            <w:rStyle w:val="Hyperlink"/>
            <w:noProof/>
            <w:webHidden/>
          </w:rPr>
        </w:r>
        <w:r w:rsidRPr="00EA5973">
          <w:rPr>
            <w:rStyle w:val="Hyperlink"/>
            <w:noProof/>
            <w:webHidden/>
          </w:rPr>
          <w:fldChar w:fldCharType="separate"/>
        </w:r>
        <w:r>
          <w:rPr>
            <w:rStyle w:val="Hyperlink"/>
            <w:noProof/>
            <w:webHidden/>
          </w:rPr>
          <w:t>27</w:t>
        </w:r>
        <w:r w:rsidRPr="00EA5973">
          <w:rPr>
            <w:rStyle w:val="Hyperlink"/>
            <w:noProof/>
            <w:webHidden/>
          </w:rPr>
          <w:fldChar w:fldCharType="end"/>
        </w:r>
      </w:hyperlink>
    </w:p>
    <w:p w14:paraId="54E4299D" w14:textId="58479036" w:rsidR="00EA5973" w:rsidRPr="00EA5973" w:rsidRDefault="00EA5973" w:rsidP="00EA5973">
      <w:pPr>
        <w:pStyle w:val="TOC2"/>
        <w:rPr>
          <w:rStyle w:val="Hyperlink"/>
          <w:noProof/>
        </w:rPr>
      </w:pPr>
      <w:hyperlink w:anchor="_Toc57895902" w:history="1">
        <w:r w:rsidRPr="00B26410">
          <w:rPr>
            <w:rStyle w:val="Hyperlink"/>
            <w:noProof/>
          </w:rPr>
          <w:t>4.7</w:t>
        </w:r>
        <w:r w:rsidRPr="00EA5973">
          <w:rPr>
            <w:rStyle w:val="Hyperlink"/>
            <w:noProof/>
          </w:rPr>
          <w:tab/>
        </w:r>
        <w:r w:rsidRPr="00B26410">
          <w:rPr>
            <w:rStyle w:val="Hyperlink"/>
            <w:noProof/>
          </w:rPr>
          <w:t>Delicencing</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_Toc57895902 \h </w:instrText>
        </w:r>
        <w:r w:rsidRPr="00EA5973">
          <w:rPr>
            <w:rStyle w:val="Hyperlink"/>
            <w:noProof/>
            <w:webHidden/>
          </w:rPr>
        </w:r>
        <w:r w:rsidRPr="00EA5973">
          <w:rPr>
            <w:rStyle w:val="Hyperlink"/>
            <w:noProof/>
            <w:webHidden/>
          </w:rPr>
          <w:fldChar w:fldCharType="separate"/>
        </w:r>
        <w:r>
          <w:rPr>
            <w:rStyle w:val="Hyperlink"/>
            <w:noProof/>
            <w:webHidden/>
          </w:rPr>
          <w:t>28</w:t>
        </w:r>
        <w:r w:rsidRPr="00EA5973">
          <w:rPr>
            <w:rStyle w:val="Hyperlink"/>
            <w:noProof/>
            <w:webHidden/>
          </w:rPr>
          <w:fldChar w:fldCharType="end"/>
        </w:r>
      </w:hyperlink>
    </w:p>
    <w:p w14:paraId="501D505D" w14:textId="25729AFC" w:rsidR="00EA5973" w:rsidRDefault="00EA5973">
      <w:pPr>
        <w:pStyle w:val="TOC1"/>
        <w:rPr>
          <w:rFonts w:asciiTheme="minorHAnsi" w:eastAsiaTheme="minorEastAsia" w:hAnsiTheme="minorHAnsi" w:cstheme="minorBidi"/>
          <w:caps w:val="0"/>
          <w:noProof/>
          <w:szCs w:val="22"/>
          <w:lang w:eastAsia="en-GB"/>
        </w:rPr>
      </w:pPr>
      <w:hyperlink w:anchor="_Toc57895903" w:history="1">
        <w:r w:rsidRPr="00B26410">
          <w:rPr>
            <w:rStyle w:val="Hyperlink"/>
            <w:rFonts w:cs="Arial"/>
            <w:noProof/>
          </w:rPr>
          <w:t>5.</w:t>
        </w:r>
        <w:r>
          <w:rPr>
            <w:rFonts w:asciiTheme="minorHAnsi" w:eastAsiaTheme="minorEastAsia" w:hAnsiTheme="minorHAnsi" w:cstheme="minorBidi"/>
            <w:caps w:val="0"/>
            <w:noProof/>
            <w:szCs w:val="22"/>
            <w:lang w:eastAsia="en-GB"/>
          </w:rPr>
          <w:tab/>
        </w:r>
        <w:r w:rsidRPr="00B26410">
          <w:rPr>
            <w:rStyle w:val="Hyperlink"/>
            <w:noProof/>
          </w:rPr>
          <w:t>Relevant Standards and Good PractiCe</w:t>
        </w:r>
        <w:r>
          <w:rPr>
            <w:noProof/>
            <w:webHidden/>
          </w:rPr>
          <w:tab/>
        </w:r>
        <w:r>
          <w:rPr>
            <w:noProof/>
            <w:webHidden/>
          </w:rPr>
          <w:fldChar w:fldCharType="begin"/>
        </w:r>
        <w:r>
          <w:rPr>
            <w:noProof/>
            <w:webHidden/>
          </w:rPr>
          <w:instrText xml:space="preserve"> PAGEREF _Toc57895903 \h </w:instrText>
        </w:r>
        <w:r>
          <w:rPr>
            <w:noProof/>
            <w:webHidden/>
          </w:rPr>
        </w:r>
        <w:r>
          <w:rPr>
            <w:noProof/>
            <w:webHidden/>
          </w:rPr>
          <w:fldChar w:fldCharType="separate"/>
        </w:r>
        <w:r>
          <w:rPr>
            <w:noProof/>
            <w:webHidden/>
          </w:rPr>
          <w:t>28</w:t>
        </w:r>
        <w:r>
          <w:rPr>
            <w:noProof/>
            <w:webHidden/>
          </w:rPr>
          <w:fldChar w:fldCharType="end"/>
        </w:r>
      </w:hyperlink>
    </w:p>
    <w:p w14:paraId="0FA0E1F2" w14:textId="50F59081" w:rsidR="00EA5973" w:rsidRPr="00EA5973" w:rsidRDefault="00EA5973" w:rsidP="00EA5973">
      <w:pPr>
        <w:pStyle w:val="TOC2"/>
        <w:rPr>
          <w:rStyle w:val="Hyperlink"/>
          <w:noProof/>
        </w:rPr>
      </w:pPr>
      <w:hyperlink w:anchor="_Toc57895904" w:history="1">
        <w:r w:rsidRPr="00B26410">
          <w:rPr>
            <w:rStyle w:val="Hyperlink"/>
            <w:noProof/>
          </w:rPr>
          <w:t>5.1</w:t>
        </w:r>
        <w:r w:rsidRPr="00EA5973">
          <w:rPr>
            <w:rStyle w:val="Hyperlink"/>
            <w:noProof/>
          </w:rPr>
          <w:tab/>
        </w:r>
        <w:r w:rsidRPr="00B26410">
          <w:rPr>
            <w:rStyle w:val="Hyperlink"/>
            <w:noProof/>
          </w:rPr>
          <w:t>ONR Technical Assessment Guides (TAGs) and Inspection Guides (TIGs)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_Toc57895904 \h </w:instrText>
        </w:r>
        <w:r w:rsidRPr="00EA5973">
          <w:rPr>
            <w:rStyle w:val="Hyperlink"/>
            <w:noProof/>
            <w:webHidden/>
          </w:rPr>
        </w:r>
        <w:r w:rsidRPr="00EA5973">
          <w:rPr>
            <w:rStyle w:val="Hyperlink"/>
            <w:noProof/>
            <w:webHidden/>
          </w:rPr>
          <w:fldChar w:fldCharType="separate"/>
        </w:r>
        <w:r>
          <w:rPr>
            <w:rStyle w:val="Hyperlink"/>
            <w:noProof/>
            <w:webHidden/>
          </w:rPr>
          <w:t>28</w:t>
        </w:r>
        <w:r w:rsidRPr="00EA5973">
          <w:rPr>
            <w:rStyle w:val="Hyperlink"/>
            <w:noProof/>
            <w:webHidden/>
          </w:rPr>
          <w:fldChar w:fldCharType="end"/>
        </w:r>
      </w:hyperlink>
    </w:p>
    <w:p w14:paraId="2A08B271" w14:textId="5EA973EC" w:rsidR="00EA5973" w:rsidRPr="00EA5973" w:rsidRDefault="00EA5973" w:rsidP="00EA5973">
      <w:pPr>
        <w:pStyle w:val="TOC2"/>
        <w:rPr>
          <w:rStyle w:val="Hyperlink"/>
          <w:noProof/>
        </w:rPr>
      </w:pPr>
      <w:hyperlink w:anchor="_Toc57895905" w:history="1">
        <w:r w:rsidRPr="00B26410">
          <w:rPr>
            <w:rStyle w:val="Hyperlink"/>
            <w:noProof/>
          </w:rPr>
          <w:t>5.2</w:t>
        </w:r>
        <w:r w:rsidRPr="00EA5973">
          <w:rPr>
            <w:rStyle w:val="Hyperlink"/>
            <w:noProof/>
          </w:rPr>
          <w:tab/>
        </w:r>
        <w:r w:rsidRPr="00B26410">
          <w:rPr>
            <w:rStyle w:val="Hyperlink"/>
            <w:noProof/>
          </w:rPr>
          <w:t>UK Regulations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_Toc57895905 \h </w:instrText>
        </w:r>
        <w:r w:rsidRPr="00EA5973">
          <w:rPr>
            <w:rStyle w:val="Hyperlink"/>
            <w:noProof/>
            <w:webHidden/>
          </w:rPr>
        </w:r>
        <w:r w:rsidRPr="00EA5973">
          <w:rPr>
            <w:rStyle w:val="Hyperlink"/>
            <w:noProof/>
            <w:webHidden/>
          </w:rPr>
          <w:fldChar w:fldCharType="separate"/>
        </w:r>
        <w:r>
          <w:rPr>
            <w:rStyle w:val="Hyperlink"/>
            <w:noProof/>
            <w:webHidden/>
          </w:rPr>
          <w:t>29</w:t>
        </w:r>
        <w:r w:rsidRPr="00EA5973">
          <w:rPr>
            <w:rStyle w:val="Hyperlink"/>
            <w:noProof/>
            <w:webHidden/>
          </w:rPr>
          <w:fldChar w:fldCharType="end"/>
        </w:r>
      </w:hyperlink>
    </w:p>
    <w:p w14:paraId="2AB2755D" w14:textId="6285E83D" w:rsidR="00EA5973" w:rsidRPr="00EA5973" w:rsidRDefault="00EA5973" w:rsidP="00EA5973">
      <w:pPr>
        <w:pStyle w:val="TOC2"/>
        <w:rPr>
          <w:rStyle w:val="Hyperlink"/>
          <w:noProof/>
        </w:rPr>
      </w:pPr>
      <w:hyperlink w:anchor="_Toc57895906" w:history="1">
        <w:r w:rsidRPr="00B26410">
          <w:rPr>
            <w:rStyle w:val="Hyperlink"/>
            <w:noProof/>
          </w:rPr>
          <w:t>5.3</w:t>
        </w:r>
        <w:r w:rsidRPr="00EA5973">
          <w:rPr>
            <w:rStyle w:val="Hyperlink"/>
            <w:noProof/>
          </w:rPr>
          <w:tab/>
        </w:r>
        <w:r w:rsidRPr="00B26410">
          <w:rPr>
            <w:rStyle w:val="Hyperlink"/>
            <w:noProof/>
          </w:rPr>
          <w:t>Associated UK HSE Guidance (L Series, HSG Series, INDG Series, RR Series)</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_Toc57895906 \h </w:instrText>
        </w:r>
        <w:r w:rsidRPr="00EA5973">
          <w:rPr>
            <w:rStyle w:val="Hyperlink"/>
            <w:noProof/>
            <w:webHidden/>
          </w:rPr>
        </w:r>
        <w:r w:rsidRPr="00EA5973">
          <w:rPr>
            <w:rStyle w:val="Hyperlink"/>
            <w:noProof/>
            <w:webHidden/>
          </w:rPr>
          <w:fldChar w:fldCharType="separate"/>
        </w:r>
        <w:r>
          <w:rPr>
            <w:rStyle w:val="Hyperlink"/>
            <w:noProof/>
            <w:webHidden/>
          </w:rPr>
          <w:t>29</w:t>
        </w:r>
        <w:r w:rsidRPr="00EA5973">
          <w:rPr>
            <w:rStyle w:val="Hyperlink"/>
            <w:noProof/>
            <w:webHidden/>
          </w:rPr>
          <w:fldChar w:fldCharType="end"/>
        </w:r>
      </w:hyperlink>
    </w:p>
    <w:p w14:paraId="7DF2BC47" w14:textId="07B2E273" w:rsidR="00EA5973" w:rsidRPr="00EA5973" w:rsidRDefault="00EA5973" w:rsidP="00EA5973">
      <w:pPr>
        <w:pStyle w:val="TOC2"/>
        <w:rPr>
          <w:rStyle w:val="Hyperlink"/>
          <w:noProof/>
        </w:rPr>
      </w:pPr>
      <w:hyperlink w:anchor="_Toc57895908" w:history="1">
        <w:r w:rsidRPr="00B26410">
          <w:rPr>
            <w:rStyle w:val="Hyperlink"/>
            <w:noProof/>
          </w:rPr>
          <w:t>5.4</w:t>
        </w:r>
        <w:r w:rsidRPr="00EA5973">
          <w:rPr>
            <w:rStyle w:val="Hyperlink"/>
            <w:noProof/>
          </w:rPr>
          <w:tab/>
        </w:r>
        <w:r w:rsidRPr="00B26410">
          <w:rPr>
            <w:rStyle w:val="Hyperlink"/>
            <w:noProof/>
          </w:rPr>
          <w:t>International Guidance (IAEA and WENRA)</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_Toc57895908 \h </w:instrText>
        </w:r>
        <w:r w:rsidRPr="00EA5973">
          <w:rPr>
            <w:rStyle w:val="Hyperlink"/>
            <w:noProof/>
            <w:webHidden/>
          </w:rPr>
        </w:r>
        <w:r w:rsidRPr="00EA5973">
          <w:rPr>
            <w:rStyle w:val="Hyperlink"/>
            <w:noProof/>
            <w:webHidden/>
          </w:rPr>
          <w:fldChar w:fldCharType="separate"/>
        </w:r>
        <w:r>
          <w:rPr>
            <w:rStyle w:val="Hyperlink"/>
            <w:noProof/>
            <w:webHidden/>
          </w:rPr>
          <w:t>30</w:t>
        </w:r>
        <w:r w:rsidRPr="00EA5973">
          <w:rPr>
            <w:rStyle w:val="Hyperlink"/>
            <w:noProof/>
            <w:webHidden/>
          </w:rPr>
          <w:fldChar w:fldCharType="end"/>
        </w:r>
      </w:hyperlink>
    </w:p>
    <w:p w14:paraId="642DF0BE" w14:textId="1F14676D" w:rsidR="00EA5973" w:rsidRPr="00EA5973" w:rsidRDefault="00EA5973" w:rsidP="00EA5973">
      <w:pPr>
        <w:pStyle w:val="TOC2"/>
        <w:rPr>
          <w:rStyle w:val="Hyperlink"/>
          <w:noProof/>
        </w:rPr>
      </w:pPr>
      <w:hyperlink w:anchor="_Toc57895909" w:history="1">
        <w:r w:rsidRPr="00B26410">
          <w:rPr>
            <w:rStyle w:val="Hyperlink"/>
            <w:noProof/>
          </w:rPr>
          <w:t>5.5</w:t>
        </w:r>
        <w:r w:rsidRPr="00EA5973">
          <w:rPr>
            <w:rStyle w:val="Hyperlink"/>
            <w:noProof/>
          </w:rPr>
          <w:tab/>
        </w:r>
        <w:r w:rsidRPr="00B26410">
          <w:rPr>
            <w:rStyle w:val="Hyperlink"/>
            <w:noProof/>
          </w:rPr>
          <w:t>Design standards and industrial guidance</w:t>
        </w:r>
        <w:r w:rsidRPr="00EA5973">
          <w:rPr>
            <w:rStyle w:val="Hyperlink"/>
            <w:noProof/>
            <w:webHidden/>
          </w:rPr>
          <w:tab/>
        </w:r>
        <w:r w:rsidRPr="00EA5973">
          <w:rPr>
            <w:rStyle w:val="Hyperlink"/>
            <w:noProof/>
            <w:webHidden/>
          </w:rPr>
          <w:fldChar w:fldCharType="begin"/>
        </w:r>
        <w:r w:rsidRPr="00EA5973">
          <w:rPr>
            <w:rStyle w:val="Hyperlink"/>
            <w:noProof/>
            <w:webHidden/>
          </w:rPr>
          <w:instrText xml:space="preserve"> PAGEREF _Toc57895909 \h </w:instrText>
        </w:r>
        <w:r w:rsidRPr="00EA5973">
          <w:rPr>
            <w:rStyle w:val="Hyperlink"/>
            <w:noProof/>
            <w:webHidden/>
          </w:rPr>
        </w:r>
        <w:r w:rsidRPr="00EA5973">
          <w:rPr>
            <w:rStyle w:val="Hyperlink"/>
            <w:noProof/>
            <w:webHidden/>
          </w:rPr>
          <w:fldChar w:fldCharType="separate"/>
        </w:r>
        <w:r>
          <w:rPr>
            <w:rStyle w:val="Hyperlink"/>
            <w:noProof/>
            <w:webHidden/>
          </w:rPr>
          <w:t>31</w:t>
        </w:r>
        <w:r w:rsidRPr="00EA5973">
          <w:rPr>
            <w:rStyle w:val="Hyperlink"/>
            <w:noProof/>
            <w:webHidden/>
          </w:rPr>
          <w:fldChar w:fldCharType="end"/>
        </w:r>
      </w:hyperlink>
    </w:p>
    <w:p w14:paraId="51799A17" w14:textId="1920939B" w:rsidR="00EA5973" w:rsidRDefault="00EA5973">
      <w:pPr>
        <w:pStyle w:val="TOC1"/>
        <w:rPr>
          <w:rFonts w:asciiTheme="minorHAnsi" w:eastAsiaTheme="minorEastAsia" w:hAnsiTheme="minorHAnsi" w:cstheme="minorBidi"/>
          <w:caps w:val="0"/>
          <w:noProof/>
          <w:szCs w:val="22"/>
          <w:lang w:eastAsia="en-GB"/>
        </w:rPr>
      </w:pPr>
      <w:hyperlink w:anchor="_Toc57895910" w:history="1">
        <w:r w:rsidRPr="00B26410">
          <w:rPr>
            <w:rStyle w:val="Hyperlink"/>
            <w:rFonts w:cs="Arial"/>
            <w:noProof/>
          </w:rPr>
          <w:t>6.</w:t>
        </w:r>
        <w:r>
          <w:rPr>
            <w:rFonts w:asciiTheme="minorHAnsi" w:eastAsiaTheme="minorEastAsia" w:hAnsiTheme="minorHAnsi" w:cstheme="minorBidi"/>
            <w:caps w:val="0"/>
            <w:noProof/>
            <w:szCs w:val="22"/>
            <w:lang w:eastAsia="en-GB"/>
          </w:rPr>
          <w:tab/>
        </w:r>
        <w:r w:rsidRPr="00B26410">
          <w:rPr>
            <w:rStyle w:val="Hyperlink"/>
            <w:noProof/>
          </w:rPr>
          <w:t>references</w:t>
        </w:r>
        <w:r>
          <w:rPr>
            <w:noProof/>
            <w:webHidden/>
          </w:rPr>
          <w:tab/>
        </w:r>
        <w:r>
          <w:rPr>
            <w:noProof/>
            <w:webHidden/>
          </w:rPr>
          <w:fldChar w:fldCharType="begin"/>
        </w:r>
        <w:r>
          <w:rPr>
            <w:noProof/>
            <w:webHidden/>
          </w:rPr>
          <w:instrText xml:space="preserve"> PAGEREF _Toc57895910 \h </w:instrText>
        </w:r>
        <w:r>
          <w:rPr>
            <w:noProof/>
            <w:webHidden/>
          </w:rPr>
        </w:r>
        <w:r>
          <w:rPr>
            <w:noProof/>
            <w:webHidden/>
          </w:rPr>
          <w:fldChar w:fldCharType="separate"/>
        </w:r>
        <w:r>
          <w:rPr>
            <w:noProof/>
            <w:webHidden/>
          </w:rPr>
          <w:t>32</w:t>
        </w:r>
        <w:r>
          <w:rPr>
            <w:noProof/>
            <w:webHidden/>
          </w:rPr>
          <w:fldChar w:fldCharType="end"/>
        </w:r>
      </w:hyperlink>
    </w:p>
    <w:p w14:paraId="411941DE" w14:textId="408BF42D" w:rsidR="00EA5973" w:rsidRDefault="00EA5973">
      <w:pPr>
        <w:pStyle w:val="TOC1"/>
        <w:rPr>
          <w:rFonts w:asciiTheme="minorHAnsi" w:eastAsiaTheme="minorEastAsia" w:hAnsiTheme="minorHAnsi" w:cstheme="minorBidi"/>
          <w:caps w:val="0"/>
          <w:noProof/>
          <w:szCs w:val="22"/>
          <w:lang w:eastAsia="en-GB"/>
        </w:rPr>
      </w:pPr>
      <w:hyperlink w:anchor="_Toc57895911" w:history="1">
        <w:r w:rsidRPr="00B26410">
          <w:rPr>
            <w:rStyle w:val="Hyperlink"/>
            <w:noProof/>
          </w:rPr>
          <w:t>Table 1: WENRA Decommissioning Safety Reference Levels</w:t>
        </w:r>
        <w:r>
          <w:rPr>
            <w:noProof/>
            <w:webHidden/>
          </w:rPr>
          <w:tab/>
        </w:r>
        <w:r>
          <w:rPr>
            <w:noProof/>
            <w:webHidden/>
          </w:rPr>
          <w:fldChar w:fldCharType="begin"/>
        </w:r>
        <w:r>
          <w:rPr>
            <w:noProof/>
            <w:webHidden/>
          </w:rPr>
          <w:instrText xml:space="preserve"> PAGEREF _Toc57895911 \h </w:instrText>
        </w:r>
        <w:r>
          <w:rPr>
            <w:noProof/>
            <w:webHidden/>
          </w:rPr>
        </w:r>
        <w:r>
          <w:rPr>
            <w:noProof/>
            <w:webHidden/>
          </w:rPr>
          <w:fldChar w:fldCharType="separate"/>
        </w:r>
        <w:r>
          <w:rPr>
            <w:noProof/>
            <w:webHidden/>
          </w:rPr>
          <w:t>33</w:t>
        </w:r>
        <w:r>
          <w:rPr>
            <w:noProof/>
            <w:webHidden/>
          </w:rPr>
          <w:fldChar w:fldCharType="end"/>
        </w:r>
      </w:hyperlink>
    </w:p>
    <w:p w14:paraId="382B5A6D" w14:textId="0100AF81" w:rsidR="002F5007" w:rsidRDefault="002F5007" w:rsidP="002F5007">
      <w:pPr>
        <w:jc w:val="center"/>
        <w:rPr>
          <w:b/>
        </w:rPr>
      </w:pPr>
      <w:r>
        <w:rPr>
          <w:caps/>
        </w:rPr>
        <w:fldChar w:fldCharType="end"/>
      </w:r>
    </w:p>
    <w:p w14:paraId="0D47F2EE" w14:textId="77777777" w:rsidR="000E4C4F" w:rsidRDefault="000E4C4F">
      <w:pPr>
        <w:rPr>
          <w:rFonts w:ascii="Arial Bold" w:hAnsi="Arial Bold"/>
          <w:b/>
          <w:caps/>
        </w:rPr>
      </w:pPr>
      <w:r>
        <w:br w:type="page"/>
      </w:r>
    </w:p>
    <w:p w14:paraId="71F2C791" w14:textId="77777777" w:rsidR="00B62320" w:rsidRPr="00E125EA" w:rsidRDefault="00B62320" w:rsidP="00E125EA">
      <w:pPr>
        <w:pStyle w:val="TSHeadingNumbered1"/>
        <w:rPr>
          <w:rFonts w:cs="Arial"/>
        </w:rPr>
      </w:pPr>
      <w:bookmarkStart w:id="0" w:name="_Toc520367599"/>
      <w:bookmarkStart w:id="1" w:name="_Toc57895870"/>
      <w:r w:rsidRPr="00E125EA">
        <w:rPr>
          <w:rFonts w:cs="Arial"/>
        </w:rPr>
        <w:lastRenderedPageBreak/>
        <w:t>LIST OF ABBREVIATIONS</w:t>
      </w:r>
      <w:bookmarkEnd w:id="0"/>
      <w:bookmarkEnd w:id="1"/>
    </w:p>
    <w:p w14:paraId="4158E3A3" w14:textId="77777777" w:rsidR="000E4C4F" w:rsidRPr="00E125EA" w:rsidRDefault="000E4C4F" w:rsidP="00E125EA"/>
    <w:p w14:paraId="1BC2C96E" w14:textId="61FAE3A1" w:rsidR="004A5B0F" w:rsidRPr="004D0941" w:rsidRDefault="004D0941" w:rsidP="00E125EA">
      <w:pPr>
        <w:tabs>
          <w:tab w:val="left" w:pos="1134"/>
        </w:tabs>
        <w:spacing w:after="120"/>
      </w:pPr>
      <w:r w:rsidRPr="004D0941">
        <w:t>ACI</w:t>
      </w:r>
      <w:r w:rsidR="004A5B0F" w:rsidRPr="004D0941">
        <w:tab/>
        <w:t>American Concrete Institute</w:t>
      </w:r>
    </w:p>
    <w:p w14:paraId="704B82DC" w14:textId="516002B1" w:rsidR="000E4C4F" w:rsidRPr="00364DD3" w:rsidRDefault="00C32F33" w:rsidP="00E125EA">
      <w:pPr>
        <w:tabs>
          <w:tab w:val="left" w:pos="1134"/>
        </w:tabs>
        <w:spacing w:after="120"/>
      </w:pPr>
      <w:r w:rsidRPr="00364DD3">
        <w:t>BS</w:t>
      </w:r>
      <w:r w:rsidR="000E4C4F" w:rsidRPr="00364DD3">
        <w:tab/>
      </w:r>
      <w:r w:rsidRPr="00364DD3">
        <w:t>British Standards</w:t>
      </w:r>
    </w:p>
    <w:p w14:paraId="58AB827C" w14:textId="46B9B9F8" w:rsidR="0094533C" w:rsidRPr="004D0941" w:rsidRDefault="0094533C" w:rsidP="00E125EA">
      <w:pPr>
        <w:tabs>
          <w:tab w:val="left" w:pos="1134"/>
        </w:tabs>
        <w:spacing w:after="120"/>
      </w:pPr>
      <w:r w:rsidRPr="004D0941">
        <w:t>BS EN</w:t>
      </w:r>
      <w:r w:rsidRPr="004D0941">
        <w:tab/>
        <w:t>Eurocode Standards</w:t>
      </w:r>
    </w:p>
    <w:p w14:paraId="6312769F" w14:textId="565D9378" w:rsidR="004C5980" w:rsidRPr="004C5980" w:rsidRDefault="004C5980" w:rsidP="00E125EA">
      <w:pPr>
        <w:tabs>
          <w:tab w:val="left" w:pos="1134"/>
        </w:tabs>
        <w:spacing w:after="120"/>
      </w:pPr>
      <w:r w:rsidRPr="004C5980">
        <w:t>C&amp;M</w:t>
      </w:r>
      <w:r w:rsidRPr="004C5980">
        <w:tab/>
        <w:t>Care and maintenance</w:t>
      </w:r>
    </w:p>
    <w:p w14:paraId="43664C36" w14:textId="1AFB4A2B" w:rsidR="009E350D" w:rsidRPr="00A64ABA" w:rsidRDefault="009E350D" w:rsidP="00E125EA">
      <w:pPr>
        <w:tabs>
          <w:tab w:val="left" w:pos="1134"/>
        </w:tabs>
        <w:spacing w:after="120"/>
      </w:pPr>
      <w:r w:rsidRPr="00A64ABA">
        <w:t>EIMT</w:t>
      </w:r>
      <w:r w:rsidRPr="00A64ABA">
        <w:tab/>
        <w:t xml:space="preserve">Examination, </w:t>
      </w:r>
      <w:r w:rsidR="0046504A" w:rsidRPr="00A64ABA">
        <w:t>Inspection, Maintenance and T</w:t>
      </w:r>
      <w:r w:rsidR="006E66AF" w:rsidRPr="00A64ABA">
        <w:t>esting</w:t>
      </w:r>
    </w:p>
    <w:p w14:paraId="59DCDB58" w14:textId="08D7B4E9" w:rsidR="00C21C79" w:rsidRPr="004D0941" w:rsidRDefault="00C21C79" w:rsidP="00E125EA">
      <w:pPr>
        <w:tabs>
          <w:tab w:val="left" w:pos="1134"/>
        </w:tabs>
        <w:spacing w:after="120"/>
      </w:pPr>
      <w:r w:rsidRPr="004D0941">
        <w:t>HSE</w:t>
      </w:r>
      <w:r w:rsidRPr="004D0941">
        <w:tab/>
        <w:t>Health &amp; Safety Executive</w:t>
      </w:r>
    </w:p>
    <w:p w14:paraId="2D509CC0" w14:textId="77777777" w:rsidR="000E4C4F" w:rsidRPr="00F37427" w:rsidRDefault="000E4C4F" w:rsidP="00E125EA">
      <w:pPr>
        <w:tabs>
          <w:tab w:val="left" w:pos="1134"/>
        </w:tabs>
        <w:spacing w:after="120"/>
      </w:pPr>
      <w:r w:rsidRPr="00F37427">
        <w:t>IAEA</w:t>
      </w:r>
      <w:r w:rsidRPr="00F37427">
        <w:tab/>
        <w:t>International Atomic Energy Agency</w:t>
      </w:r>
    </w:p>
    <w:p w14:paraId="1E0E62AC" w14:textId="77777777" w:rsidR="000E4C4F" w:rsidRDefault="000E4C4F" w:rsidP="00E125EA">
      <w:pPr>
        <w:tabs>
          <w:tab w:val="left" w:pos="1134"/>
        </w:tabs>
        <w:spacing w:after="120"/>
      </w:pPr>
      <w:r w:rsidRPr="00A778D9">
        <w:t>LC</w:t>
      </w:r>
      <w:r w:rsidRPr="00A778D9">
        <w:tab/>
        <w:t>Licence Condition</w:t>
      </w:r>
    </w:p>
    <w:p w14:paraId="46F4DF4C" w14:textId="77777777" w:rsidR="000E4C4F" w:rsidRPr="004D0941" w:rsidRDefault="000E4C4F" w:rsidP="00E125EA">
      <w:pPr>
        <w:tabs>
          <w:tab w:val="left" w:pos="1134"/>
        </w:tabs>
        <w:spacing w:after="120"/>
      </w:pPr>
      <w:r w:rsidRPr="004D0941">
        <w:t>ONR</w:t>
      </w:r>
      <w:r w:rsidRPr="004D0941">
        <w:tab/>
        <w:t>Office for Nuclear Regulation</w:t>
      </w:r>
    </w:p>
    <w:p w14:paraId="155B59BC" w14:textId="25769551" w:rsidR="00227E55" w:rsidRDefault="00227E55" w:rsidP="00E125EA">
      <w:pPr>
        <w:tabs>
          <w:tab w:val="left" w:pos="1134"/>
        </w:tabs>
        <w:spacing w:after="120"/>
      </w:pPr>
      <w:r>
        <w:t>OPEX</w:t>
      </w:r>
      <w:r>
        <w:tab/>
      </w:r>
      <w:r w:rsidR="00EA12F3">
        <w:t>o</w:t>
      </w:r>
      <w:r>
        <w:t xml:space="preserve">perational </w:t>
      </w:r>
      <w:r w:rsidR="00EA12F3">
        <w:t>e</w:t>
      </w:r>
      <w:r>
        <w:t>xperience</w:t>
      </w:r>
    </w:p>
    <w:p w14:paraId="51413B5C" w14:textId="4E8F1B2D" w:rsidR="004C5980" w:rsidRDefault="004C5980" w:rsidP="00E125EA">
      <w:pPr>
        <w:tabs>
          <w:tab w:val="left" w:pos="1134"/>
        </w:tabs>
        <w:spacing w:after="120"/>
      </w:pPr>
      <w:r>
        <w:t>POCO</w:t>
      </w:r>
      <w:r>
        <w:tab/>
        <w:t>Post Operational Clean Out</w:t>
      </w:r>
    </w:p>
    <w:p w14:paraId="7C1C8295" w14:textId="3C573054" w:rsidR="000E4C4F" w:rsidRPr="004C5980" w:rsidRDefault="000E4C4F" w:rsidP="00E125EA">
      <w:pPr>
        <w:tabs>
          <w:tab w:val="left" w:pos="1134"/>
        </w:tabs>
        <w:spacing w:after="120"/>
      </w:pPr>
      <w:r w:rsidRPr="004C5980">
        <w:t>SAP</w:t>
      </w:r>
      <w:r w:rsidR="00F3652C">
        <w:t>(s)</w:t>
      </w:r>
      <w:r w:rsidR="00E2007F" w:rsidRPr="004C5980">
        <w:tab/>
        <w:t>Safety Assessment Principle(s)</w:t>
      </w:r>
    </w:p>
    <w:p w14:paraId="6CCA905A" w14:textId="23A33BF3" w:rsidR="008141FE" w:rsidRPr="00A64ABA" w:rsidRDefault="008141FE" w:rsidP="00E125EA">
      <w:pPr>
        <w:tabs>
          <w:tab w:val="left" w:pos="1134"/>
        </w:tabs>
        <w:spacing w:after="120"/>
      </w:pPr>
      <w:r w:rsidRPr="00A64ABA">
        <w:t>S</w:t>
      </w:r>
      <w:r w:rsidR="009A1A43" w:rsidRPr="00A64ABA">
        <w:t>QEP</w:t>
      </w:r>
      <w:r w:rsidRPr="00A64ABA">
        <w:tab/>
      </w:r>
      <w:r w:rsidR="009A1A43" w:rsidRPr="00A64ABA">
        <w:t>Suitably qualified and experienced person</w:t>
      </w:r>
      <w:r w:rsidR="00DF303A">
        <w:t>nel</w:t>
      </w:r>
    </w:p>
    <w:p w14:paraId="3210C136" w14:textId="2A79B02D" w:rsidR="000E4C4F" w:rsidRPr="002B6159" w:rsidRDefault="000E4C4F" w:rsidP="00E125EA">
      <w:pPr>
        <w:tabs>
          <w:tab w:val="left" w:pos="1134"/>
        </w:tabs>
        <w:spacing w:after="120"/>
      </w:pPr>
      <w:r w:rsidRPr="002B6159">
        <w:t>SSC</w:t>
      </w:r>
      <w:r w:rsidR="00F3652C">
        <w:t>(s)</w:t>
      </w:r>
      <w:r w:rsidRPr="002B6159">
        <w:tab/>
      </w:r>
      <w:r w:rsidR="00EA12F3">
        <w:t>s</w:t>
      </w:r>
      <w:r w:rsidRPr="002B6159">
        <w:t>tructure</w:t>
      </w:r>
      <w:r w:rsidR="00EA12F3">
        <w:t>(s)</w:t>
      </w:r>
      <w:r w:rsidRPr="002B6159">
        <w:t xml:space="preserve">, </w:t>
      </w:r>
      <w:r w:rsidR="00EA12F3">
        <w:t>s</w:t>
      </w:r>
      <w:r w:rsidRPr="002B6159">
        <w:t>ystem</w:t>
      </w:r>
      <w:r w:rsidR="00EA12F3">
        <w:t>(s)</w:t>
      </w:r>
      <w:r w:rsidRPr="002B6159">
        <w:t xml:space="preserve"> and </w:t>
      </w:r>
      <w:r w:rsidR="00EA12F3">
        <w:t>c</w:t>
      </w:r>
      <w:r w:rsidRPr="002B6159">
        <w:t>omponent</w:t>
      </w:r>
      <w:r w:rsidR="00F3652C">
        <w:t>(s)</w:t>
      </w:r>
    </w:p>
    <w:p w14:paraId="47D0F97A" w14:textId="296D098F" w:rsidR="000E4C4F" w:rsidRDefault="000E4C4F" w:rsidP="00E125EA">
      <w:pPr>
        <w:tabs>
          <w:tab w:val="left" w:pos="1134"/>
        </w:tabs>
        <w:spacing w:after="120"/>
      </w:pPr>
      <w:r w:rsidRPr="004C5980">
        <w:t>TAG</w:t>
      </w:r>
      <w:r w:rsidR="00F3652C">
        <w:t>(s)</w:t>
      </w:r>
      <w:r w:rsidR="00DF303A">
        <w:t xml:space="preserve"> #</w:t>
      </w:r>
      <w:r w:rsidRPr="004C5980">
        <w:tab/>
        <w:t xml:space="preserve">Technical Assessment Guide(s) </w:t>
      </w:r>
      <w:r w:rsidR="00DF303A">
        <w:t xml:space="preserve">reference # </w:t>
      </w:r>
      <w:r w:rsidRPr="004C5980">
        <w:t>(ONR</w:t>
      </w:r>
      <w:r w:rsidR="00DF303A">
        <w:t xml:space="preserve"> internal guidance documents</w:t>
      </w:r>
      <w:r w:rsidRPr="004C5980">
        <w:t>)</w:t>
      </w:r>
    </w:p>
    <w:p w14:paraId="51A52E65" w14:textId="7FB3A9DE" w:rsidR="00787A1D" w:rsidRDefault="001E624D" w:rsidP="00E125EA">
      <w:pPr>
        <w:tabs>
          <w:tab w:val="left" w:pos="1134"/>
        </w:tabs>
        <w:spacing w:after="120"/>
      </w:pPr>
      <w:r>
        <w:t>UK</w:t>
      </w:r>
      <w:r w:rsidR="00787A1D">
        <w:tab/>
        <w:t>United Kingdom</w:t>
      </w:r>
    </w:p>
    <w:p w14:paraId="10F81A8D" w14:textId="1B14855B" w:rsidR="00E67477" w:rsidRDefault="00E67477" w:rsidP="00E125EA">
      <w:pPr>
        <w:tabs>
          <w:tab w:val="left" w:pos="1134"/>
        </w:tabs>
        <w:spacing w:after="120"/>
      </w:pPr>
      <w:r>
        <w:t>WENRA</w:t>
      </w:r>
      <w:r>
        <w:tab/>
      </w:r>
      <w:r w:rsidRPr="00BD27CB">
        <w:t>Western European Nuclear Regulators</w:t>
      </w:r>
      <w:r w:rsidR="00EA12F3">
        <w:t>’</w:t>
      </w:r>
      <w:r w:rsidRPr="00BD27CB">
        <w:t xml:space="preserve"> Association</w:t>
      </w:r>
    </w:p>
    <w:p w14:paraId="7D4CBCD0" w14:textId="5CA99E4B" w:rsidR="00EA12F3" w:rsidRPr="004C5980" w:rsidRDefault="00EA12F3" w:rsidP="00E125EA">
      <w:pPr>
        <w:tabs>
          <w:tab w:val="left" w:pos="1134"/>
        </w:tabs>
        <w:spacing w:after="120"/>
      </w:pPr>
      <w:r>
        <w:t>WGWD</w:t>
      </w:r>
      <w:r>
        <w:tab/>
        <w:t>Working Gr</w:t>
      </w:r>
      <w:r w:rsidR="00DF303A">
        <w:t>o</w:t>
      </w:r>
      <w:r>
        <w:t>up on Waste and Decommissioning</w:t>
      </w:r>
    </w:p>
    <w:p w14:paraId="7F1417C9" w14:textId="77777777" w:rsidR="008E4274" w:rsidRPr="00E125EA" w:rsidRDefault="008E4274" w:rsidP="00E125EA">
      <w:r w:rsidRPr="00E125EA">
        <w:br w:type="page"/>
      </w:r>
    </w:p>
    <w:p w14:paraId="465FFC67" w14:textId="61847BD3" w:rsidR="008E4274" w:rsidRPr="00E125EA" w:rsidRDefault="008E4274" w:rsidP="00E125EA">
      <w:pPr>
        <w:pStyle w:val="TSHeadingNumbered1"/>
      </w:pPr>
      <w:bookmarkStart w:id="2" w:name="_Toc57895871"/>
      <w:r w:rsidRPr="00E125EA">
        <w:lastRenderedPageBreak/>
        <w:t>GLOSSARY</w:t>
      </w:r>
      <w:bookmarkEnd w:id="2"/>
    </w:p>
    <w:tbl>
      <w:tblPr>
        <w:tblW w:w="9283" w:type="dxa"/>
        <w:tblInd w:w="58" w:type="dxa"/>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1843"/>
        <w:gridCol w:w="6306"/>
        <w:gridCol w:w="1134"/>
      </w:tblGrid>
      <w:tr w:rsidR="00A81202" w:rsidRPr="00E125EA" w14:paraId="05EE0B01" w14:textId="310740BF" w:rsidTr="002B1AA5">
        <w:tc>
          <w:tcPr>
            <w:tcW w:w="1843" w:type="dxa"/>
            <w:tcBorders>
              <w:right w:val="single" w:sz="4" w:space="0" w:color="FFFFFF" w:themeColor="background1"/>
            </w:tcBorders>
            <w:shd w:val="clear" w:color="auto" w:fill="006D68"/>
          </w:tcPr>
          <w:p w14:paraId="0FE78946" w14:textId="77777777" w:rsidR="00A81202" w:rsidRPr="00E125EA" w:rsidRDefault="00A81202" w:rsidP="00C424A2">
            <w:pPr>
              <w:rPr>
                <w:b/>
                <w:color w:val="FFFFFF"/>
                <w:sz w:val="20"/>
                <w:szCs w:val="20"/>
              </w:rPr>
            </w:pPr>
            <w:r w:rsidRPr="00E125EA">
              <w:rPr>
                <w:b/>
                <w:color w:val="FFFFFF"/>
                <w:sz w:val="20"/>
                <w:szCs w:val="20"/>
              </w:rPr>
              <w:t>Term</w:t>
            </w:r>
            <w:r w:rsidRPr="00E125EA">
              <w:rPr>
                <w:b/>
                <w:color w:val="FFFFFF"/>
                <w:sz w:val="20"/>
                <w:szCs w:val="20"/>
              </w:rPr>
              <w:tab/>
            </w:r>
          </w:p>
        </w:tc>
        <w:tc>
          <w:tcPr>
            <w:tcW w:w="6306" w:type="dxa"/>
            <w:tcBorders>
              <w:left w:val="single" w:sz="4" w:space="0" w:color="FFFFFF" w:themeColor="background1"/>
            </w:tcBorders>
            <w:shd w:val="clear" w:color="auto" w:fill="006D68"/>
          </w:tcPr>
          <w:p w14:paraId="4089EA4B" w14:textId="77777777" w:rsidR="00A81202" w:rsidRPr="00E125EA" w:rsidRDefault="00A81202" w:rsidP="00E125EA">
            <w:pPr>
              <w:rPr>
                <w:b/>
                <w:color w:val="FFFFFF"/>
                <w:sz w:val="20"/>
                <w:szCs w:val="20"/>
              </w:rPr>
            </w:pPr>
            <w:r w:rsidRPr="00E125EA">
              <w:rPr>
                <w:b/>
                <w:color w:val="FFFFFF"/>
                <w:sz w:val="20"/>
                <w:szCs w:val="20"/>
              </w:rPr>
              <w:t>Description</w:t>
            </w:r>
          </w:p>
        </w:tc>
        <w:tc>
          <w:tcPr>
            <w:tcW w:w="1134" w:type="dxa"/>
            <w:tcBorders>
              <w:left w:val="single" w:sz="4" w:space="0" w:color="FFFFFF" w:themeColor="background1"/>
            </w:tcBorders>
            <w:shd w:val="clear" w:color="auto" w:fill="006D68"/>
          </w:tcPr>
          <w:p w14:paraId="7E4BBF98" w14:textId="32550B78" w:rsidR="00A81202" w:rsidRPr="00E125EA" w:rsidRDefault="00A81202" w:rsidP="002716CC">
            <w:pPr>
              <w:rPr>
                <w:b/>
                <w:color w:val="FFFFFF"/>
                <w:sz w:val="20"/>
                <w:szCs w:val="20"/>
              </w:rPr>
            </w:pPr>
            <w:r>
              <w:rPr>
                <w:b/>
                <w:color w:val="FFFFFF"/>
                <w:sz w:val="20"/>
                <w:szCs w:val="20"/>
              </w:rPr>
              <w:t>Source</w:t>
            </w:r>
          </w:p>
        </w:tc>
      </w:tr>
      <w:tr w:rsidR="00A81202" w:rsidRPr="00E125EA" w14:paraId="408402E9" w14:textId="2FF88725"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1828CAFB" w14:textId="2B5A9074" w:rsidR="00A81202" w:rsidRPr="002C6B03" w:rsidRDefault="00A81202" w:rsidP="00C424A2">
            <w:pPr>
              <w:autoSpaceDE w:val="0"/>
              <w:autoSpaceDN w:val="0"/>
              <w:adjustRightInd w:val="0"/>
              <w:rPr>
                <w:sz w:val="18"/>
                <w:szCs w:val="18"/>
              </w:rPr>
            </w:pPr>
            <w:r>
              <w:rPr>
                <w:sz w:val="18"/>
                <w:szCs w:val="18"/>
              </w:rPr>
              <w:t>Ageing</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FFFB9B3" w14:textId="6149F3AE" w:rsidR="00A81202" w:rsidRPr="00EA12F3" w:rsidRDefault="00A81202" w:rsidP="002716CC">
            <w:pPr>
              <w:autoSpaceDE w:val="0"/>
              <w:autoSpaceDN w:val="0"/>
              <w:adjustRightInd w:val="0"/>
              <w:jc w:val="both"/>
              <w:rPr>
                <w:sz w:val="18"/>
                <w:szCs w:val="18"/>
              </w:rPr>
            </w:pPr>
            <w:r w:rsidRPr="00EA12F3">
              <w:rPr>
                <w:sz w:val="18"/>
                <w:szCs w:val="18"/>
              </w:rPr>
              <w:t>General process in which characteristics of a structure, system or component gradually change with time or use.</w:t>
            </w:r>
          </w:p>
        </w:tc>
        <w:tc>
          <w:tcPr>
            <w:tcW w:w="1134" w:type="dxa"/>
            <w:tcBorders>
              <w:top w:val="single" w:sz="12" w:space="0" w:color="006D68"/>
              <w:left w:val="single" w:sz="12" w:space="0" w:color="006D68"/>
              <w:bottom w:val="single" w:sz="12" w:space="0" w:color="006D68"/>
              <w:right w:val="single" w:sz="12" w:space="0" w:color="006D68"/>
            </w:tcBorders>
          </w:tcPr>
          <w:p w14:paraId="6C656171" w14:textId="1160F18A" w:rsidR="00A81202" w:rsidRDefault="00A81202" w:rsidP="002716CC">
            <w:pPr>
              <w:autoSpaceDE w:val="0"/>
              <w:autoSpaceDN w:val="0"/>
              <w:adjustRightInd w:val="0"/>
              <w:rPr>
                <w:sz w:val="18"/>
                <w:szCs w:val="18"/>
              </w:rPr>
            </w:pPr>
            <w:r>
              <w:rPr>
                <w:sz w:val="18"/>
                <w:szCs w:val="18"/>
              </w:rPr>
              <w:t>WENRA Decommissioning</w:t>
            </w:r>
            <w:r w:rsidR="003A5F69">
              <w:rPr>
                <w:sz w:val="18"/>
                <w:szCs w:val="18"/>
              </w:rPr>
              <w:t xml:space="preserve"> Safety</w:t>
            </w:r>
            <w:r>
              <w:rPr>
                <w:sz w:val="18"/>
                <w:szCs w:val="18"/>
              </w:rPr>
              <w:t xml:space="preserve"> Reference Levels</w:t>
            </w:r>
            <w:r w:rsidR="003A5F69">
              <w:rPr>
                <w:sz w:val="18"/>
                <w:szCs w:val="18"/>
              </w:rPr>
              <w:t xml:space="preserve"> (DSRL)</w:t>
            </w:r>
          </w:p>
        </w:tc>
      </w:tr>
      <w:tr w:rsidR="00A81202" w:rsidRPr="00E125EA" w14:paraId="53018F03" w14:textId="1232A4DD"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614B04E8" w14:textId="1702A49D" w:rsidR="00A81202" w:rsidRDefault="00A81202" w:rsidP="00C424A2">
            <w:pPr>
              <w:autoSpaceDE w:val="0"/>
              <w:autoSpaceDN w:val="0"/>
              <w:adjustRightInd w:val="0"/>
              <w:rPr>
                <w:sz w:val="18"/>
                <w:szCs w:val="18"/>
              </w:rPr>
            </w:pPr>
            <w:r>
              <w:rPr>
                <w:sz w:val="18"/>
                <w:szCs w:val="18"/>
              </w:rPr>
              <w:t xml:space="preserve">Ageing Management </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16082F0C" w14:textId="7F7E3A47" w:rsidR="00A81202" w:rsidRPr="00EA12F3" w:rsidRDefault="00A81202" w:rsidP="002716CC">
            <w:pPr>
              <w:autoSpaceDE w:val="0"/>
              <w:autoSpaceDN w:val="0"/>
              <w:adjustRightInd w:val="0"/>
              <w:jc w:val="both"/>
              <w:rPr>
                <w:sz w:val="18"/>
                <w:szCs w:val="18"/>
              </w:rPr>
            </w:pPr>
            <w:r w:rsidRPr="00EA12F3">
              <w:rPr>
                <w:sz w:val="18"/>
                <w:szCs w:val="18"/>
              </w:rPr>
              <w:t>Engineering, operations and maintenance actions to control within acceptable limits the ageing degradation of structures, systems or components.</w:t>
            </w:r>
          </w:p>
        </w:tc>
        <w:tc>
          <w:tcPr>
            <w:tcW w:w="1134" w:type="dxa"/>
            <w:tcBorders>
              <w:top w:val="single" w:sz="12" w:space="0" w:color="006D68"/>
              <w:left w:val="single" w:sz="12" w:space="0" w:color="006D68"/>
              <w:bottom w:val="single" w:sz="12" w:space="0" w:color="006D68"/>
              <w:right w:val="single" w:sz="12" w:space="0" w:color="006D68"/>
            </w:tcBorders>
          </w:tcPr>
          <w:p w14:paraId="3BEB5E6B" w14:textId="5119651A" w:rsidR="00A81202" w:rsidRDefault="003A5F69" w:rsidP="002716CC">
            <w:pPr>
              <w:autoSpaceDE w:val="0"/>
              <w:autoSpaceDN w:val="0"/>
              <w:adjustRightInd w:val="0"/>
              <w:rPr>
                <w:sz w:val="18"/>
                <w:szCs w:val="18"/>
              </w:rPr>
            </w:pPr>
            <w:r>
              <w:rPr>
                <w:sz w:val="18"/>
                <w:szCs w:val="18"/>
              </w:rPr>
              <w:t>WENRA DSRL</w:t>
            </w:r>
          </w:p>
        </w:tc>
      </w:tr>
      <w:tr w:rsidR="00A81202" w:rsidRPr="00E125EA" w14:paraId="1A3B9D61" w14:textId="29C8DC8A"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1916C2F6" w14:textId="7C114BDB" w:rsidR="00A81202" w:rsidRDefault="00A81202" w:rsidP="00C424A2">
            <w:pPr>
              <w:autoSpaceDE w:val="0"/>
              <w:autoSpaceDN w:val="0"/>
              <w:adjustRightInd w:val="0"/>
              <w:rPr>
                <w:sz w:val="18"/>
                <w:szCs w:val="18"/>
              </w:rPr>
            </w:pPr>
            <w:r>
              <w:rPr>
                <w:sz w:val="18"/>
                <w:szCs w:val="18"/>
              </w:rPr>
              <w:t>Care and Maintenance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1942296B" w14:textId="2898CB13" w:rsidR="00A81202" w:rsidRDefault="00A81202" w:rsidP="002716CC">
            <w:pPr>
              <w:autoSpaceDE w:val="0"/>
              <w:autoSpaceDN w:val="0"/>
              <w:adjustRightInd w:val="0"/>
              <w:jc w:val="both"/>
              <w:rPr>
                <w:sz w:val="18"/>
                <w:szCs w:val="18"/>
              </w:rPr>
            </w:pPr>
            <w:r w:rsidRPr="00150A69">
              <w:rPr>
                <w:sz w:val="18"/>
                <w:szCs w:val="18"/>
              </w:rPr>
              <w:t>A phase within the decommissioning stage of a facility, for</w:t>
            </w:r>
            <w:r>
              <w:rPr>
                <w:sz w:val="18"/>
                <w:szCs w:val="18"/>
              </w:rPr>
              <w:t xml:space="preserve"> </w:t>
            </w:r>
            <w:r w:rsidRPr="00150A69">
              <w:rPr>
                <w:sz w:val="18"/>
                <w:szCs w:val="18"/>
              </w:rPr>
              <w:t>which the deferral of further decommissioning has been</w:t>
            </w:r>
            <w:r>
              <w:rPr>
                <w:sz w:val="18"/>
                <w:szCs w:val="18"/>
              </w:rPr>
              <w:t xml:space="preserve"> </w:t>
            </w:r>
            <w:r w:rsidRPr="00150A69">
              <w:rPr>
                <w:sz w:val="18"/>
                <w:szCs w:val="18"/>
              </w:rPr>
              <w:t>substantiated, and for which safety is maintained by passively</w:t>
            </w:r>
            <w:r>
              <w:rPr>
                <w:sz w:val="18"/>
                <w:szCs w:val="18"/>
              </w:rPr>
              <w:t xml:space="preserve"> </w:t>
            </w:r>
            <w:r w:rsidRPr="00150A69">
              <w:rPr>
                <w:sz w:val="18"/>
                <w:szCs w:val="18"/>
              </w:rPr>
              <w:t>safe means and an approp</w:t>
            </w:r>
            <w:r>
              <w:rPr>
                <w:sz w:val="18"/>
                <w:szCs w:val="18"/>
              </w:rPr>
              <w:t>r</w:t>
            </w:r>
            <w:r w:rsidRPr="00150A69">
              <w:rPr>
                <w:sz w:val="18"/>
                <w:szCs w:val="18"/>
              </w:rPr>
              <w:t>iate examination, inspection,</w:t>
            </w:r>
            <w:r>
              <w:rPr>
                <w:sz w:val="18"/>
                <w:szCs w:val="18"/>
              </w:rPr>
              <w:t xml:space="preserve"> </w:t>
            </w:r>
            <w:r w:rsidRPr="00150A69">
              <w:rPr>
                <w:sz w:val="18"/>
                <w:szCs w:val="18"/>
              </w:rPr>
              <w:t>maintenance and testing programme.</w:t>
            </w:r>
          </w:p>
        </w:tc>
        <w:tc>
          <w:tcPr>
            <w:tcW w:w="1134" w:type="dxa"/>
            <w:tcBorders>
              <w:top w:val="single" w:sz="12" w:space="0" w:color="006D68"/>
              <w:left w:val="single" w:sz="12" w:space="0" w:color="006D68"/>
              <w:bottom w:val="single" w:sz="12" w:space="0" w:color="006D68"/>
              <w:right w:val="single" w:sz="12" w:space="0" w:color="006D68"/>
            </w:tcBorders>
          </w:tcPr>
          <w:p w14:paraId="19C165BD" w14:textId="5731FECF" w:rsidR="00A81202" w:rsidRPr="00150A69" w:rsidRDefault="00A81202" w:rsidP="002716CC">
            <w:pPr>
              <w:autoSpaceDE w:val="0"/>
              <w:autoSpaceDN w:val="0"/>
              <w:adjustRightInd w:val="0"/>
              <w:rPr>
                <w:sz w:val="18"/>
                <w:szCs w:val="18"/>
              </w:rPr>
            </w:pPr>
            <w:r>
              <w:rPr>
                <w:sz w:val="18"/>
                <w:szCs w:val="18"/>
              </w:rPr>
              <w:t>For this purpose of this document only</w:t>
            </w:r>
          </w:p>
        </w:tc>
      </w:tr>
      <w:tr w:rsidR="00F64D04" w:rsidRPr="00E125EA" w14:paraId="16AD7C27" w14:textId="77777777" w:rsidTr="00C64D3C">
        <w:trPr>
          <w:trHeight w:val="621"/>
        </w:trPr>
        <w:tc>
          <w:tcPr>
            <w:tcW w:w="1843" w:type="dxa"/>
            <w:vMerge w:val="restart"/>
            <w:tcBorders>
              <w:top w:val="single" w:sz="12" w:space="0" w:color="006D68"/>
              <w:left w:val="single" w:sz="12" w:space="0" w:color="006D68"/>
              <w:right w:val="single" w:sz="12" w:space="0" w:color="006D68"/>
            </w:tcBorders>
            <w:vAlign w:val="center"/>
          </w:tcPr>
          <w:p w14:paraId="604D3AC8" w14:textId="3B2739AA" w:rsidR="00F64D04" w:rsidRDefault="00F64D04" w:rsidP="00C424A2">
            <w:pPr>
              <w:autoSpaceDE w:val="0"/>
              <w:autoSpaceDN w:val="0"/>
              <w:adjustRightInd w:val="0"/>
              <w:rPr>
                <w:sz w:val="18"/>
                <w:szCs w:val="18"/>
              </w:rPr>
            </w:pPr>
            <w:r>
              <w:rPr>
                <w:sz w:val="18"/>
                <w:szCs w:val="18"/>
              </w:rPr>
              <w:t>Construction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ADBF88F" w14:textId="11CC4D95" w:rsidR="00F64D04" w:rsidRPr="002716CC" w:rsidRDefault="00F64D04" w:rsidP="002716CC">
            <w:pPr>
              <w:pStyle w:val="CommentText"/>
              <w:autoSpaceDE w:val="0"/>
              <w:autoSpaceDN w:val="0"/>
              <w:adjustRightInd w:val="0"/>
              <w:jc w:val="both"/>
              <w:rPr>
                <w:sz w:val="18"/>
                <w:szCs w:val="18"/>
              </w:rPr>
            </w:pPr>
            <w:r w:rsidRPr="002716CC">
              <w:rPr>
                <w:sz w:val="18"/>
                <w:szCs w:val="18"/>
              </w:rPr>
              <w:t>“construction work” means the carrying out of any building, civil engineering or engineering construction work and includes—</w:t>
            </w:r>
          </w:p>
          <w:p w14:paraId="13DB82EF"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(a) the construction, alteration, conversion, fitting out, commissioning, renovation, repair, upkeep, redecoration or other maintenance (including</w:t>
            </w:r>
          </w:p>
          <w:p w14:paraId="673ABD66"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cleaning which involves the use of water or an abrasive at high pressure, or the use of corrosive or toxic substances), de-commissioning, demolition or dismantling of a structure;</w:t>
            </w:r>
          </w:p>
          <w:p w14:paraId="5380E332"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(b) the preparation for an intended structure, including site clearance, exploration, investigation (but not site survey) and excavation (but not pre-construction archaeological investigations), and the clearance or</w:t>
            </w:r>
          </w:p>
          <w:p w14:paraId="1298D9A5"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preparation of the site or structure for use or occupation at its conclusion;</w:t>
            </w:r>
          </w:p>
          <w:p w14:paraId="0CE258AD"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(c) the assembly on site of prefabricated elements to form a structure or the disassembly on site of the prefabricated elements which, immediately before such disassembly, formed a structure;</w:t>
            </w:r>
          </w:p>
          <w:p w14:paraId="62708E22"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(d) the removal of a structure, or of any product or waste resulting from demolition or dismantling of a structure, or from disassembly of prefabricated elements which immediately before such disassembly</w:t>
            </w:r>
          </w:p>
          <w:p w14:paraId="13098B6A"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formed such a structure;</w:t>
            </w:r>
          </w:p>
          <w:p w14:paraId="0DD500E5" w14:textId="70362BE9" w:rsidR="00F64D04" w:rsidRPr="002716CC" w:rsidRDefault="00F64D04" w:rsidP="002716CC">
            <w:pPr>
              <w:autoSpaceDE w:val="0"/>
              <w:autoSpaceDN w:val="0"/>
              <w:adjustRightInd w:val="0"/>
              <w:jc w:val="both"/>
              <w:rPr>
                <w:sz w:val="18"/>
                <w:szCs w:val="18"/>
              </w:rPr>
            </w:pPr>
            <w:r w:rsidRPr="002716CC">
              <w:rPr>
                <w:sz w:val="18"/>
                <w:szCs w:val="18"/>
              </w:rPr>
              <w:t>(e) the installation, commissioning, maintenance, repair or removal of mechanical, electrical, gas, compressed air, hydraulic, telecommunications, computer or similar services which are normally fixed within or to a structure, but does not include the exploration for, or extraction of, mineral resources, or preparatory activities carried out at a place where such exploration or extraction is carried out</w:t>
            </w:r>
          </w:p>
        </w:tc>
        <w:tc>
          <w:tcPr>
            <w:tcW w:w="1134" w:type="dxa"/>
            <w:tcBorders>
              <w:top w:val="single" w:sz="12" w:space="0" w:color="006D68"/>
              <w:left w:val="single" w:sz="12" w:space="0" w:color="006D68"/>
              <w:bottom w:val="single" w:sz="12" w:space="0" w:color="006D68"/>
              <w:right w:val="single" w:sz="12" w:space="0" w:color="006D68"/>
            </w:tcBorders>
          </w:tcPr>
          <w:p w14:paraId="3F901CCB" w14:textId="0ADF0F5D" w:rsidR="00F64D04" w:rsidRDefault="00F64D04" w:rsidP="002716CC">
            <w:pPr>
              <w:autoSpaceDE w:val="0"/>
              <w:autoSpaceDN w:val="0"/>
              <w:adjustRightInd w:val="0"/>
              <w:rPr>
                <w:sz w:val="18"/>
                <w:szCs w:val="18"/>
              </w:rPr>
            </w:pPr>
            <w:r>
              <w:rPr>
                <w:sz w:val="18"/>
                <w:szCs w:val="18"/>
              </w:rPr>
              <w:t>CDM2015</w:t>
            </w:r>
          </w:p>
        </w:tc>
      </w:tr>
      <w:tr w:rsidR="00F64D04" w:rsidRPr="00E125EA" w14:paraId="5A4C2069" w14:textId="77777777" w:rsidTr="00C64D3C">
        <w:trPr>
          <w:trHeight w:val="621"/>
        </w:trPr>
        <w:tc>
          <w:tcPr>
            <w:tcW w:w="1843" w:type="dxa"/>
            <w:vMerge/>
            <w:tcBorders>
              <w:left w:val="single" w:sz="12" w:space="0" w:color="006D68"/>
              <w:bottom w:val="single" w:sz="12" w:space="0" w:color="006D68"/>
              <w:right w:val="single" w:sz="12" w:space="0" w:color="006D68"/>
            </w:tcBorders>
            <w:vAlign w:val="center"/>
          </w:tcPr>
          <w:p w14:paraId="7B0C38E8" w14:textId="77777777" w:rsidR="00F64D04" w:rsidRDefault="00F64D04" w:rsidP="00C424A2">
            <w:pPr>
              <w:autoSpaceDE w:val="0"/>
              <w:autoSpaceDN w:val="0"/>
              <w:adjustRightInd w:val="0"/>
              <w:rPr>
                <w:sz w:val="18"/>
                <w:szCs w:val="18"/>
              </w:rPr>
            </w:pPr>
          </w:p>
        </w:tc>
        <w:tc>
          <w:tcPr>
            <w:tcW w:w="6306" w:type="dxa"/>
            <w:tcBorders>
              <w:top w:val="single" w:sz="12" w:space="0" w:color="006D68"/>
              <w:left w:val="single" w:sz="12" w:space="0" w:color="006D68"/>
              <w:bottom w:val="single" w:sz="12" w:space="0" w:color="006D68"/>
              <w:right w:val="single" w:sz="12" w:space="0" w:color="006D68"/>
            </w:tcBorders>
            <w:vAlign w:val="center"/>
          </w:tcPr>
          <w:p w14:paraId="6F6B5C1D"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The activities related to installation or building, modifying, testing, remediating, repairing, renovating, repurposing, alteration, refurbishment, replacement, maintaining, decommissioning, decontamination, dismantling or demolishing a civil engineering structure, system or component.</w:t>
            </w:r>
          </w:p>
          <w:p w14:paraId="04B9C784" w14:textId="77777777" w:rsidR="00F64D04" w:rsidRPr="002716CC" w:rsidRDefault="00F64D04" w:rsidP="002716CC">
            <w:pPr>
              <w:pStyle w:val="CommentText"/>
              <w:autoSpaceDE w:val="0"/>
              <w:autoSpaceDN w:val="0"/>
              <w:adjustRightInd w:val="0"/>
              <w:jc w:val="both"/>
              <w:rPr>
                <w:sz w:val="18"/>
                <w:szCs w:val="18"/>
              </w:rPr>
            </w:pPr>
            <w:r w:rsidRPr="002716CC">
              <w:rPr>
                <w:sz w:val="18"/>
                <w:szCs w:val="18"/>
              </w:rPr>
              <w:t xml:space="preserve">‘Construction’ can happen at any stage in the lifecycle of the site, including earthworks, site preparation, enabling works, ground investigations, geotechnical or ground engineering, foundations and superstructure construction works, mock-ups and trials, and temporary works to support the same. </w:t>
            </w:r>
          </w:p>
          <w:p w14:paraId="1EF025EE" w14:textId="6627B38C" w:rsidR="00F64D04" w:rsidRPr="002716CC" w:rsidRDefault="00F64D04" w:rsidP="002716CC">
            <w:pPr>
              <w:pStyle w:val="CommentText"/>
              <w:autoSpaceDE w:val="0"/>
              <w:autoSpaceDN w:val="0"/>
              <w:adjustRightInd w:val="0"/>
              <w:jc w:val="both"/>
              <w:rPr>
                <w:sz w:val="18"/>
                <w:szCs w:val="18"/>
              </w:rPr>
            </w:pPr>
            <w:r w:rsidRPr="002716CC">
              <w:rPr>
                <w:sz w:val="18"/>
                <w:szCs w:val="18"/>
              </w:rPr>
              <w:t>Construction may also include civil engineering works associated with examination, inspection, testing and maintenance.</w:t>
            </w:r>
          </w:p>
        </w:tc>
        <w:tc>
          <w:tcPr>
            <w:tcW w:w="1134" w:type="dxa"/>
            <w:tcBorders>
              <w:top w:val="single" w:sz="12" w:space="0" w:color="006D68"/>
              <w:left w:val="single" w:sz="12" w:space="0" w:color="006D68"/>
              <w:bottom w:val="single" w:sz="12" w:space="0" w:color="006D68"/>
              <w:right w:val="single" w:sz="12" w:space="0" w:color="006D68"/>
            </w:tcBorders>
            <w:vAlign w:val="center"/>
          </w:tcPr>
          <w:p w14:paraId="7DEBCE09" w14:textId="0D5052CC" w:rsidR="00F64D04" w:rsidRDefault="00F64D04" w:rsidP="002716CC">
            <w:pPr>
              <w:autoSpaceDE w:val="0"/>
              <w:autoSpaceDN w:val="0"/>
              <w:adjustRightInd w:val="0"/>
              <w:rPr>
                <w:sz w:val="18"/>
                <w:szCs w:val="18"/>
              </w:rPr>
            </w:pPr>
            <w:r w:rsidRPr="002716CC">
              <w:rPr>
                <w:sz w:val="18"/>
                <w:szCs w:val="18"/>
              </w:rPr>
              <w:t>For the purposes of this TAG and the associated annexes</w:t>
            </w:r>
          </w:p>
        </w:tc>
      </w:tr>
      <w:tr w:rsidR="00F64D04" w:rsidRPr="00E125EA" w14:paraId="1DF48C6A" w14:textId="492680F0"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0AC64EA6" w14:textId="6F23C8C1" w:rsidR="00F64D04" w:rsidRDefault="00F64D04" w:rsidP="00C424A2">
            <w:pPr>
              <w:autoSpaceDE w:val="0"/>
              <w:autoSpaceDN w:val="0"/>
              <w:adjustRightInd w:val="0"/>
              <w:rPr>
                <w:sz w:val="18"/>
                <w:szCs w:val="18"/>
              </w:rPr>
            </w:pPr>
            <w:r>
              <w:rPr>
                <w:sz w:val="18"/>
                <w:szCs w:val="18"/>
              </w:rPr>
              <w:t xml:space="preserve">Containment / </w:t>
            </w:r>
            <w:r w:rsidRPr="00FB64FE">
              <w:rPr>
                <w:sz w:val="18"/>
                <w:szCs w:val="18"/>
              </w:rPr>
              <w:t>Confinement</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08B367DB" w14:textId="77777777" w:rsidR="00F64D04" w:rsidRDefault="00F64D04" w:rsidP="002716CC">
            <w:pPr>
              <w:autoSpaceDE w:val="0"/>
              <w:autoSpaceDN w:val="0"/>
              <w:adjustRightInd w:val="0"/>
              <w:jc w:val="both"/>
              <w:rPr>
                <w:sz w:val="18"/>
                <w:szCs w:val="18"/>
              </w:rPr>
            </w:pPr>
            <w:r w:rsidRPr="00FB64FE">
              <w:rPr>
                <w:sz w:val="18"/>
                <w:szCs w:val="18"/>
              </w:rPr>
              <w:t xml:space="preserve">IAEA guidance refer to confinement (rather than containment) of nuclear material. </w:t>
            </w:r>
            <w:r>
              <w:rPr>
                <w:sz w:val="18"/>
                <w:szCs w:val="18"/>
              </w:rPr>
              <w:t xml:space="preserve">IAEA </w:t>
            </w:r>
            <w:r w:rsidRPr="00FB64FE">
              <w:rPr>
                <w:sz w:val="18"/>
                <w:szCs w:val="18"/>
              </w:rPr>
              <w:t xml:space="preserve">define </w:t>
            </w:r>
            <w:r w:rsidRPr="00150A69">
              <w:rPr>
                <w:sz w:val="18"/>
                <w:szCs w:val="18"/>
              </w:rPr>
              <w:t>the containment</w:t>
            </w:r>
            <w:r w:rsidRPr="00FB64FE">
              <w:rPr>
                <w:sz w:val="18"/>
                <w:szCs w:val="18"/>
              </w:rPr>
              <w:t xml:space="preserve"> as the physical structure that </w:t>
            </w:r>
            <w:r w:rsidRPr="00150A69">
              <w:rPr>
                <w:sz w:val="18"/>
                <w:szCs w:val="18"/>
              </w:rPr>
              <w:t>confines</w:t>
            </w:r>
            <w:r w:rsidRPr="00FB64FE">
              <w:rPr>
                <w:sz w:val="18"/>
                <w:szCs w:val="18"/>
              </w:rPr>
              <w:t xml:space="preserve"> the nuclear material.  </w:t>
            </w:r>
          </w:p>
          <w:p w14:paraId="208E8CF4" w14:textId="77777777" w:rsidR="00F64D04" w:rsidRDefault="00F64D04" w:rsidP="002716CC">
            <w:pPr>
              <w:autoSpaceDE w:val="0"/>
              <w:autoSpaceDN w:val="0"/>
              <w:adjustRightInd w:val="0"/>
              <w:jc w:val="both"/>
              <w:rPr>
                <w:sz w:val="18"/>
                <w:szCs w:val="18"/>
              </w:rPr>
            </w:pPr>
          </w:p>
          <w:p w14:paraId="74C3FE02" w14:textId="40553993" w:rsidR="00F64D04" w:rsidRDefault="00F64D04" w:rsidP="002716CC">
            <w:pPr>
              <w:autoSpaceDE w:val="0"/>
              <w:autoSpaceDN w:val="0"/>
              <w:adjustRightInd w:val="0"/>
              <w:jc w:val="both"/>
              <w:rPr>
                <w:sz w:val="18"/>
                <w:szCs w:val="18"/>
              </w:rPr>
            </w:pPr>
            <w:r w:rsidRPr="00150A69">
              <w:rPr>
                <w:sz w:val="18"/>
                <w:szCs w:val="18"/>
              </w:rPr>
              <w:t>Methods or physical structures designed to prevent the</w:t>
            </w:r>
            <w:r>
              <w:rPr>
                <w:sz w:val="18"/>
                <w:szCs w:val="18"/>
              </w:rPr>
              <w:t xml:space="preserve"> </w:t>
            </w:r>
            <w:r w:rsidRPr="00150A69">
              <w:rPr>
                <w:sz w:val="18"/>
                <w:szCs w:val="18"/>
              </w:rPr>
              <w:t>dis</w:t>
            </w:r>
            <w:r>
              <w:rPr>
                <w:sz w:val="18"/>
                <w:szCs w:val="18"/>
              </w:rPr>
              <w:t>persion of radioactive material</w:t>
            </w:r>
          </w:p>
        </w:tc>
        <w:tc>
          <w:tcPr>
            <w:tcW w:w="1134" w:type="dxa"/>
            <w:tcBorders>
              <w:top w:val="single" w:sz="12" w:space="0" w:color="006D68"/>
              <w:left w:val="single" w:sz="12" w:space="0" w:color="006D68"/>
              <w:bottom w:val="single" w:sz="12" w:space="0" w:color="006D68"/>
              <w:right w:val="single" w:sz="12" w:space="0" w:color="006D68"/>
            </w:tcBorders>
          </w:tcPr>
          <w:p w14:paraId="4ECBEC35" w14:textId="5B4F937C" w:rsidR="00F64D04" w:rsidRDefault="00F64D04" w:rsidP="002716CC">
            <w:pPr>
              <w:autoSpaceDE w:val="0"/>
              <w:autoSpaceDN w:val="0"/>
              <w:adjustRightInd w:val="0"/>
              <w:rPr>
                <w:sz w:val="18"/>
                <w:szCs w:val="18"/>
              </w:rPr>
            </w:pPr>
            <w:r>
              <w:rPr>
                <w:sz w:val="18"/>
                <w:szCs w:val="18"/>
              </w:rPr>
              <w:t>IAEA Safety Glossary</w:t>
            </w:r>
          </w:p>
          <w:p w14:paraId="652D5406" w14:textId="00317D82" w:rsidR="00F64D04" w:rsidRPr="00FB64FE" w:rsidRDefault="00F64D04" w:rsidP="002716CC">
            <w:pPr>
              <w:autoSpaceDE w:val="0"/>
              <w:autoSpaceDN w:val="0"/>
              <w:adjustRightInd w:val="0"/>
              <w:rPr>
                <w:sz w:val="18"/>
                <w:szCs w:val="18"/>
              </w:rPr>
            </w:pPr>
          </w:p>
        </w:tc>
      </w:tr>
      <w:tr w:rsidR="00F64D04" w:rsidRPr="00E125EA" w14:paraId="657585C9" w14:textId="580ED0D9"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3CD25BCD" w14:textId="689A4BA8" w:rsidR="00F64D04" w:rsidRDefault="00F64D04" w:rsidP="00C424A2">
            <w:pPr>
              <w:autoSpaceDE w:val="0"/>
              <w:autoSpaceDN w:val="0"/>
              <w:adjustRightInd w:val="0"/>
              <w:rPr>
                <w:sz w:val="18"/>
                <w:szCs w:val="18"/>
              </w:rPr>
            </w:pPr>
            <w:r>
              <w:rPr>
                <w:sz w:val="18"/>
                <w:szCs w:val="18"/>
              </w:rPr>
              <w:t>Contractors</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D18A4C2" w14:textId="233E06A9" w:rsidR="00F64D04" w:rsidRPr="00FB64FE" w:rsidRDefault="00F64D04" w:rsidP="002716CC">
            <w:pPr>
              <w:autoSpaceDE w:val="0"/>
              <w:autoSpaceDN w:val="0"/>
              <w:adjustRightInd w:val="0"/>
              <w:jc w:val="both"/>
              <w:rPr>
                <w:sz w:val="18"/>
                <w:szCs w:val="18"/>
              </w:rPr>
            </w:pPr>
            <w:r w:rsidRPr="00150A69">
              <w:rPr>
                <w:sz w:val="18"/>
                <w:szCs w:val="18"/>
              </w:rPr>
              <w:t>All references to 'contractors' include proportionate consideration of the whole contracting and supply chain, whether for the provision of goods and services to the licensee or on the licensed site. This includes designers, vendors, suppliers, manufacturers etc</w:t>
            </w:r>
            <w:r>
              <w:rPr>
                <w:sz w:val="18"/>
                <w:szCs w:val="18"/>
              </w:rPr>
              <w:t>.</w:t>
            </w:r>
            <w:r w:rsidRPr="00150A69">
              <w:rPr>
                <w:sz w:val="18"/>
                <w:szCs w:val="18"/>
              </w:rPr>
              <w:t xml:space="preserve"> as appropriate.</w:t>
            </w:r>
          </w:p>
        </w:tc>
        <w:tc>
          <w:tcPr>
            <w:tcW w:w="1134" w:type="dxa"/>
            <w:tcBorders>
              <w:top w:val="single" w:sz="12" w:space="0" w:color="006D68"/>
              <w:left w:val="single" w:sz="12" w:space="0" w:color="006D68"/>
              <w:bottom w:val="single" w:sz="12" w:space="0" w:color="006D68"/>
              <w:right w:val="single" w:sz="12" w:space="0" w:color="006D68"/>
            </w:tcBorders>
          </w:tcPr>
          <w:p w14:paraId="4AE598B9" w14:textId="77777777" w:rsidR="00F64D04" w:rsidRPr="00150A69" w:rsidRDefault="00F64D04" w:rsidP="002716CC">
            <w:pPr>
              <w:autoSpaceDE w:val="0"/>
              <w:autoSpaceDN w:val="0"/>
              <w:adjustRightInd w:val="0"/>
              <w:rPr>
                <w:sz w:val="18"/>
                <w:szCs w:val="18"/>
              </w:rPr>
            </w:pPr>
            <w:r w:rsidRPr="00150A69">
              <w:rPr>
                <w:sz w:val="18"/>
                <w:szCs w:val="18"/>
              </w:rPr>
              <w:t>SAPs definition</w:t>
            </w:r>
          </w:p>
          <w:p w14:paraId="4B6EED2C" w14:textId="77777777" w:rsidR="00F64D04" w:rsidRPr="00150A69" w:rsidRDefault="00F64D04" w:rsidP="002716CC">
            <w:pPr>
              <w:autoSpaceDE w:val="0"/>
              <w:autoSpaceDN w:val="0"/>
              <w:adjustRightInd w:val="0"/>
              <w:rPr>
                <w:sz w:val="18"/>
                <w:szCs w:val="18"/>
              </w:rPr>
            </w:pPr>
          </w:p>
        </w:tc>
      </w:tr>
      <w:tr w:rsidR="00F64D04" w:rsidRPr="00E125EA" w14:paraId="38E0E9E5" w14:textId="7F9C00FA"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4F6199C1" w14:textId="427D3350" w:rsidR="00F64D04" w:rsidRPr="002C6B03" w:rsidRDefault="00F64D04" w:rsidP="00C424A2">
            <w:pPr>
              <w:autoSpaceDE w:val="0"/>
              <w:autoSpaceDN w:val="0"/>
              <w:adjustRightInd w:val="0"/>
              <w:rPr>
                <w:sz w:val="18"/>
                <w:szCs w:val="18"/>
              </w:rPr>
            </w:pPr>
            <w:r w:rsidRPr="002C6B03">
              <w:rPr>
                <w:sz w:val="18"/>
                <w:szCs w:val="18"/>
              </w:rPr>
              <w:lastRenderedPageBreak/>
              <w:t>Decommissioning</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E547387" w14:textId="29B848AF" w:rsidR="00F64D04" w:rsidRDefault="00F64D04" w:rsidP="002716CC">
            <w:pPr>
              <w:autoSpaceDE w:val="0"/>
              <w:autoSpaceDN w:val="0"/>
              <w:adjustRightInd w:val="0"/>
              <w:jc w:val="both"/>
              <w:rPr>
                <w:sz w:val="18"/>
                <w:szCs w:val="18"/>
              </w:rPr>
            </w:pPr>
            <w:r w:rsidRPr="002C6B03">
              <w:rPr>
                <w:sz w:val="18"/>
                <w:szCs w:val="18"/>
              </w:rPr>
              <w:t>Administrative and physical actions taken to allow removal of some or all of the regulatory controls from a nuclear facility.</w:t>
            </w:r>
          </w:p>
        </w:tc>
        <w:tc>
          <w:tcPr>
            <w:tcW w:w="1134" w:type="dxa"/>
            <w:tcBorders>
              <w:top w:val="single" w:sz="12" w:space="0" w:color="006D68"/>
              <w:left w:val="single" w:sz="12" w:space="0" w:color="006D68"/>
              <w:bottom w:val="single" w:sz="12" w:space="0" w:color="006D68"/>
              <w:right w:val="single" w:sz="12" w:space="0" w:color="006D68"/>
            </w:tcBorders>
          </w:tcPr>
          <w:p w14:paraId="43BAD44B" w14:textId="77777777" w:rsidR="00F64D04" w:rsidRDefault="00F64D04" w:rsidP="002716CC">
            <w:pPr>
              <w:autoSpaceDE w:val="0"/>
              <w:autoSpaceDN w:val="0"/>
              <w:adjustRightInd w:val="0"/>
              <w:rPr>
                <w:sz w:val="18"/>
                <w:szCs w:val="18"/>
              </w:rPr>
            </w:pPr>
            <w:r>
              <w:rPr>
                <w:sz w:val="18"/>
                <w:szCs w:val="18"/>
              </w:rPr>
              <w:t>SAPs definition:</w:t>
            </w:r>
          </w:p>
          <w:p w14:paraId="1EDE699D" w14:textId="77777777" w:rsidR="00F64D04" w:rsidRDefault="00F64D04" w:rsidP="002716CC">
            <w:pPr>
              <w:autoSpaceDE w:val="0"/>
              <w:autoSpaceDN w:val="0"/>
              <w:adjustRightInd w:val="0"/>
              <w:rPr>
                <w:sz w:val="18"/>
                <w:szCs w:val="18"/>
              </w:rPr>
            </w:pPr>
          </w:p>
        </w:tc>
      </w:tr>
      <w:tr w:rsidR="00F64D04" w:rsidRPr="00E125EA" w14:paraId="1741BCCB" w14:textId="77777777" w:rsidTr="00103A3C">
        <w:trPr>
          <w:trHeight w:val="621"/>
        </w:trPr>
        <w:tc>
          <w:tcPr>
            <w:tcW w:w="1843" w:type="dxa"/>
            <w:vMerge w:val="restart"/>
            <w:tcBorders>
              <w:top w:val="single" w:sz="12" w:space="0" w:color="006D68"/>
              <w:left w:val="single" w:sz="12" w:space="0" w:color="006D68"/>
              <w:right w:val="single" w:sz="12" w:space="0" w:color="006D68"/>
            </w:tcBorders>
            <w:vAlign w:val="center"/>
          </w:tcPr>
          <w:p w14:paraId="2FC0A5D4" w14:textId="6A39D50B" w:rsidR="00F64D04" w:rsidRPr="002C6B03" w:rsidRDefault="00F64D04" w:rsidP="00C424A2">
            <w:pPr>
              <w:autoSpaceDE w:val="0"/>
              <w:autoSpaceDN w:val="0"/>
              <w:adjustRightInd w:val="0"/>
              <w:rPr>
                <w:sz w:val="18"/>
                <w:szCs w:val="18"/>
              </w:rPr>
            </w:pPr>
            <w:r w:rsidRPr="002716CC">
              <w:rPr>
                <w:sz w:val="18"/>
                <w:szCs w:val="18"/>
              </w:rPr>
              <w:t>Decommissioning</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0CA68E82" w14:textId="47AEE7A7" w:rsidR="00F64D04" w:rsidDel="00A81202" w:rsidRDefault="00F64D04" w:rsidP="002716CC">
            <w:pPr>
              <w:autoSpaceDE w:val="0"/>
              <w:autoSpaceDN w:val="0"/>
              <w:adjustRightInd w:val="0"/>
              <w:jc w:val="both"/>
              <w:rPr>
                <w:sz w:val="18"/>
                <w:szCs w:val="18"/>
              </w:rPr>
            </w:pPr>
            <w:r w:rsidRPr="0086709D">
              <w:rPr>
                <w:sz w:val="18"/>
                <w:szCs w:val="18"/>
              </w:rPr>
              <w:t>Decommissioning is the set of actions taken at the end of a nuclear facility’s operational life to take it permanently out of service, with adequate regard for safety. The ultimate aim of decommissioning is to make the site available for other purposes.</w:t>
            </w:r>
          </w:p>
        </w:tc>
        <w:tc>
          <w:tcPr>
            <w:tcW w:w="1134" w:type="dxa"/>
            <w:tcBorders>
              <w:top w:val="single" w:sz="12" w:space="0" w:color="006D68"/>
              <w:left w:val="single" w:sz="12" w:space="0" w:color="006D68"/>
              <w:bottom w:val="single" w:sz="12" w:space="0" w:color="006D68"/>
              <w:right w:val="single" w:sz="12" w:space="0" w:color="006D68"/>
            </w:tcBorders>
            <w:vAlign w:val="center"/>
          </w:tcPr>
          <w:p w14:paraId="6CB5D88E" w14:textId="1BF9D7A6" w:rsidR="00F64D04" w:rsidRDefault="00F64D04" w:rsidP="002716CC">
            <w:pPr>
              <w:autoSpaceDE w:val="0"/>
              <w:autoSpaceDN w:val="0"/>
              <w:adjustRightInd w:val="0"/>
              <w:rPr>
                <w:sz w:val="18"/>
                <w:szCs w:val="18"/>
              </w:rPr>
            </w:pPr>
            <w:r w:rsidRPr="0086709D">
              <w:rPr>
                <w:sz w:val="18"/>
                <w:szCs w:val="18"/>
              </w:rPr>
              <w:t>derived</w:t>
            </w:r>
          </w:p>
        </w:tc>
      </w:tr>
      <w:tr w:rsidR="00F64D04" w:rsidRPr="00E125EA" w14:paraId="2985B34D" w14:textId="77777777" w:rsidTr="00103A3C">
        <w:trPr>
          <w:trHeight w:val="621"/>
        </w:trPr>
        <w:tc>
          <w:tcPr>
            <w:tcW w:w="1843" w:type="dxa"/>
            <w:vMerge/>
            <w:tcBorders>
              <w:left w:val="single" w:sz="12" w:space="0" w:color="006D68"/>
              <w:bottom w:val="single" w:sz="12" w:space="0" w:color="006D68"/>
              <w:right w:val="single" w:sz="12" w:space="0" w:color="006D68"/>
            </w:tcBorders>
            <w:vAlign w:val="center"/>
          </w:tcPr>
          <w:p w14:paraId="6C981FFA" w14:textId="77777777" w:rsidR="00F64D04" w:rsidRPr="002C6B03" w:rsidRDefault="00F64D04" w:rsidP="00C424A2">
            <w:pPr>
              <w:autoSpaceDE w:val="0"/>
              <w:autoSpaceDN w:val="0"/>
              <w:adjustRightInd w:val="0"/>
              <w:rPr>
                <w:sz w:val="18"/>
                <w:szCs w:val="18"/>
              </w:rPr>
            </w:pPr>
          </w:p>
        </w:tc>
        <w:tc>
          <w:tcPr>
            <w:tcW w:w="6306" w:type="dxa"/>
            <w:tcBorders>
              <w:top w:val="single" w:sz="12" w:space="0" w:color="006D68"/>
              <w:left w:val="single" w:sz="12" w:space="0" w:color="006D68"/>
              <w:bottom w:val="single" w:sz="12" w:space="0" w:color="006D68"/>
              <w:right w:val="single" w:sz="12" w:space="0" w:color="006D68"/>
            </w:tcBorders>
            <w:vAlign w:val="center"/>
          </w:tcPr>
          <w:p w14:paraId="5AD2B6F2" w14:textId="77777777" w:rsidR="00F64D04" w:rsidRPr="0086709D" w:rsidRDefault="00F64D04" w:rsidP="002716CC">
            <w:pPr>
              <w:autoSpaceDE w:val="0"/>
              <w:autoSpaceDN w:val="0"/>
              <w:adjustRightInd w:val="0"/>
              <w:jc w:val="both"/>
              <w:rPr>
                <w:sz w:val="18"/>
                <w:szCs w:val="18"/>
              </w:rPr>
            </w:pPr>
            <w:r w:rsidRPr="0086709D">
              <w:rPr>
                <w:sz w:val="18"/>
                <w:szCs w:val="18"/>
              </w:rPr>
              <w:t>Administrative and technical actions taken to allow the removal of some or all of the regulatory controls from a facility. The use of the term decommissioning implies that no further use of the facility (or part thereof) for its existing purpose is foreseen.</w:t>
            </w:r>
          </w:p>
          <w:p w14:paraId="60C1523B" w14:textId="77777777" w:rsidR="00F64D04" w:rsidRPr="0086709D" w:rsidRDefault="00F64D04" w:rsidP="002716CC">
            <w:pPr>
              <w:autoSpaceDE w:val="0"/>
              <w:autoSpaceDN w:val="0"/>
              <w:adjustRightInd w:val="0"/>
              <w:jc w:val="both"/>
              <w:rPr>
                <w:sz w:val="18"/>
                <w:szCs w:val="18"/>
              </w:rPr>
            </w:pPr>
            <w:r w:rsidRPr="0086709D">
              <w:rPr>
                <w:sz w:val="18"/>
                <w:szCs w:val="18"/>
              </w:rPr>
              <w:t>Decommissioning actions are taken at the end of the operating lifetime of a facility to retire it from service, with due regard for the health and safety of workers and members of the public and the protection of the environment.</w:t>
            </w:r>
          </w:p>
          <w:p w14:paraId="230FA160" w14:textId="737C85FC" w:rsidR="00F64D04" w:rsidDel="00A81202" w:rsidRDefault="00F64D04" w:rsidP="002716CC">
            <w:pPr>
              <w:autoSpaceDE w:val="0"/>
              <w:autoSpaceDN w:val="0"/>
              <w:adjustRightInd w:val="0"/>
              <w:jc w:val="both"/>
              <w:rPr>
                <w:sz w:val="18"/>
                <w:szCs w:val="18"/>
              </w:rPr>
            </w:pPr>
            <w:r w:rsidRPr="0086709D">
              <w:rPr>
                <w:sz w:val="18"/>
                <w:szCs w:val="18"/>
              </w:rPr>
              <w:t>For a repository, the corresponding term is closure.</w:t>
            </w:r>
          </w:p>
        </w:tc>
        <w:tc>
          <w:tcPr>
            <w:tcW w:w="1134" w:type="dxa"/>
            <w:tcBorders>
              <w:top w:val="single" w:sz="12" w:space="0" w:color="006D68"/>
              <w:left w:val="single" w:sz="12" w:space="0" w:color="006D68"/>
              <w:bottom w:val="single" w:sz="12" w:space="0" w:color="006D68"/>
              <w:right w:val="single" w:sz="12" w:space="0" w:color="006D68"/>
            </w:tcBorders>
            <w:vAlign w:val="center"/>
          </w:tcPr>
          <w:p w14:paraId="29AE948D" w14:textId="0B2D0B9D" w:rsidR="00F64D04" w:rsidRDefault="00F64D04" w:rsidP="002716CC">
            <w:pPr>
              <w:autoSpaceDE w:val="0"/>
              <w:autoSpaceDN w:val="0"/>
              <w:adjustRightInd w:val="0"/>
              <w:rPr>
                <w:sz w:val="18"/>
                <w:szCs w:val="18"/>
              </w:rPr>
            </w:pPr>
            <w:r w:rsidRPr="0086709D">
              <w:rPr>
                <w:sz w:val="18"/>
                <w:szCs w:val="18"/>
              </w:rPr>
              <w:t>IAEA Safety Glossary</w:t>
            </w:r>
          </w:p>
        </w:tc>
      </w:tr>
      <w:tr w:rsidR="00F64D04" w:rsidRPr="00E125EA" w14:paraId="79D3EA6F" w14:textId="51182A6C"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6BB012A3" w14:textId="51D5A19B" w:rsidR="00F64D04" w:rsidRPr="002C6B03" w:rsidRDefault="00F64D04" w:rsidP="00C424A2">
            <w:pPr>
              <w:autoSpaceDE w:val="0"/>
              <w:autoSpaceDN w:val="0"/>
              <w:adjustRightInd w:val="0"/>
              <w:rPr>
                <w:sz w:val="18"/>
                <w:szCs w:val="18"/>
              </w:rPr>
            </w:pPr>
            <w:r>
              <w:rPr>
                <w:sz w:val="18"/>
                <w:szCs w:val="18"/>
              </w:rPr>
              <w:t>Decommissioning Plan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CC7D8C5" w14:textId="1FF5BDA1" w:rsidR="00F64D04" w:rsidRDefault="00F64D04" w:rsidP="002716CC">
            <w:pPr>
              <w:autoSpaceDE w:val="0"/>
              <w:autoSpaceDN w:val="0"/>
              <w:adjustRightInd w:val="0"/>
              <w:jc w:val="both"/>
              <w:rPr>
                <w:sz w:val="18"/>
                <w:szCs w:val="18"/>
              </w:rPr>
            </w:pPr>
            <w:r w:rsidRPr="00EA12F3">
              <w:rPr>
                <w:sz w:val="18"/>
                <w:szCs w:val="18"/>
              </w:rPr>
              <w:t>An initial or final document – depending on the operational phase of the facility with detailed information about the concept and schedule for the decommissioning and dismantling of the nuclear facility.</w:t>
            </w:r>
          </w:p>
        </w:tc>
        <w:tc>
          <w:tcPr>
            <w:tcW w:w="1134" w:type="dxa"/>
            <w:tcBorders>
              <w:top w:val="single" w:sz="12" w:space="0" w:color="006D68"/>
              <w:left w:val="single" w:sz="12" w:space="0" w:color="006D68"/>
              <w:bottom w:val="single" w:sz="12" w:space="0" w:color="006D68"/>
              <w:right w:val="single" w:sz="12" w:space="0" w:color="006D68"/>
            </w:tcBorders>
          </w:tcPr>
          <w:p w14:paraId="27204D8C" w14:textId="25CA328F" w:rsidR="00F64D04" w:rsidRDefault="00F64D04" w:rsidP="002716CC">
            <w:pPr>
              <w:autoSpaceDE w:val="0"/>
              <w:autoSpaceDN w:val="0"/>
              <w:adjustRightInd w:val="0"/>
              <w:rPr>
                <w:sz w:val="18"/>
                <w:szCs w:val="18"/>
              </w:rPr>
            </w:pPr>
            <w:r>
              <w:rPr>
                <w:sz w:val="18"/>
                <w:szCs w:val="18"/>
              </w:rPr>
              <w:t>WENRA DSRL</w:t>
            </w:r>
          </w:p>
        </w:tc>
      </w:tr>
      <w:tr w:rsidR="00F64D04" w:rsidRPr="00E125EA" w14:paraId="317B0473" w14:textId="77777777" w:rsidTr="00152258">
        <w:trPr>
          <w:trHeight w:val="621"/>
        </w:trPr>
        <w:tc>
          <w:tcPr>
            <w:tcW w:w="1843" w:type="dxa"/>
            <w:vMerge w:val="restart"/>
            <w:tcBorders>
              <w:top w:val="single" w:sz="12" w:space="0" w:color="006D68"/>
              <w:left w:val="single" w:sz="12" w:space="0" w:color="006D68"/>
              <w:right w:val="single" w:sz="12" w:space="0" w:color="006D68"/>
            </w:tcBorders>
            <w:vAlign w:val="center"/>
          </w:tcPr>
          <w:p w14:paraId="70B819FE" w14:textId="5AA205EE" w:rsidR="00F64D04" w:rsidRDefault="00F64D04" w:rsidP="00C424A2">
            <w:pPr>
              <w:autoSpaceDE w:val="0"/>
              <w:autoSpaceDN w:val="0"/>
              <w:adjustRightInd w:val="0"/>
              <w:rPr>
                <w:sz w:val="18"/>
                <w:szCs w:val="18"/>
              </w:rPr>
            </w:pPr>
            <w:r w:rsidRPr="002716CC">
              <w:rPr>
                <w:sz w:val="18"/>
                <w:szCs w:val="18"/>
              </w:rPr>
              <w:t>Decommissioning Plan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1CA1DE8" w14:textId="14CA5FDE" w:rsidR="00F64D04" w:rsidDel="00A81202" w:rsidRDefault="00F64D04" w:rsidP="002716CC">
            <w:pPr>
              <w:autoSpaceDE w:val="0"/>
              <w:autoSpaceDN w:val="0"/>
              <w:adjustRightInd w:val="0"/>
              <w:jc w:val="both"/>
              <w:rPr>
                <w:sz w:val="18"/>
                <w:szCs w:val="18"/>
              </w:rPr>
            </w:pPr>
            <w:r w:rsidRPr="0086709D">
              <w:rPr>
                <w:sz w:val="18"/>
                <w:szCs w:val="18"/>
              </w:rPr>
              <w:t>A document containing detailed information on the proposed decommissioning of a facility.</w:t>
            </w:r>
          </w:p>
        </w:tc>
        <w:tc>
          <w:tcPr>
            <w:tcW w:w="1134" w:type="dxa"/>
            <w:tcBorders>
              <w:top w:val="single" w:sz="12" w:space="0" w:color="006D68"/>
              <w:left w:val="single" w:sz="12" w:space="0" w:color="006D68"/>
              <w:bottom w:val="single" w:sz="12" w:space="0" w:color="006D68"/>
              <w:right w:val="single" w:sz="12" w:space="0" w:color="006D68"/>
            </w:tcBorders>
            <w:vAlign w:val="center"/>
          </w:tcPr>
          <w:p w14:paraId="21EA3835" w14:textId="32CC8A69" w:rsidR="00F64D04" w:rsidRDefault="00F64D04" w:rsidP="002716CC">
            <w:pPr>
              <w:autoSpaceDE w:val="0"/>
              <w:autoSpaceDN w:val="0"/>
              <w:adjustRightInd w:val="0"/>
              <w:rPr>
                <w:sz w:val="18"/>
                <w:szCs w:val="18"/>
              </w:rPr>
            </w:pPr>
            <w:r w:rsidRPr="0086709D">
              <w:rPr>
                <w:sz w:val="18"/>
                <w:szCs w:val="18"/>
              </w:rPr>
              <w:t>IAEA Safety Glossary</w:t>
            </w:r>
          </w:p>
        </w:tc>
      </w:tr>
      <w:tr w:rsidR="00F64D04" w:rsidRPr="00E125EA" w14:paraId="408D5FFC" w14:textId="77777777" w:rsidTr="00152258">
        <w:trPr>
          <w:trHeight w:val="621"/>
        </w:trPr>
        <w:tc>
          <w:tcPr>
            <w:tcW w:w="1843" w:type="dxa"/>
            <w:vMerge/>
            <w:tcBorders>
              <w:left w:val="single" w:sz="12" w:space="0" w:color="006D68"/>
              <w:bottom w:val="single" w:sz="12" w:space="0" w:color="006D68"/>
              <w:right w:val="single" w:sz="12" w:space="0" w:color="006D68"/>
            </w:tcBorders>
            <w:vAlign w:val="center"/>
          </w:tcPr>
          <w:p w14:paraId="77F69BCC" w14:textId="77777777" w:rsidR="00F64D04" w:rsidRDefault="00F64D04" w:rsidP="00C424A2">
            <w:pPr>
              <w:autoSpaceDE w:val="0"/>
              <w:autoSpaceDN w:val="0"/>
              <w:adjustRightInd w:val="0"/>
              <w:rPr>
                <w:sz w:val="18"/>
                <w:szCs w:val="18"/>
              </w:rPr>
            </w:pPr>
          </w:p>
        </w:tc>
        <w:tc>
          <w:tcPr>
            <w:tcW w:w="6306" w:type="dxa"/>
            <w:tcBorders>
              <w:top w:val="single" w:sz="12" w:space="0" w:color="006D68"/>
              <w:left w:val="single" w:sz="12" w:space="0" w:color="006D68"/>
              <w:bottom w:val="single" w:sz="12" w:space="0" w:color="006D68"/>
              <w:right w:val="single" w:sz="12" w:space="0" w:color="006D68"/>
            </w:tcBorders>
            <w:vAlign w:val="center"/>
          </w:tcPr>
          <w:p w14:paraId="4AC3C909" w14:textId="6BE6B1E9" w:rsidR="00F64D04" w:rsidDel="00A81202" w:rsidRDefault="00F64D04" w:rsidP="002716CC">
            <w:pPr>
              <w:autoSpaceDE w:val="0"/>
              <w:autoSpaceDN w:val="0"/>
              <w:adjustRightInd w:val="0"/>
              <w:jc w:val="both"/>
              <w:rPr>
                <w:sz w:val="18"/>
                <w:szCs w:val="18"/>
              </w:rPr>
            </w:pPr>
            <w:r w:rsidRPr="0086709D">
              <w:rPr>
                <w:sz w:val="18"/>
                <w:szCs w:val="18"/>
              </w:rPr>
              <w:t>The Decommissioning Plan shall be supported by an appropriate safety assessment covering the planned decommissioning activities and abnormal events that may occur during decommissioning. The assessment shall address occupational exposures and potential releases of radioactive substances, with resulting exposure of the public.</w:t>
            </w:r>
          </w:p>
        </w:tc>
        <w:tc>
          <w:tcPr>
            <w:tcW w:w="1134" w:type="dxa"/>
            <w:tcBorders>
              <w:top w:val="single" w:sz="12" w:space="0" w:color="006D68"/>
              <w:left w:val="single" w:sz="12" w:space="0" w:color="006D68"/>
              <w:bottom w:val="single" w:sz="12" w:space="0" w:color="006D68"/>
              <w:right w:val="single" w:sz="12" w:space="0" w:color="006D68"/>
            </w:tcBorders>
            <w:vAlign w:val="center"/>
          </w:tcPr>
          <w:p w14:paraId="540435B6" w14:textId="0C443AB3" w:rsidR="00F64D04" w:rsidRDefault="00F64D04" w:rsidP="002716CC">
            <w:pPr>
              <w:autoSpaceDE w:val="0"/>
              <w:autoSpaceDN w:val="0"/>
              <w:adjustRightInd w:val="0"/>
              <w:rPr>
                <w:sz w:val="18"/>
                <w:szCs w:val="18"/>
              </w:rPr>
            </w:pPr>
            <w:r w:rsidRPr="0086709D">
              <w:rPr>
                <w:sz w:val="18"/>
                <w:szCs w:val="18"/>
              </w:rPr>
              <w:t>IAEA WS-R-5</w:t>
            </w:r>
          </w:p>
        </w:tc>
      </w:tr>
      <w:tr w:rsidR="00F64D04" w:rsidRPr="00E125EA" w14:paraId="32C6EF03" w14:textId="05F4E1AB" w:rsidTr="002B1AA5">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25A4FE9C" w14:textId="14CC113F" w:rsidR="00F64D04" w:rsidRDefault="00F64D04" w:rsidP="00C424A2">
            <w:pPr>
              <w:autoSpaceDE w:val="0"/>
              <w:autoSpaceDN w:val="0"/>
              <w:adjustRightInd w:val="0"/>
              <w:rPr>
                <w:sz w:val="18"/>
                <w:szCs w:val="18"/>
              </w:rPr>
            </w:pPr>
            <w:r>
              <w:rPr>
                <w:sz w:val="18"/>
                <w:szCs w:val="18"/>
              </w:rPr>
              <w:t>Decommissioning Strategy</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2083BA1" w14:textId="3A119498" w:rsidR="00F64D04" w:rsidRPr="00150A69" w:rsidRDefault="00F64D04" w:rsidP="002716CC">
            <w:pPr>
              <w:autoSpaceDE w:val="0"/>
              <w:autoSpaceDN w:val="0"/>
              <w:adjustRightInd w:val="0"/>
              <w:jc w:val="both"/>
              <w:rPr>
                <w:sz w:val="18"/>
                <w:szCs w:val="18"/>
              </w:rPr>
            </w:pPr>
            <w:r w:rsidRPr="00150A69">
              <w:rPr>
                <w:sz w:val="18"/>
                <w:szCs w:val="18"/>
              </w:rPr>
              <w:t>A document providing an overview of the approach to the</w:t>
            </w:r>
            <w:r>
              <w:rPr>
                <w:sz w:val="18"/>
                <w:szCs w:val="18"/>
              </w:rPr>
              <w:t xml:space="preserve"> </w:t>
            </w:r>
            <w:r w:rsidRPr="00150A69">
              <w:rPr>
                <w:sz w:val="18"/>
                <w:szCs w:val="18"/>
              </w:rPr>
              <w:t>decommissioning of a site (or a group of similar sites)</w:t>
            </w:r>
            <w:r>
              <w:rPr>
                <w:sz w:val="18"/>
                <w:szCs w:val="18"/>
              </w:rPr>
              <w:t xml:space="preserve"> </w:t>
            </w:r>
            <w:r w:rsidRPr="00150A69">
              <w:rPr>
                <w:sz w:val="18"/>
                <w:szCs w:val="18"/>
              </w:rPr>
              <w:t>encompassing all existing and proposed new facilities, setting</w:t>
            </w:r>
          </w:p>
          <w:p w14:paraId="45C85DE5" w14:textId="7A622A75" w:rsidR="00F64D04" w:rsidRDefault="00F64D04" w:rsidP="002716CC">
            <w:pPr>
              <w:autoSpaceDE w:val="0"/>
              <w:autoSpaceDN w:val="0"/>
              <w:adjustRightInd w:val="0"/>
              <w:jc w:val="both"/>
              <w:rPr>
                <w:sz w:val="18"/>
                <w:szCs w:val="18"/>
              </w:rPr>
            </w:pPr>
            <w:r w:rsidRPr="00150A69">
              <w:rPr>
                <w:sz w:val="18"/>
                <w:szCs w:val="18"/>
              </w:rPr>
              <w:t>down the overall decommissioning objectives as far as the</w:t>
            </w:r>
            <w:r>
              <w:rPr>
                <w:sz w:val="18"/>
                <w:szCs w:val="18"/>
              </w:rPr>
              <w:t xml:space="preserve"> </w:t>
            </w:r>
            <w:r w:rsidRPr="00150A69">
              <w:rPr>
                <w:sz w:val="18"/>
                <w:szCs w:val="18"/>
              </w:rPr>
              <w:t>assumed end-state, taking account of relevant factors, and</w:t>
            </w:r>
            <w:r>
              <w:rPr>
                <w:sz w:val="18"/>
                <w:szCs w:val="18"/>
              </w:rPr>
              <w:t xml:space="preserve"> </w:t>
            </w:r>
            <w:r w:rsidRPr="00150A69">
              <w:rPr>
                <w:sz w:val="18"/>
                <w:szCs w:val="18"/>
              </w:rPr>
              <w:t>integrated with other relevant strategies.</w:t>
            </w:r>
          </w:p>
        </w:tc>
        <w:tc>
          <w:tcPr>
            <w:tcW w:w="1134" w:type="dxa"/>
            <w:tcBorders>
              <w:top w:val="single" w:sz="12" w:space="0" w:color="006D68"/>
              <w:left w:val="single" w:sz="12" w:space="0" w:color="006D68"/>
              <w:bottom w:val="single" w:sz="12" w:space="0" w:color="006D68"/>
              <w:right w:val="single" w:sz="12" w:space="0" w:color="006D68"/>
            </w:tcBorders>
          </w:tcPr>
          <w:p w14:paraId="1E820177" w14:textId="523B9856" w:rsidR="00F64D04" w:rsidRDefault="00F64D04" w:rsidP="002716CC">
            <w:pPr>
              <w:autoSpaceDE w:val="0"/>
              <w:autoSpaceDN w:val="0"/>
              <w:adjustRightInd w:val="0"/>
              <w:rPr>
                <w:sz w:val="18"/>
                <w:szCs w:val="18"/>
              </w:rPr>
            </w:pPr>
            <w:r>
              <w:rPr>
                <w:sz w:val="18"/>
                <w:szCs w:val="18"/>
              </w:rPr>
              <w:t>SAPs definition</w:t>
            </w:r>
          </w:p>
        </w:tc>
      </w:tr>
      <w:tr w:rsidR="00F64D04" w:rsidRPr="00E125EA" w14:paraId="61A63E5B" w14:textId="4B92CDB4" w:rsidTr="002B1AA5">
        <w:tc>
          <w:tcPr>
            <w:tcW w:w="1843" w:type="dxa"/>
            <w:tcBorders>
              <w:top w:val="single" w:sz="12" w:space="0" w:color="006D68"/>
              <w:left w:val="single" w:sz="12" w:space="0" w:color="006D68"/>
              <w:bottom w:val="single" w:sz="12" w:space="0" w:color="006D68"/>
              <w:right w:val="single" w:sz="12" w:space="0" w:color="006D68"/>
            </w:tcBorders>
            <w:vAlign w:val="center"/>
          </w:tcPr>
          <w:p w14:paraId="5F06891C" w14:textId="77777777" w:rsidR="00F64D04" w:rsidRDefault="00F64D04" w:rsidP="00C424A2">
            <w:pPr>
              <w:autoSpaceDE w:val="0"/>
              <w:autoSpaceDN w:val="0"/>
              <w:adjustRightInd w:val="0"/>
              <w:rPr>
                <w:sz w:val="18"/>
                <w:szCs w:val="18"/>
              </w:rPr>
            </w:pPr>
          </w:p>
          <w:p w14:paraId="23707A4A" w14:textId="7164EDC8" w:rsidR="00F64D04" w:rsidRPr="002B6159" w:rsidRDefault="00F64D04" w:rsidP="00C424A2">
            <w:pPr>
              <w:autoSpaceDE w:val="0"/>
              <w:autoSpaceDN w:val="0"/>
              <w:adjustRightInd w:val="0"/>
              <w:rPr>
                <w:sz w:val="18"/>
                <w:szCs w:val="18"/>
              </w:rPr>
            </w:pPr>
            <w:r w:rsidRPr="00AC51E2">
              <w:rPr>
                <w:sz w:val="18"/>
                <w:szCs w:val="18"/>
              </w:rPr>
              <w:t>Decontamination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2D1033F6" w14:textId="5A9C7221" w:rsidR="00F64D04" w:rsidRPr="002B6159" w:rsidRDefault="00F64D04" w:rsidP="002716CC">
            <w:pPr>
              <w:autoSpaceDE w:val="0"/>
              <w:autoSpaceDN w:val="0"/>
              <w:adjustRightInd w:val="0"/>
              <w:jc w:val="both"/>
              <w:rPr>
                <w:sz w:val="18"/>
                <w:szCs w:val="18"/>
              </w:rPr>
            </w:pPr>
            <w:r w:rsidRPr="00EA12F3">
              <w:rPr>
                <w:sz w:val="18"/>
                <w:szCs w:val="18"/>
              </w:rPr>
              <w:t>The complete or partial removal of contamination by a deliberate physical, chemical or biological process.</w:t>
            </w:r>
          </w:p>
        </w:tc>
        <w:tc>
          <w:tcPr>
            <w:tcW w:w="1134" w:type="dxa"/>
            <w:tcBorders>
              <w:top w:val="single" w:sz="12" w:space="0" w:color="006D68"/>
              <w:left w:val="single" w:sz="12" w:space="0" w:color="006D68"/>
              <w:bottom w:val="single" w:sz="12" w:space="0" w:color="006D68"/>
              <w:right w:val="single" w:sz="12" w:space="0" w:color="006D68"/>
            </w:tcBorders>
          </w:tcPr>
          <w:p w14:paraId="59EA59F1" w14:textId="1D548540" w:rsidR="00F64D04" w:rsidRDefault="00F64D04" w:rsidP="002716CC">
            <w:pPr>
              <w:autoSpaceDE w:val="0"/>
              <w:autoSpaceDN w:val="0"/>
              <w:adjustRightInd w:val="0"/>
              <w:rPr>
                <w:sz w:val="18"/>
                <w:szCs w:val="18"/>
              </w:rPr>
            </w:pPr>
            <w:r>
              <w:rPr>
                <w:sz w:val="18"/>
                <w:szCs w:val="18"/>
              </w:rPr>
              <w:t>WENRA DSRL</w:t>
            </w:r>
          </w:p>
        </w:tc>
      </w:tr>
      <w:tr w:rsidR="00F64D04" w:rsidRPr="00E125EA" w14:paraId="674D7B0A" w14:textId="177D25DD" w:rsidTr="002B1AA5">
        <w:trPr>
          <w:trHeight w:val="279"/>
        </w:trPr>
        <w:tc>
          <w:tcPr>
            <w:tcW w:w="1843" w:type="dxa"/>
            <w:tcBorders>
              <w:top w:val="single" w:sz="12" w:space="0" w:color="006D68"/>
              <w:left w:val="single" w:sz="12" w:space="0" w:color="006D68"/>
              <w:bottom w:val="single" w:sz="12" w:space="0" w:color="006D68"/>
              <w:right w:val="single" w:sz="12" w:space="0" w:color="006D68"/>
            </w:tcBorders>
            <w:vAlign w:val="center"/>
          </w:tcPr>
          <w:p w14:paraId="41B308AB" w14:textId="6EA75E69" w:rsidR="00F64D04" w:rsidRPr="002716CC" w:rsidRDefault="00F64D04" w:rsidP="00C424A2">
            <w:pPr>
              <w:autoSpaceDE w:val="0"/>
              <w:autoSpaceDN w:val="0"/>
              <w:adjustRightInd w:val="0"/>
              <w:rPr>
                <w:sz w:val="18"/>
                <w:szCs w:val="18"/>
              </w:rPr>
            </w:pPr>
            <w:r>
              <w:rPr>
                <w:sz w:val="18"/>
                <w:szCs w:val="18"/>
              </w:rPr>
              <w:t>Demolition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0C605946" w14:textId="50C04AFF" w:rsidR="00F64D04" w:rsidRPr="00150A69" w:rsidRDefault="00F64D04" w:rsidP="002716CC">
            <w:pPr>
              <w:autoSpaceDE w:val="0"/>
              <w:autoSpaceDN w:val="0"/>
              <w:adjustRightInd w:val="0"/>
              <w:jc w:val="both"/>
              <w:rPr>
                <w:sz w:val="18"/>
                <w:szCs w:val="18"/>
              </w:rPr>
            </w:pPr>
            <w:r>
              <w:rPr>
                <w:sz w:val="18"/>
                <w:szCs w:val="18"/>
              </w:rPr>
              <w:t>Removal of the buildings, structures and plant and disposal of the arising materials.</w:t>
            </w:r>
          </w:p>
        </w:tc>
        <w:tc>
          <w:tcPr>
            <w:tcW w:w="1134" w:type="dxa"/>
            <w:tcBorders>
              <w:top w:val="single" w:sz="12" w:space="0" w:color="006D68"/>
              <w:left w:val="single" w:sz="12" w:space="0" w:color="006D68"/>
              <w:bottom w:val="single" w:sz="12" w:space="0" w:color="006D68"/>
              <w:right w:val="single" w:sz="12" w:space="0" w:color="006D68"/>
            </w:tcBorders>
          </w:tcPr>
          <w:p w14:paraId="37223C65" w14:textId="37115F9E" w:rsidR="00F64D04" w:rsidRDefault="00F64D04" w:rsidP="002716CC">
            <w:pPr>
              <w:autoSpaceDE w:val="0"/>
              <w:autoSpaceDN w:val="0"/>
              <w:adjustRightInd w:val="0"/>
              <w:rPr>
                <w:sz w:val="18"/>
                <w:szCs w:val="18"/>
              </w:rPr>
            </w:pPr>
            <w:r>
              <w:rPr>
                <w:sz w:val="18"/>
                <w:szCs w:val="18"/>
              </w:rPr>
              <w:t>For this document only</w:t>
            </w:r>
          </w:p>
        </w:tc>
      </w:tr>
      <w:tr w:rsidR="00F64D04" w:rsidRPr="00E125EA" w14:paraId="2D994FBE" w14:textId="4063402D" w:rsidTr="006048EB">
        <w:trPr>
          <w:trHeight w:val="279"/>
        </w:trPr>
        <w:tc>
          <w:tcPr>
            <w:tcW w:w="1843" w:type="dxa"/>
            <w:vMerge w:val="restart"/>
            <w:tcBorders>
              <w:top w:val="single" w:sz="12" w:space="0" w:color="006D68"/>
              <w:left w:val="single" w:sz="12" w:space="0" w:color="006D68"/>
              <w:right w:val="single" w:sz="12" w:space="0" w:color="006D68"/>
            </w:tcBorders>
            <w:vAlign w:val="center"/>
          </w:tcPr>
          <w:p w14:paraId="4C319DEA" w14:textId="6D94E4AB" w:rsidR="00F64D04" w:rsidRDefault="00F64D04" w:rsidP="00C424A2">
            <w:pPr>
              <w:autoSpaceDE w:val="0"/>
              <w:autoSpaceDN w:val="0"/>
              <w:adjustRightInd w:val="0"/>
              <w:rPr>
                <w:sz w:val="18"/>
                <w:szCs w:val="18"/>
              </w:rPr>
            </w:pPr>
            <w:r>
              <w:rPr>
                <w:sz w:val="18"/>
                <w:szCs w:val="18"/>
              </w:rPr>
              <w:t>Design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F80E251" w14:textId="77777777" w:rsidR="00F64D04" w:rsidRPr="002B1AA5" w:rsidRDefault="00F64D04" w:rsidP="002716CC">
            <w:pPr>
              <w:autoSpaceDE w:val="0"/>
              <w:autoSpaceDN w:val="0"/>
              <w:adjustRightInd w:val="0"/>
              <w:jc w:val="both"/>
              <w:rPr>
                <w:sz w:val="18"/>
                <w:szCs w:val="18"/>
              </w:rPr>
            </w:pPr>
            <w:r w:rsidRPr="002B1AA5">
              <w:rPr>
                <w:sz w:val="18"/>
                <w:szCs w:val="18"/>
              </w:rPr>
              <w:t>The definition of design for this civil engineering annex applies equally across all stages of a nuclear facility’s lifecycle, including generic and/or concept design, licensing, site identification, site specific design, construction and installation, operation, modifications, post-operation, decommissioning and demolition, ‘care and maintenance’ phase etc.</w:t>
            </w:r>
          </w:p>
          <w:p w14:paraId="1E77141F" w14:textId="77777777" w:rsidR="00F64D04" w:rsidRPr="002B1AA5" w:rsidRDefault="00F64D04" w:rsidP="002716CC">
            <w:pPr>
              <w:autoSpaceDE w:val="0"/>
              <w:autoSpaceDN w:val="0"/>
              <w:adjustRightInd w:val="0"/>
              <w:jc w:val="both"/>
              <w:rPr>
                <w:sz w:val="18"/>
                <w:szCs w:val="18"/>
              </w:rPr>
            </w:pPr>
            <w:r w:rsidRPr="002B1AA5">
              <w:rPr>
                <w:sz w:val="18"/>
                <w:szCs w:val="18"/>
              </w:rPr>
              <w:t>‘Design’ can also include, the safety case documentation, supporting references, justification and substantiation of claims, modelling or other analysis tools, the process(es) and records of design decision making, and independent reviews of the above.</w:t>
            </w:r>
          </w:p>
          <w:p w14:paraId="2683E949" w14:textId="594BA2CE" w:rsidR="00F64D04" w:rsidRDefault="00F64D04" w:rsidP="002716CC">
            <w:pPr>
              <w:autoSpaceDE w:val="0"/>
              <w:autoSpaceDN w:val="0"/>
              <w:adjustRightInd w:val="0"/>
              <w:jc w:val="both"/>
              <w:rPr>
                <w:sz w:val="18"/>
                <w:szCs w:val="18"/>
              </w:rPr>
            </w:pPr>
            <w:r w:rsidRPr="002B1AA5">
              <w:rPr>
                <w:sz w:val="18"/>
                <w:szCs w:val="18"/>
              </w:rPr>
              <w:t>It should be recognised, within the life cycle of ‘civil engineering works’, that the assumptions made by the designer and incorporated within the justification of the design within a safety case, must be properly carried through the construction stage and through to modifications, demolition and site clearance. All associated construction activities throughout the life cycle are much a part of the safety case as the design.</w:t>
            </w:r>
          </w:p>
        </w:tc>
        <w:tc>
          <w:tcPr>
            <w:tcW w:w="1134" w:type="dxa"/>
            <w:tcBorders>
              <w:top w:val="single" w:sz="12" w:space="0" w:color="006D68"/>
              <w:left w:val="single" w:sz="12" w:space="0" w:color="006D68"/>
              <w:bottom w:val="single" w:sz="12" w:space="0" w:color="006D68"/>
              <w:right w:val="single" w:sz="12" w:space="0" w:color="006D68"/>
            </w:tcBorders>
          </w:tcPr>
          <w:p w14:paraId="3AA1C29C" w14:textId="73A337A3" w:rsidR="00F64D04" w:rsidRPr="002716CC" w:rsidRDefault="00F64D04" w:rsidP="002716CC">
            <w:pPr>
              <w:autoSpaceDE w:val="0"/>
              <w:autoSpaceDN w:val="0"/>
              <w:adjustRightInd w:val="0"/>
              <w:spacing w:before="60" w:after="60"/>
              <w:rPr>
                <w:sz w:val="18"/>
                <w:szCs w:val="18"/>
              </w:rPr>
            </w:pPr>
            <w:r>
              <w:rPr>
                <w:sz w:val="18"/>
                <w:szCs w:val="18"/>
              </w:rPr>
              <w:t>For this purpose of this document only</w:t>
            </w:r>
          </w:p>
        </w:tc>
      </w:tr>
      <w:tr w:rsidR="00F64D04" w:rsidRPr="00E125EA" w14:paraId="7FE47583" w14:textId="77777777" w:rsidTr="006048EB">
        <w:trPr>
          <w:trHeight w:val="279"/>
        </w:trPr>
        <w:tc>
          <w:tcPr>
            <w:tcW w:w="1843" w:type="dxa"/>
            <w:vMerge/>
            <w:tcBorders>
              <w:left w:val="single" w:sz="12" w:space="0" w:color="006D68"/>
              <w:bottom w:val="single" w:sz="12" w:space="0" w:color="006D68"/>
              <w:right w:val="single" w:sz="12" w:space="0" w:color="006D68"/>
            </w:tcBorders>
            <w:vAlign w:val="center"/>
          </w:tcPr>
          <w:p w14:paraId="5FEE0609" w14:textId="77777777" w:rsidR="00F64D04" w:rsidRDefault="00F64D04" w:rsidP="00C424A2">
            <w:pPr>
              <w:autoSpaceDE w:val="0"/>
              <w:autoSpaceDN w:val="0"/>
              <w:adjustRightInd w:val="0"/>
              <w:rPr>
                <w:sz w:val="18"/>
                <w:szCs w:val="18"/>
              </w:rPr>
            </w:pPr>
          </w:p>
        </w:tc>
        <w:tc>
          <w:tcPr>
            <w:tcW w:w="6306" w:type="dxa"/>
            <w:tcBorders>
              <w:top w:val="single" w:sz="12" w:space="0" w:color="006D68"/>
              <w:left w:val="single" w:sz="12" w:space="0" w:color="006D68"/>
              <w:bottom w:val="single" w:sz="12" w:space="0" w:color="006D68"/>
              <w:right w:val="single" w:sz="12" w:space="0" w:color="006D68"/>
            </w:tcBorders>
            <w:vAlign w:val="center"/>
          </w:tcPr>
          <w:p w14:paraId="496A6574" w14:textId="7641D332" w:rsidR="00F64D04" w:rsidRPr="002B1AA5" w:rsidRDefault="00F64D04" w:rsidP="002716CC">
            <w:pPr>
              <w:autoSpaceDE w:val="0"/>
              <w:autoSpaceDN w:val="0"/>
              <w:adjustRightInd w:val="0"/>
              <w:jc w:val="both"/>
              <w:rPr>
                <w:sz w:val="18"/>
                <w:szCs w:val="18"/>
              </w:rPr>
            </w:pPr>
            <w:r w:rsidRPr="00D62E4B">
              <w:rPr>
                <w:sz w:val="18"/>
                <w:szCs w:val="18"/>
              </w:rPr>
              <w:t>“design” includes drawings, design details, specifications and bills of quantities (including specification of articles or substances) relating to a structure, and calculations prepared for the purpose of a design;</w:t>
            </w:r>
          </w:p>
        </w:tc>
        <w:tc>
          <w:tcPr>
            <w:tcW w:w="1134" w:type="dxa"/>
            <w:tcBorders>
              <w:top w:val="single" w:sz="12" w:space="0" w:color="006D68"/>
              <w:left w:val="single" w:sz="12" w:space="0" w:color="006D68"/>
              <w:bottom w:val="single" w:sz="12" w:space="0" w:color="006D68"/>
              <w:right w:val="single" w:sz="12" w:space="0" w:color="006D68"/>
            </w:tcBorders>
          </w:tcPr>
          <w:p w14:paraId="11C2F959" w14:textId="25B9E05B" w:rsidR="00F64D04" w:rsidRDefault="00F64D04" w:rsidP="002716CC">
            <w:pPr>
              <w:autoSpaceDE w:val="0"/>
              <w:autoSpaceDN w:val="0"/>
              <w:adjustRightInd w:val="0"/>
              <w:spacing w:before="60" w:after="60"/>
              <w:rPr>
                <w:sz w:val="18"/>
                <w:szCs w:val="18"/>
              </w:rPr>
            </w:pPr>
            <w:r>
              <w:rPr>
                <w:sz w:val="18"/>
                <w:szCs w:val="18"/>
              </w:rPr>
              <w:t>CDM2015</w:t>
            </w:r>
          </w:p>
        </w:tc>
      </w:tr>
      <w:tr w:rsidR="00F64D04" w:rsidRPr="00E125EA" w14:paraId="501D4A18" w14:textId="25F1BA25" w:rsidTr="002B1AA5">
        <w:trPr>
          <w:trHeight w:val="632"/>
        </w:trPr>
        <w:tc>
          <w:tcPr>
            <w:tcW w:w="1843" w:type="dxa"/>
            <w:tcBorders>
              <w:top w:val="single" w:sz="12" w:space="0" w:color="006D68"/>
              <w:left w:val="single" w:sz="12" w:space="0" w:color="006D68"/>
              <w:bottom w:val="single" w:sz="12" w:space="0" w:color="006D68"/>
              <w:right w:val="single" w:sz="12" w:space="0" w:color="006D68"/>
            </w:tcBorders>
            <w:vAlign w:val="center"/>
          </w:tcPr>
          <w:p w14:paraId="741D27BA" w14:textId="0917D5CC" w:rsidR="00F64D04" w:rsidRPr="00941833" w:rsidRDefault="00F64D04" w:rsidP="00C424A2">
            <w:pPr>
              <w:autoSpaceDE w:val="0"/>
              <w:autoSpaceDN w:val="0"/>
              <w:adjustRightInd w:val="0"/>
              <w:rPr>
                <w:sz w:val="18"/>
                <w:szCs w:val="18"/>
              </w:rPr>
            </w:pPr>
            <w:r w:rsidRPr="002B6159">
              <w:rPr>
                <w:sz w:val="18"/>
                <w:szCs w:val="18"/>
              </w:rPr>
              <w:t>Design Life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1D89F233" w14:textId="2A53B3AA" w:rsidR="00F64D04" w:rsidRPr="00941833" w:rsidRDefault="00F64D04" w:rsidP="002716CC">
            <w:pPr>
              <w:autoSpaceDE w:val="0"/>
              <w:autoSpaceDN w:val="0"/>
              <w:adjustRightInd w:val="0"/>
              <w:jc w:val="both"/>
              <w:rPr>
                <w:sz w:val="18"/>
                <w:szCs w:val="18"/>
              </w:rPr>
            </w:pPr>
            <w:r w:rsidRPr="00150A69">
              <w:rPr>
                <w:sz w:val="18"/>
                <w:szCs w:val="18"/>
              </w:rPr>
              <w:t>The period of time during which a facility or component is expected to perform according to the technical specifications to which it was produced.</w:t>
            </w:r>
          </w:p>
        </w:tc>
        <w:tc>
          <w:tcPr>
            <w:tcW w:w="1134" w:type="dxa"/>
            <w:tcBorders>
              <w:top w:val="single" w:sz="12" w:space="0" w:color="006D68"/>
              <w:left w:val="single" w:sz="12" w:space="0" w:color="006D68"/>
              <w:bottom w:val="single" w:sz="12" w:space="0" w:color="006D68"/>
              <w:right w:val="single" w:sz="12" w:space="0" w:color="006D68"/>
            </w:tcBorders>
          </w:tcPr>
          <w:p w14:paraId="457ED39D" w14:textId="6247723B" w:rsidR="00F64D04" w:rsidRPr="00150A69" w:rsidRDefault="00F64D04" w:rsidP="002716CC">
            <w:pPr>
              <w:autoSpaceDE w:val="0"/>
              <w:autoSpaceDN w:val="0"/>
              <w:adjustRightInd w:val="0"/>
              <w:rPr>
                <w:sz w:val="18"/>
                <w:szCs w:val="18"/>
              </w:rPr>
            </w:pPr>
            <w:r w:rsidRPr="00150A69">
              <w:rPr>
                <w:sz w:val="18"/>
                <w:szCs w:val="18"/>
              </w:rPr>
              <w:t>IAEA</w:t>
            </w:r>
            <w:r>
              <w:rPr>
                <w:sz w:val="18"/>
                <w:szCs w:val="18"/>
              </w:rPr>
              <w:t xml:space="preserve"> </w:t>
            </w:r>
            <w:r w:rsidRPr="00150A69">
              <w:rPr>
                <w:sz w:val="18"/>
                <w:szCs w:val="18"/>
              </w:rPr>
              <w:t>Safety Glossary</w:t>
            </w:r>
          </w:p>
        </w:tc>
      </w:tr>
      <w:tr w:rsidR="00F64D04" w:rsidRPr="00E125EA" w14:paraId="222450E8" w14:textId="714B2F7D" w:rsidTr="002B1AA5">
        <w:trPr>
          <w:trHeight w:val="868"/>
        </w:trPr>
        <w:tc>
          <w:tcPr>
            <w:tcW w:w="1843" w:type="dxa"/>
            <w:tcBorders>
              <w:top w:val="single" w:sz="12" w:space="0" w:color="006D68"/>
              <w:left w:val="single" w:sz="12" w:space="0" w:color="006D68"/>
              <w:bottom w:val="single" w:sz="12" w:space="0" w:color="006D68"/>
              <w:right w:val="single" w:sz="12" w:space="0" w:color="006D68"/>
            </w:tcBorders>
            <w:vAlign w:val="center"/>
          </w:tcPr>
          <w:p w14:paraId="3582007D" w14:textId="6640A607" w:rsidR="00F64D04" w:rsidRPr="002B6159" w:rsidRDefault="00F64D04" w:rsidP="00C424A2">
            <w:pPr>
              <w:autoSpaceDE w:val="0"/>
              <w:autoSpaceDN w:val="0"/>
              <w:adjustRightInd w:val="0"/>
              <w:rPr>
                <w:sz w:val="18"/>
                <w:szCs w:val="18"/>
              </w:rPr>
            </w:pPr>
            <w:r>
              <w:rPr>
                <w:sz w:val="18"/>
                <w:szCs w:val="18"/>
              </w:rPr>
              <w:t>Design intent</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7599134" w14:textId="128B0047" w:rsidR="00F64D04" w:rsidRPr="00150A69" w:rsidRDefault="00F64D04" w:rsidP="002716CC">
            <w:pPr>
              <w:autoSpaceDE w:val="0"/>
              <w:autoSpaceDN w:val="0"/>
              <w:adjustRightInd w:val="0"/>
              <w:jc w:val="both"/>
              <w:rPr>
                <w:sz w:val="18"/>
                <w:szCs w:val="18"/>
              </w:rPr>
            </w:pPr>
            <w:r w:rsidRPr="00150A69">
              <w:rPr>
                <w:sz w:val="18"/>
                <w:szCs w:val="18"/>
              </w:rPr>
              <w:t>The fundamental criteria and characteristics (including</w:t>
            </w:r>
            <w:r>
              <w:rPr>
                <w:sz w:val="18"/>
                <w:szCs w:val="18"/>
              </w:rPr>
              <w:t xml:space="preserve"> </w:t>
            </w:r>
            <w:r w:rsidRPr="00150A69">
              <w:rPr>
                <w:sz w:val="18"/>
                <w:szCs w:val="18"/>
              </w:rPr>
              <w:t>reliability levels) that need to be realised in a facility, plant or</w:t>
            </w:r>
            <w:r>
              <w:rPr>
                <w:sz w:val="18"/>
                <w:szCs w:val="18"/>
              </w:rPr>
              <w:t xml:space="preserve"> </w:t>
            </w:r>
            <w:r w:rsidRPr="00150A69">
              <w:rPr>
                <w:sz w:val="18"/>
                <w:szCs w:val="18"/>
              </w:rPr>
              <w:t>SSC in order that it achieves its operational and safety</w:t>
            </w:r>
            <w:r>
              <w:rPr>
                <w:sz w:val="18"/>
                <w:szCs w:val="18"/>
              </w:rPr>
              <w:t xml:space="preserve"> </w:t>
            </w:r>
            <w:r w:rsidRPr="00150A69">
              <w:rPr>
                <w:sz w:val="18"/>
                <w:szCs w:val="18"/>
              </w:rPr>
              <w:t>functional requirements.</w:t>
            </w:r>
            <w:r>
              <w:rPr>
                <w:sz w:val="18"/>
                <w:szCs w:val="18"/>
              </w:rPr>
              <w:t xml:space="preserve"> </w:t>
            </w:r>
          </w:p>
        </w:tc>
        <w:tc>
          <w:tcPr>
            <w:tcW w:w="1134" w:type="dxa"/>
            <w:tcBorders>
              <w:top w:val="single" w:sz="12" w:space="0" w:color="006D68"/>
              <w:left w:val="single" w:sz="12" w:space="0" w:color="006D68"/>
              <w:bottom w:val="single" w:sz="12" w:space="0" w:color="006D68"/>
              <w:right w:val="single" w:sz="12" w:space="0" w:color="006D68"/>
            </w:tcBorders>
          </w:tcPr>
          <w:p w14:paraId="6C69B4D6" w14:textId="261B0C9F" w:rsidR="00F64D04" w:rsidRDefault="00F64D04" w:rsidP="002716CC">
            <w:pPr>
              <w:autoSpaceDE w:val="0"/>
              <w:autoSpaceDN w:val="0"/>
              <w:adjustRightInd w:val="0"/>
              <w:rPr>
                <w:sz w:val="18"/>
                <w:szCs w:val="18"/>
              </w:rPr>
            </w:pPr>
            <w:r>
              <w:rPr>
                <w:sz w:val="18"/>
                <w:szCs w:val="18"/>
              </w:rPr>
              <w:t>SAPs definition</w:t>
            </w:r>
          </w:p>
        </w:tc>
      </w:tr>
      <w:tr w:rsidR="00F64D04" w:rsidRPr="00E125EA" w14:paraId="142D3741" w14:textId="44CD70AD" w:rsidTr="002B1AA5">
        <w:trPr>
          <w:trHeight w:val="868"/>
        </w:trPr>
        <w:tc>
          <w:tcPr>
            <w:tcW w:w="1843" w:type="dxa"/>
            <w:tcBorders>
              <w:top w:val="single" w:sz="12" w:space="0" w:color="006D68"/>
              <w:left w:val="single" w:sz="12" w:space="0" w:color="006D68"/>
              <w:bottom w:val="single" w:sz="12" w:space="0" w:color="006D68"/>
              <w:right w:val="single" w:sz="12" w:space="0" w:color="006D68"/>
            </w:tcBorders>
            <w:vAlign w:val="center"/>
          </w:tcPr>
          <w:p w14:paraId="62C616F6" w14:textId="25AD7DC6" w:rsidR="00F64D04" w:rsidRDefault="00F64D04" w:rsidP="00C424A2">
            <w:pPr>
              <w:autoSpaceDE w:val="0"/>
              <w:autoSpaceDN w:val="0"/>
              <w:adjustRightInd w:val="0"/>
              <w:rPr>
                <w:sz w:val="18"/>
                <w:szCs w:val="18"/>
              </w:rPr>
            </w:pPr>
            <w:proofErr w:type="spellStart"/>
            <w:r>
              <w:rPr>
                <w:sz w:val="18"/>
                <w:szCs w:val="18"/>
              </w:rPr>
              <w:lastRenderedPageBreak/>
              <w:t>Dutyholder</w:t>
            </w:r>
            <w:proofErr w:type="spellEnd"/>
          </w:p>
        </w:tc>
        <w:tc>
          <w:tcPr>
            <w:tcW w:w="6306" w:type="dxa"/>
            <w:tcBorders>
              <w:top w:val="single" w:sz="12" w:space="0" w:color="006D68"/>
              <w:left w:val="single" w:sz="12" w:space="0" w:color="006D68"/>
              <w:bottom w:val="single" w:sz="12" w:space="0" w:color="006D68"/>
              <w:right w:val="single" w:sz="12" w:space="0" w:color="006D68"/>
            </w:tcBorders>
            <w:vAlign w:val="center"/>
          </w:tcPr>
          <w:p w14:paraId="646BBC8C" w14:textId="736D5270" w:rsidR="00F64D04" w:rsidRDefault="00F64D04" w:rsidP="002716CC">
            <w:pPr>
              <w:autoSpaceDE w:val="0"/>
              <w:autoSpaceDN w:val="0"/>
              <w:adjustRightInd w:val="0"/>
              <w:jc w:val="both"/>
              <w:rPr>
                <w:sz w:val="18"/>
                <w:szCs w:val="18"/>
              </w:rPr>
            </w:pPr>
            <w:r w:rsidRPr="002716CC">
              <w:rPr>
                <w:sz w:val="18"/>
                <w:szCs w:val="18"/>
              </w:rPr>
              <w:t xml:space="preserve">For the purpose of this annex, the </w:t>
            </w:r>
            <w:proofErr w:type="spellStart"/>
            <w:r w:rsidRPr="002716CC">
              <w:rPr>
                <w:sz w:val="18"/>
                <w:szCs w:val="18"/>
              </w:rPr>
              <w:t>dutyholder</w:t>
            </w:r>
            <w:proofErr w:type="spellEnd"/>
            <w:r w:rsidRPr="002716CC">
              <w:rPr>
                <w:sz w:val="18"/>
                <w:szCs w:val="18"/>
              </w:rPr>
              <w:t xml:space="preserve"> is any organisation or person that holds duties under legislation that ONR regulates. ‘</w:t>
            </w:r>
            <w:proofErr w:type="spellStart"/>
            <w:r w:rsidRPr="002716CC">
              <w:rPr>
                <w:sz w:val="18"/>
                <w:szCs w:val="18"/>
              </w:rPr>
              <w:t>Dutyholder</w:t>
            </w:r>
            <w:proofErr w:type="spellEnd"/>
            <w:r w:rsidRPr="002716CC">
              <w:rPr>
                <w:sz w:val="18"/>
                <w:szCs w:val="18"/>
              </w:rPr>
              <w:t xml:space="preserve">’ includes Licensees, Requesting Parties, Potential Future Licensees, Operational Licence </w:t>
            </w:r>
            <w:proofErr w:type="spellStart"/>
            <w:r w:rsidRPr="002716CC">
              <w:rPr>
                <w:sz w:val="18"/>
                <w:szCs w:val="18"/>
              </w:rPr>
              <w:t>Dutyholders</w:t>
            </w:r>
            <w:proofErr w:type="spellEnd"/>
            <w:r w:rsidRPr="002716CC">
              <w:rPr>
                <w:sz w:val="18"/>
                <w:szCs w:val="18"/>
              </w:rPr>
              <w:t>, Decommissioning Site Licensees, New Build Site Licensees, budget holders, vendors and supply chain members.</w:t>
            </w:r>
          </w:p>
        </w:tc>
        <w:tc>
          <w:tcPr>
            <w:tcW w:w="1134" w:type="dxa"/>
            <w:tcBorders>
              <w:top w:val="single" w:sz="12" w:space="0" w:color="006D68"/>
              <w:left w:val="single" w:sz="12" w:space="0" w:color="006D68"/>
              <w:bottom w:val="single" w:sz="12" w:space="0" w:color="006D68"/>
              <w:right w:val="single" w:sz="12" w:space="0" w:color="006D68"/>
            </w:tcBorders>
          </w:tcPr>
          <w:p w14:paraId="18687B09" w14:textId="06332871" w:rsidR="00F64D04" w:rsidRPr="002716CC" w:rsidRDefault="00F64D04" w:rsidP="002716CC">
            <w:pPr>
              <w:autoSpaceDE w:val="0"/>
              <w:autoSpaceDN w:val="0"/>
              <w:adjustRightInd w:val="0"/>
              <w:rPr>
                <w:sz w:val="18"/>
                <w:szCs w:val="18"/>
              </w:rPr>
            </w:pPr>
            <w:r>
              <w:rPr>
                <w:sz w:val="18"/>
                <w:szCs w:val="18"/>
              </w:rPr>
              <w:t>For this purpose of this document only</w:t>
            </w:r>
          </w:p>
        </w:tc>
      </w:tr>
      <w:tr w:rsidR="00F64D04" w:rsidRPr="00E125EA" w14:paraId="5E68EC5C" w14:textId="3F4B38E0" w:rsidTr="002B1AA5">
        <w:trPr>
          <w:trHeight w:val="872"/>
        </w:trPr>
        <w:tc>
          <w:tcPr>
            <w:tcW w:w="1843" w:type="dxa"/>
            <w:tcBorders>
              <w:top w:val="single" w:sz="12" w:space="0" w:color="006D68"/>
              <w:left w:val="single" w:sz="12" w:space="0" w:color="006D68"/>
              <w:bottom w:val="single" w:sz="12" w:space="0" w:color="006D68"/>
              <w:right w:val="single" w:sz="12" w:space="0" w:color="006D68"/>
            </w:tcBorders>
            <w:vAlign w:val="center"/>
          </w:tcPr>
          <w:p w14:paraId="0CB0AC0E" w14:textId="7A406181" w:rsidR="00F64D04" w:rsidRDefault="00F64D04" w:rsidP="00C424A2">
            <w:pPr>
              <w:autoSpaceDE w:val="0"/>
              <w:autoSpaceDN w:val="0"/>
              <w:adjustRightInd w:val="0"/>
              <w:rPr>
                <w:sz w:val="18"/>
                <w:szCs w:val="18"/>
              </w:rPr>
            </w:pPr>
            <w:r>
              <w:rPr>
                <w:sz w:val="18"/>
                <w:szCs w:val="18"/>
              </w:rPr>
              <w:t>End state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70C55C0A" w14:textId="55E4241F" w:rsidR="00F64D04" w:rsidRPr="00EA12F3" w:rsidRDefault="00F64D04" w:rsidP="002716CC">
            <w:pPr>
              <w:autoSpaceDE w:val="0"/>
              <w:autoSpaceDN w:val="0"/>
              <w:adjustRightInd w:val="0"/>
              <w:jc w:val="both"/>
              <w:rPr>
                <w:sz w:val="18"/>
                <w:szCs w:val="18"/>
              </w:rPr>
            </w:pPr>
            <w:r w:rsidRPr="00EA12F3">
              <w:rPr>
                <w:sz w:val="18"/>
                <w:szCs w:val="18"/>
              </w:rPr>
              <w:t>A predetermined criterion defining the point at which the specific task or process is to be considered completed. The licensee can apply for termination of the license when the proposed end</w:t>
            </w:r>
            <w:r>
              <w:rPr>
                <w:sz w:val="18"/>
                <w:szCs w:val="18"/>
              </w:rPr>
              <w:t>-</w:t>
            </w:r>
            <w:r w:rsidRPr="00EA12F3">
              <w:rPr>
                <w:sz w:val="18"/>
                <w:szCs w:val="18"/>
              </w:rPr>
              <w:t>state of decommissioning activities has been reached.</w:t>
            </w:r>
          </w:p>
        </w:tc>
        <w:tc>
          <w:tcPr>
            <w:tcW w:w="1134" w:type="dxa"/>
            <w:tcBorders>
              <w:top w:val="single" w:sz="12" w:space="0" w:color="006D68"/>
              <w:left w:val="single" w:sz="12" w:space="0" w:color="006D68"/>
              <w:bottom w:val="single" w:sz="12" w:space="0" w:color="006D68"/>
              <w:right w:val="single" w:sz="12" w:space="0" w:color="006D68"/>
            </w:tcBorders>
          </w:tcPr>
          <w:p w14:paraId="43D1AFA8" w14:textId="6B746D19" w:rsidR="00F64D04" w:rsidRDefault="00F64D04" w:rsidP="002716CC">
            <w:pPr>
              <w:autoSpaceDE w:val="0"/>
              <w:autoSpaceDN w:val="0"/>
              <w:adjustRightInd w:val="0"/>
              <w:rPr>
                <w:sz w:val="18"/>
                <w:szCs w:val="18"/>
              </w:rPr>
            </w:pPr>
            <w:r>
              <w:rPr>
                <w:sz w:val="18"/>
                <w:szCs w:val="18"/>
              </w:rPr>
              <w:t>WENRA DSRL</w:t>
            </w:r>
          </w:p>
        </w:tc>
      </w:tr>
      <w:tr w:rsidR="00F64D04" w:rsidRPr="00E125EA" w14:paraId="79F8C581" w14:textId="27503EC1"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5764FC99" w14:textId="317879F8" w:rsidR="00F64D04" w:rsidRPr="00FB64FE" w:rsidRDefault="00F64D04" w:rsidP="00C424A2">
            <w:pPr>
              <w:autoSpaceDE w:val="0"/>
              <w:autoSpaceDN w:val="0"/>
              <w:adjustRightInd w:val="0"/>
              <w:rPr>
                <w:sz w:val="18"/>
                <w:szCs w:val="18"/>
              </w:rPr>
            </w:pPr>
            <w:r>
              <w:rPr>
                <w:sz w:val="18"/>
                <w:szCs w:val="18"/>
              </w:rPr>
              <w:t>Management system</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C5F4472" w14:textId="5C53FD6D" w:rsidR="00F64D04" w:rsidRPr="00EA12F3" w:rsidRDefault="00F64D04" w:rsidP="002716CC">
            <w:pPr>
              <w:autoSpaceDE w:val="0"/>
              <w:autoSpaceDN w:val="0"/>
              <w:adjustRightInd w:val="0"/>
              <w:jc w:val="both"/>
              <w:rPr>
                <w:sz w:val="18"/>
                <w:szCs w:val="18"/>
              </w:rPr>
            </w:pPr>
            <w:r w:rsidRPr="00EA12F3">
              <w:rPr>
                <w:sz w:val="18"/>
                <w:szCs w:val="18"/>
              </w:rPr>
              <w:t>A set of interrelated or interacting elements (system) for establishing policies and objectives and enabling the objectives to be achieved in an efficient and effective manner. The management system integrates all elements of an organization into one coherent system to enable all of the organization’s objectives to be achieved. These elements include the organizational structure, resources and processes. Personnel, equipment and organizational culture as well as the documented policies and processes are parts of the management system. The organization’s processes have to address the totality of the requirements on the</w:t>
            </w:r>
          </w:p>
          <w:p w14:paraId="583B675A" w14:textId="0EDC164D" w:rsidR="00F64D04" w:rsidRPr="00FB64FE" w:rsidRDefault="00F64D04" w:rsidP="002716CC">
            <w:pPr>
              <w:autoSpaceDE w:val="0"/>
              <w:autoSpaceDN w:val="0"/>
              <w:adjustRightInd w:val="0"/>
              <w:jc w:val="both"/>
              <w:rPr>
                <w:sz w:val="18"/>
                <w:szCs w:val="18"/>
              </w:rPr>
            </w:pPr>
            <w:r w:rsidRPr="00EA12F3">
              <w:rPr>
                <w:sz w:val="18"/>
                <w:szCs w:val="18"/>
              </w:rPr>
              <w:t>organization as established in, for example, IAEA safety standards and other international codes and standards.</w:t>
            </w:r>
          </w:p>
        </w:tc>
        <w:tc>
          <w:tcPr>
            <w:tcW w:w="1134" w:type="dxa"/>
            <w:tcBorders>
              <w:top w:val="single" w:sz="12" w:space="0" w:color="006D68"/>
              <w:left w:val="single" w:sz="12" w:space="0" w:color="006D68"/>
              <w:bottom w:val="single" w:sz="12" w:space="0" w:color="006D68"/>
              <w:right w:val="single" w:sz="12" w:space="0" w:color="006D68"/>
            </w:tcBorders>
          </w:tcPr>
          <w:p w14:paraId="4C843C4B" w14:textId="12EDF452" w:rsidR="00F64D04" w:rsidRDefault="00F64D04" w:rsidP="002716CC">
            <w:pPr>
              <w:autoSpaceDE w:val="0"/>
              <w:autoSpaceDN w:val="0"/>
              <w:adjustRightInd w:val="0"/>
              <w:rPr>
                <w:sz w:val="18"/>
                <w:szCs w:val="18"/>
              </w:rPr>
            </w:pPr>
            <w:r>
              <w:rPr>
                <w:sz w:val="18"/>
                <w:szCs w:val="18"/>
              </w:rPr>
              <w:t>WENRA DSRL</w:t>
            </w:r>
          </w:p>
        </w:tc>
      </w:tr>
      <w:tr w:rsidR="00F64D04" w:rsidRPr="00E125EA" w14:paraId="348418F0" w14:textId="08E7DCFE"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79E2A179" w14:textId="6321E135" w:rsidR="00F64D04" w:rsidRDefault="00F64D04" w:rsidP="00C424A2">
            <w:pPr>
              <w:autoSpaceDE w:val="0"/>
              <w:autoSpaceDN w:val="0"/>
              <w:adjustRightInd w:val="0"/>
              <w:rPr>
                <w:sz w:val="18"/>
                <w:szCs w:val="18"/>
              </w:rPr>
            </w:pPr>
            <w:r>
              <w:rPr>
                <w:sz w:val="18"/>
                <w:szCs w:val="18"/>
              </w:rPr>
              <w:t>Nuclear Facility</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06598D08" w14:textId="6BDB070F" w:rsidR="00F64D04" w:rsidRPr="00FB64FE" w:rsidRDefault="00F64D04" w:rsidP="002716CC">
            <w:pPr>
              <w:autoSpaceDE w:val="0"/>
              <w:autoSpaceDN w:val="0"/>
              <w:adjustRightInd w:val="0"/>
              <w:jc w:val="both"/>
              <w:rPr>
                <w:sz w:val="18"/>
                <w:szCs w:val="18"/>
              </w:rPr>
            </w:pPr>
            <w:r w:rsidRPr="00EA12F3">
              <w:rPr>
                <w:sz w:val="18"/>
                <w:szCs w:val="18"/>
              </w:rPr>
              <w:t>A facility and its associated land, buildings and equipment in which nuclear materials are produced,</w:t>
            </w:r>
            <w:r>
              <w:rPr>
                <w:sz w:val="18"/>
                <w:szCs w:val="18"/>
              </w:rPr>
              <w:t xml:space="preserve"> </w:t>
            </w:r>
            <w:r w:rsidRPr="00EA12F3">
              <w:rPr>
                <w:sz w:val="18"/>
                <w:szCs w:val="18"/>
              </w:rPr>
              <w:t>processed, used, handled, stored or disposed of on such a scale that consideration of</w:t>
            </w:r>
            <w:r>
              <w:rPr>
                <w:sz w:val="18"/>
                <w:szCs w:val="18"/>
              </w:rPr>
              <w:t xml:space="preserve"> </w:t>
            </w:r>
            <w:r w:rsidRPr="00EA12F3">
              <w:rPr>
                <w:sz w:val="18"/>
                <w:szCs w:val="18"/>
              </w:rPr>
              <w:t>safety is required.</w:t>
            </w:r>
          </w:p>
        </w:tc>
        <w:tc>
          <w:tcPr>
            <w:tcW w:w="1134" w:type="dxa"/>
            <w:tcBorders>
              <w:top w:val="single" w:sz="12" w:space="0" w:color="006D68"/>
              <w:left w:val="single" w:sz="12" w:space="0" w:color="006D68"/>
              <w:bottom w:val="single" w:sz="12" w:space="0" w:color="006D68"/>
              <w:right w:val="single" w:sz="12" w:space="0" w:color="006D68"/>
            </w:tcBorders>
          </w:tcPr>
          <w:p w14:paraId="4215A8DB" w14:textId="3A409A01" w:rsidR="00F64D04" w:rsidRDefault="00F64D04" w:rsidP="002716CC">
            <w:pPr>
              <w:autoSpaceDE w:val="0"/>
              <w:autoSpaceDN w:val="0"/>
              <w:adjustRightInd w:val="0"/>
              <w:rPr>
                <w:sz w:val="18"/>
                <w:szCs w:val="18"/>
              </w:rPr>
            </w:pPr>
            <w:r w:rsidRPr="00E50930">
              <w:rPr>
                <w:sz w:val="18"/>
                <w:szCs w:val="18"/>
              </w:rPr>
              <w:t>WENRA DSRL</w:t>
            </w:r>
          </w:p>
        </w:tc>
      </w:tr>
      <w:tr w:rsidR="00F64D04" w:rsidRPr="00E125EA" w14:paraId="3C73688E" w14:textId="3DBAD7B2"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40FF96A7" w14:textId="327ED233" w:rsidR="00F64D04" w:rsidRDefault="00F64D04" w:rsidP="00C424A2">
            <w:pPr>
              <w:autoSpaceDE w:val="0"/>
              <w:autoSpaceDN w:val="0"/>
              <w:adjustRightInd w:val="0"/>
              <w:rPr>
                <w:sz w:val="18"/>
                <w:szCs w:val="18"/>
              </w:rPr>
            </w:pPr>
            <w:r>
              <w:rPr>
                <w:sz w:val="18"/>
                <w:szCs w:val="18"/>
              </w:rPr>
              <w:t xml:space="preserve">Nuclear Safety </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28436481" w14:textId="02A61FDE" w:rsidR="00F64D04" w:rsidRPr="00FB64FE" w:rsidRDefault="00F64D04" w:rsidP="002716CC">
            <w:pPr>
              <w:autoSpaceDE w:val="0"/>
              <w:autoSpaceDN w:val="0"/>
              <w:adjustRightInd w:val="0"/>
              <w:jc w:val="both"/>
              <w:rPr>
                <w:sz w:val="18"/>
                <w:szCs w:val="18"/>
              </w:rPr>
            </w:pPr>
            <w:r>
              <w:rPr>
                <w:sz w:val="18"/>
                <w:szCs w:val="18"/>
              </w:rPr>
              <w:t>The achievement of proper operating conditions, prevention o</w:t>
            </w:r>
            <w:r w:rsidR="00F9130D">
              <w:rPr>
                <w:sz w:val="18"/>
                <w:szCs w:val="18"/>
              </w:rPr>
              <w:t>f</w:t>
            </w:r>
            <w:r>
              <w:rPr>
                <w:sz w:val="18"/>
                <w:szCs w:val="18"/>
              </w:rPr>
              <w:t xml:space="preserve"> accidents or mitigation of accident consequences, resulting in protection of workers the public and the environment from undue radiation hazards</w:t>
            </w:r>
          </w:p>
        </w:tc>
        <w:tc>
          <w:tcPr>
            <w:tcW w:w="1134" w:type="dxa"/>
            <w:tcBorders>
              <w:top w:val="single" w:sz="12" w:space="0" w:color="006D68"/>
              <w:left w:val="single" w:sz="12" w:space="0" w:color="006D68"/>
              <w:bottom w:val="single" w:sz="12" w:space="0" w:color="006D68"/>
              <w:right w:val="single" w:sz="12" w:space="0" w:color="006D68"/>
            </w:tcBorders>
          </w:tcPr>
          <w:p w14:paraId="43F1A480" w14:textId="318BEE47" w:rsidR="00F64D04" w:rsidRDefault="00F64D04" w:rsidP="002716CC">
            <w:pPr>
              <w:autoSpaceDE w:val="0"/>
              <w:autoSpaceDN w:val="0"/>
              <w:adjustRightInd w:val="0"/>
              <w:rPr>
                <w:sz w:val="18"/>
                <w:szCs w:val="18"/>
              </w:rPr>
            </w:pPr>
            <w:r w:rsidRPr="00E50930">
              <w:rPr>
                <w:sz w:val="18"/>
                <w:szCs w:val="18"/>
              </w:rPr>
              <w:t>WENRA DSRL</w:t>
            </w:r>
          </w:p>
        </w:tc>
      </w:tr>
      <w:tr w:rsidR="00F64D04" w:rsidRPr="00E125EA" w14:paraId="09A883B6" w14:textId="1D51B33C"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4DFAA246" w14:textId="20D180DC" w:rsidR="00F64D04" w:rsidRDefault="00F64D04" w:rsidP="00C424A2">
            <w:pPr>
              <w:autoSpaceDE w:val="0"/>
              <w:autoSpaceDN w:val="0"/>
              <w:adjustRightInd w:val="0"/>
              <w:rPr>
                <w:sz w:val="18"/>
                <w:szCs w:val="18"/>
              </w:rPr>
            </w:pPr>
            <w:r>
              <w:rPr>
                <w:sz w:val="18"/>
                <w:szCs w:val="18"/>
              </w:rPr>
              <w:t>Operation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2330292E" w14:textId="18F8DDE5" w:rsidR="00F64D04" w:rsidRDefault="00F64D04" w:rsidP="002716CC">
            <w:pPr>
              <w:autoSpaceDE w:val="0"/>
              <w:autoSpaceDN w:val="0"/>
              <w:adjustRightInd w:val="0"/>
              <w:jc w:val="both"/>
              <w:rPr>
                <w:sz w:val="18"/>
                <w:szCs w:val="18"/>
              </w:rPr>
            </w:pPr>
            <w:r w:rsidRPr="00EA12F3">
              <w:rPr>
                <w:sz w:val="18"/>
                <w:szCs w:val="18"/>
              </w:rPr>
              <w:t>All activities performed to achieve the purpose for which an authorized facility was constructed.</w:t>
            </w:r>
          </w:p>
        </w:tc>
        <w:tc>
          <w:tcPr>
            <w:tcW w:w="1134" w:type="dxa"/>
            <w:tcBorders>
              <w:top w:val="single" w:sz="12" w:space="0" w:color="006D68"/>
              <w:left w:val="single" w:sz="12" w:space="0" w:color="006D68"/>
              <w:bottom w:val="single" w:sz="12" w:space="0" w:color="006D68"/>
              <w:right w:val="single" w:sz="12" w:space="0" w:color="006D68"/>
            </w:tcBorders>
          </w:tcPr>
          <w:p w14:paraId="6255B6C6" w14:textId="34E0F5C5" w:rsidR="00F64D04" w:rsidRDefault="00F64D04" w:rsidP="002716CC">
            <w:pPr>
              <w:autoSpaceDE w:val="0"/>
              <w:autoSpaceDN w:val="0"/>
              <w:adjustRightInd w:val="0"/>
              <w:rPr>
                <w:sz w:val="18"/>
                <w:szCs w:val="18"/>
              </w:rPr>
            </w:pPr>
            <w:r w:rsidRPr="00E50930">
              <w:rPr>
                <w:sz w:val="18"/>
                <w:szCs w:val="18"/>
              </w:rPr>
              <w:t>WENRA DSRL</w:t>
            </w:r>
          </w:p>
        </w:tc>
      </w:tr>
      <w:tr w:rsidR="00F64D04" w:rsidRPr="00E125EA" w14:paraId="780469EB" w14:textId="7A63ED32"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3AAC9E4E" w14:textId="5C6054A1" w:rsidR="00F64D04" w:rsidRDefault="00F64D04" w:rsidP="00C424A2">
            <w:pPr>
              <w:autoSpaceDE w:val="0"/>
              <w:autoSpaceDN w:val="0"/>
              <w:adjustRightInd w:val="0"/>
              <w:rPr>
                <w:sz w:val="18"/>
                <w:szCs w:val="18"/>
              </w:rPr>
            </w:pPr>
            <w:r>
              <w:rPr>
                <w:sz w:val="18"/>
                <w:szCs w:val="18"/>
              </w:rPr>
              <w:t>Risk</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0B41D7E7" w14:textId="42F147CE" w:rsidR="00F64D04" w:rsidRPr="00150A69" w:rsidRDefault="00F64D04" w:rsidP="00F64D04">
            <w:pPr>
              <w:autoSpaceDE w:val="0"/>
              <w:autoSpaceDN w:val="0"/>
              <w:adjustRightInd w:val="0"/>
              <w:rPr>
                <w:sz w:val="18"/>
                <w:szCs w:val="18"/>
              </w:rPr>
            </w:pPr>
            <w:r>
              <w:rPr>
                <w:sz w:val="18"/>
                <w:szCs w:val="18"/>
              </w:rPr>
              <w:t>T</w:t>
            </w:r>
            <w:r w:rsidRPr="00150A69">
              <w:rPr>
                <w:sz w:val="18"/>
                <w:szCs w:val="18"/>
              </w:rPr>
              <w:t>he chance that someone or something is adversely</w:t>
            </w:r>
            <w:r>
              <w:rPr>
                <w:sz w:val="18"/>
                <w:szCs w:val="18"/>
              </w:rPr>
              <w:t xml:space="preserve"> </w:t>
            </w:r>
            <w:r w:rsidRPr="00150A69">
              <w:rPr>
                <w:sz w:val="18"/>
                <w:szCs w:val="18"/>
              </w:rPr>
              <w:t>affected in a particular manner by a hazard (R2P2).</w:t>
            </w:r>
          </w:p>
        </w:tc>
        <w:tc>
          <w:tcPr>
            <w:tcW w:w="1134" w:type="dxa"/>
            <w:tcBorders>
              <w:top w:val="single" w:sz="12" w:space="0" w:color="006D68"/>
              <w:left w:val="single" w:sz="12" w:space="0" w:color="006D68"/>
              <w:bottom w:val="single" w:sz="12" w:space="0" w:color="006D68"/>
              <w:right w:val="single" w:sz="12" w:space="0" w:color="006D68"/>
            </w:tcBorders>
          </w:tcPr>
          <w:p w14:paraId="668F85D5" w14:textId="5864EE2F" w:rsidR="00F64D04" w:rsidRPr="00150A69" w:rsidRDefault="00F64D04" w:rsidP="002716CC">
            <w:pPr>
              <w:autoSpaceDE w:val="0"/>
              <w:autoSpaceDN w:val="0"/>
              <w:adjustRightInd w:val="0"/>
              <w:rPr>
                <w:sz w:val="18"/>
                <w:szCs w:val="18"/>
              </w:rPr>
            </w:pPr>
            <w:r>
              <w:rPr>
                <w:sz w:val="18"/>
                <w:szCs w:val="18"/>
              </w:rPr>
              <w:t>SAPs definition</w:t>
            </w:r>
          </w:p>
        </w:tc>
      </w:tr>
      <w:tr w:rsidR="00F64D04" w:rsidRPr="00E125EA" w14:paraId="09D983DA" w14:textId="2F2E55BB"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0B09414D" w14:textId="78A3E7E2" w:rsidR="00F64D04" w:rsidRDefault="00F64D04" w:rsidP="00C424A2">
            <w:pPr>
              <w:autoSpaceDE w:val="0"/>
              <w:autoSpaceDN w:val="0"/>
              <w:adjustRightInd w:val="0"/>
              <w:rPr>
                <w:sz w:val="18"/>
                <w:szCs w:val="18"/>
              </w:rPr>
            </w:pPr>
            <w:r>
              <w:rPr>
                <w:sz w:val="18"/>
                <w:szCs w:val="18"/>
              </w:rPr>
              <w:t>Safety Case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EB7A729" w14:textId="77777777" w:rsidR="00F64D04" w:rsidRPr="00EA12F3" w:rsidRDefault="00F64D04" w:rsidP="00F64D04">
            <w:pPr>
              <w:autoSpaceDE w:val="0"/>
              <w:autoSpaceDN w:val="0"/>
              <w:adjustRightInd w:val="0"/>
              <w:jc w:val="both"/>
              <w:rPr>
                <w:sz w:val="18"/>
                <w:szCs w:val="18"/>
              </w:rPr>
            </w:pPr>
            <w:r w:rsidRPr="00EA12F3">
              <w:rPr>
                <w:sz w:val="18"/>
                <w:szCs w:val="18"/>
              </w:rPr>
              <w:t>A collection of arguments and evidence in support of the safety of a facility or activity.</w:t>
            </w:r>
          </w:p>
          <w:p w14:paraId="3D5C9090" w14:textId="77777777" w:rsidR="00F64D04" w:rsidRDefault="00F64D04" w:rsidP="00F64D04">
            <w:pPr>
              <w:autoSpaceDE w:val="0"/>
              <w:autoSpaceDN w:val="0"/>
              <w:adjustRightInd w:val="0"/>
              <w:jc w:val="both"/>
              <w:rPr>
                <w:sz w:val="18"/>
                <w:szCs w:val="18"/>
              </w:rPr>
            </w:pPr>
            <w:r w:rsidRPr="00EA12F3">
              <w:rPr>
                <w:sz w:val="18"/>
                <w:szCs w:val="18"/>
              </w:rPr>
              <w:t>This will normally include the findings of a safety assessment and a statement of confidence</w:t>
            </w:r>
            <w:r>
              <w:rPr>
                <w:sz w:val="18"/>
                <w:szCs w:val="18"/>
              </w:rPr>
              <w:t xml:space="preserve"> </w:t>
            </w:r>
            <w:r w:rsidRPr="00EA12F3">
              <w:rPr>
                <w:sz w:val="18"/>
                <w:szCs w:val="18"/>
              </w:rPr>
              <w:t>in these findings.</w:t>
            </w:r>
          </w:p>
          <w:p w14:paraId="6A45E895" w14:textId="77777777" w:rsidR="00F64D04" w:rsidRDefault="00F64D04" w:rsidP="00F64D04">
            <w:pPr>
              <w:autoSpaceDE w:val="0"/>
              <w:autoSpaceDN w:val="0"/>
              <w:adjustRightInd w:val="0"/>
              <w:jc w:val="both"/>
              <w:rPr>
                <w:sz w:val="18"/>
                <w:szCs w:val="18"/>
              </w:rPr>
            </w:pPr>
          </w:p>
          <w:p w14:paraId="2950188E" w14:textId="77777777" w:rsidR="00F64D04" w:rsidRPr="00150A69" w:rsidRDefault="00F64D04" w:rsidP="00F64D04">
            <w:pPr>
              <w:autoSpaceDE w:val="0"/>
              <w:autoSpaceDN w:val="0"/>
              <w:adjustRightInd w:val="0"/>
              <w:jc w:val="both"/>
              <w:rPr>
                <w:sz w:val="18"/>
                <w:szCs w:val="18"/>
              </w:rPr>
            </w:pPr>
            <w:r w:rsidRPr="00150A69">
              <w:rPr>
                <w:sz w:val="18"/>
                <w:szCs w:val="18"/>
              </w:rPr>
              <w:t>SAPs definition:</w:t>
            </w:r>
          </w:p>
          <w:p w14:paraId="7D1AD7E6" w14:textId="586EE471" w:rsidR="00F64D04" w:rsidRDefault="00F64D04" w:rsidP="00F64D04">
            <w:pPr>
              <w:autoSpaceDE w:val="0"/>
              <w:autoSpaceDN w:val="0"/>
              <w:adjustRightInd w:val="0"/>
              <w:jc w:val="both"/>
              <w:rPr>
                <w:sz w:val="18"/>
                <w:szCs w:val="18"/>
              </w:rPr>
            </w:pPr>
            <w:r w:rsidRPr="00150A69">
              <w:rPr>
                <w:sz w:val="18"/>
                <w:szCs w:val="18"/>
              </w:rPr>
              <w:t xml:space="preserve">‘safety case’ refers to the totality of a licensee’s (or </w:t>
            </w:r>
            <w:proofErr w:type="spellStart"/>
            <w:r w:rsidRPr="00150A69">
              <w:rPr>
                <w:sz w:val="18"/>
                <w:szCs w:val="18"/>
              </w:rPr>
              <w:t>dutyholder’s</w:t>
            </w:r>
            <w:proofErr w:type="spellEnd"/>
            <w:r w:rsidRPr="00150A69">
              <w:rPr>
                <w:sz w:val="18"/>
                <w:szCs w:val="18"/>
              </w:rPr>
              <w:t>) documentation to demonstrate safety, and any sub-set of this documentation that is submitted to ONR. Note: Licence Condition 1 defines ‘safety case’ as the document or documents produced by the licensee in accordance with Licence Condition 14.</w:t>
            </w:r>
          </w:p>
        </w:tc>
        <w:tc>
          <w:tcPr>
            <w:tcW w:w="1134" w:type="dxa"/>
            <w:tcBorders>
              <w:top w:val="single" w:sz="12" w:space="0" w:color="006D68"/>
              <w:left w:val="single" w:sz="12" w:space="0" w:color="006D68"/>
              <w:bottom w:val="single" w:sz="12" w:space="0" w:color="006D68"/>
              <w:right w:val="single" w:sz="12" w:space="0" w:color="006D68"/>
            </w:tcBorders>
          </w:tcPr>
          <w:p w14:paraId="1F9BB2FD" w14:textId="15B3AD14" w:rsidR="00F64D04" w:rsidRDefault="00F64D04" w:rsidP="002716CC">
            <w:pPr>
              <w:autoSpaceDE w:val="0"/>
              <w:autoSpaceDN w:val="0"/>
              <w:adjustRightInd w:val="0"/>
              <w:rPr>
                <w:sz w:val="18"/>
                <w:szCs w:val="18"/>
              </w:rPr>
            </w:pPr>
            <w:r w:rsidRPr="00A57C80">
              <w:rPr>
                <w:sz w:val="18"/>
                <w:szCs w:val="18"/>
              </w:rPr>
              <w:t>WENRA DSRL</w:t>
            </w:r>
          </w:p>
        </w:tc>
      </w:tr>
      <w:tr w:rsidR="00F64D04" w:rsidRPr="00E125EA" w14:paraId="21416FA1" w14:textId="6F2B0A28"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1F8DE76C" w14:textId="4D8B0C9B" w:rsidR="00F64D04" w:rsidRDefault="00F64D04" w:rsidP="00C424A2">
            <w:pPr>
              <w:autoSpaceDE w:val="0"/>
              <w:autoSpaceDN w:val="0"/>
              <w:adjustRightInd w:val="0"/>
              <w:rPr>
                <w:sz w:val="18"/>
                <w:szCs w:val="18"/>
              </w:rPr>
            </w:pPr>
            <w:r>
              <w:rPr>
                <w:sz w:val="18"/>
                <w:szCs w:val="18"/>
              </w:rPr>
              <w:t xml:space="preserve">Safety function </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B4F9852" w14:textId="4BABEA50" w:rsidR="00F64D04" w:rsidRDefault="00F64D04" w:rsidP="00F64D04">
            <w:pPr>
              <w:autoSpaceDE w:val="0"/>
              <w:autoSpaceDN w:val="0"/>
              <w:adjustRightInd w:val="0"/>
              <w:jc w:val="both"/>
              <w:rPr>
                <w:sz w:val="18"/>
                <w:szCs w:val="18"/>
              </w:rPr>
            </w:pPr>
          </w:p>
          <w:p w14:paraId="21F3CE63" w14:textId="4E5BB75B" w:rsidR="00F64D04" w:rsidRDefault="00F64D04" w:rsidP="00F64D04">
            <w:pPr>
              <w:autoSpaceDE w:val="0"/>
              <w:autoSpaceDN w:val="0"/>
              <w:adjustRightInd w:val="0"/>
              <w:jc w:val="both"/>
              <w:rPr>
                <w:sz w:val="18"/>
                <w:szCs w:val="18"/>
              </w:rPr>
            </w:pPr>
            <w:r>
              <w:rPr>
                <w:sz w:val="18"/>
                <w:szCs w:val="18"/>
              </w:rPr>
              <w:t xml:space="preserve">A </w:t>
            </w:r>
            <w:r w:rsidRPr="00150A69">
              <w:rPr>
                <w:sz w:val="18"/>
                <w:szCs w:val="18"/>
              </w:rPr>
              <w:t>specific purpose that must be accomplished for safety</w:t>
            </w:r>
          </w:p>
        </w:tc>
        <w:tc>
          <w:tcPr>
            <w:tcW w:w="1134" w:type="dxa"/>
            <w:tcBorders>
              <w:top w:val="single" w:sz="12" w:space="0" w:color="006D68"/>
              <w:left w:val="single" w:sz="12" w:space="0" w:color="006D68"/>
              <w:bottom w:val="single" w:sz="12" w:space="0" w:color="006D68"/>
              <w:right w:val="single" w:sz="12" w:space="0" w:color="006D68"/>
            </w:tcBorders>
          </w:tcPr>
          <w:p w14:paraId="61318E73" w14:textId="6C7749C3" w:rsidR="00F64D04" w:rsidRPr="00150A69" w:rsidRDefault="00F64D04" w:rsidP="002716CC">
            <w:pPr>
              <w:autoSpaceDE w:val="0"/>
              <w:autoSpaceDN w:val="0"/>
              <w:adjustRightInd w:val="0"/>
              <w:rPr>
                <w:sz w:val="18"/>
                <w:szCs w:val="18"/>
              </w:rPr>
            </w:pPr>
            <w:r w:rsidRPr="00150A69">
              <w:rPr>
                <w:sz w:val="18"/>
                <w:szCs w:val="18"/>
              </w:rPr>
              <w:t>IAEA</w:t>
            </w:r>
            <w:r>
              <w:rPr>
                <w:sz w:val="18"/>
                <w:szCs w:val="18"/>
              </w:rPr>
              <w:t xml:space="preserve"> </w:t>
            </w:r>
            <w:r w:rsidRPr="00150A69">
              <w:rPr>
                <w:sz w:val="18"/>
                <w:szCs w:val="18"/>
              </w:rPr>
              <w:t>Safety Glossary</w:t>
            </w:r>
          </w:p>
        </w:tc>
      </w:tr>
      <w:tr w:rsidR="00483D95" w:rsidRPr="00E125EA" w14:paraId="679A7B9A" w14:textId="77777777"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16EC5322" w14:textId="3768CBC6" w:rsidR="00483D95" w:rsidRDefault="00483D95" w:rsidP="00C424A2">
            <w:pPr>
              <w:autoSpaceDE w:val="0"/>
              <w:autoSpaceDN w:val="0"/>
              <w:adjustRightInd w:val="0"/>
              <w:rPr>
                <w:sz w:val="18"/>
                <w:szCs w:val="18"/>
              </w:rPr>
            </w:pPr>
            <w:r>
              <w:rPr>
                <w:sz w:val="18"/>
                <w:szCs w:val="18"/>
              </w:rPr>
              <w:t>Structure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A5E4F1C" w14:textId="77777777" w:rsidR="00483D95" w:rsidRPr="006B422B" w:rsidRDefault="00483D95" w:rsidP="00483D95">
            <w:pPr>
              <w:autoSpaceDE w:val="0"/>
              <w:autoSpaceDN w:val="0"/>
              <w:adjustRightInd w:val="0"/>
              <w:rPr>
                <w:sz w:val="18"/>
                <w:szCs w:val="18"/>
              </w:rPr>
            </w:pPr>
            <w:r w:rsidRPr="006B422B">
              <w:rPr>
                <w:sz w:val="18"/>
                <w:szCs w:val="18"/>
              </w:rPr>
              <w:t>“structure” means—</w:t>
            </w:r>
          </w:p>
          <w:p w14:paraId="1F0DB965" w14:textId="77777777" w:rsidR="00483D95" w:rsidRPr="006B422B" w:rsidRDefault="00483D95" w:rsidP="00483D95">
            <w:pPr>
              <w:autoSpaceDE w:val="0"/>
              <w:autoSpaceDN w:val="0"/>
              <w:adjustRightInd w:val="0"/>
              <w:rPr>
                <w:sz w:val="18"/>
                <w:szCs w:val="18"/>
              </w:rPr>
            </w:pPr>
            <w:r w:rsidRPr="006B422B">
              <w:rPr>
                <w:sz w:val="18"/>
                <w:szCs w:val="18"/>
              </w:rPr>
              <w:t>(a)</w:t>
            </w:r>
            <w:r>
              <w:rPr>
                <w:sz w:val="18"/>
                <w:szCs w:val="18"/>
              </w:rPr>
              <w:t xml:space="preserve"> </w:t>
            </w:r>
            <w:r w:rsidRPr="006B422B">
              <w:rPr>
                <w:sz w:val="18"/>
                <w:szCs w:val="18"/>
              </w:rPr>
              <w:t>any building, timber, masonry, metal or reinforced concrete structure, railway line or siding, tramway line, dock, harbour, inland navigation, tunnel, shaft, bridge, viaduct, waterworks, reservoir, pipe or pipeline, cable, aqueduct, sewer, sewage works, gasholder, road, airfield, sea defence works, river works, drainage works, earthworks, lagoon, dam, wall, caisson, mast, tower, pylon, underground tank, earth retaining structure or structure designed to preserve or alter any natural feature and fixed plant;</w:t>
            </w:r>
          </w:p>
          <w:p w14:paraId="6C8E1175" w14:textId="77777777" w:rsidR="00483D95" w:rsidRPr="006B422B" w:rsidRDefault="00483D95" w:rsidP="00483D95">
            <w:pPr>
              <w:autoSpaceDE w:val="0"/>
              <w:autoSpaceDN w:val="0"/>
              <w:adjustRightInd w:val="0"/>
              <w:rPr>
                <w:sz w:val="18"/>
                <w:szCs w:val="18"/>
              </w:rPr>
            </w:pPr>
            <w:r w:rsidRPr="006B422B">
              <w:rPr>
                <w:sz w:val="18"/>
                <w:szCs w:val="18"/>
              </w:rPr>
              <w:t>(b)</w:t>
            </w:r>
            <w:r>
              <w:rPr>
                <w:sz w:val="18"/>
                <w:szCs w:val="18"/>
              </w:rPr>
              <w:t xml:space="preserve"> </w:t>
            </w:r>
            <w:r w:rsidRPr="006B422B">
              <w:rPr>
                <w:sz w:val="18"/>
                <w:szCs w:val="18"/>
              </w:rPr>
              <w:t>any structure similar to anything specified in paragraph (a);</w:t>
            </w:r>
          </w:p>
          <w:p w14:paraId="2140B76F" w14:textId="77777777" w:rsidR="00483D95" w:rsidRPr="006B422B" w:rsidRDefault="00483D95" w:rsidP="00483D95">
            <w:pPr>
              <w:autoSpaceDE w:val="0"/>
              <w:autoSpaceDN w:val="0"/>
              <w:adjustRightInd w:val="0"/>
              <w:rPr>
                <w:sz w:val="18"/>
                <w:szCs w:val="18"/>
              </w:rPr>
            </w:pPr>
            <w:r w:rsidRPr="006B422B">
              <w:rPr>
                <w:sz w:val="18"/>
                <w:szCs w:val="18"/>
              </w:rPr>
              <w:t>(c)</w:t>
            </w:r>
            <w:r>
              <w:rPr>
                <w:sz w:val="18"/>
                <w:szCs w:val="18"/>
              </w:rPr>
              <w:t xml:space="preserve"> </w:t>
            </w:r>
            <w:r w:rsidRPr="006B422B">
              <w:rPr>
                <w:sz w:val="18"/>
                <w:szCs w:val="18"/>
              </w:rPr>
              <w:t>any formwork, falsework, scaffold or other structure designed or used to provide support or means of access during construction work,</w:t>
            </w:r>
          </w:p>
          <w:p w14:paraId="033E0317" w14:textId="4AC9CF9A" w:rsidR="00483D95" w:rsidRPr="00150A69" w:rsidDel="00A81202" w:rsidRDefault="00483D95" w:rsidP="00483D95">
            <w:pPr>
              <w:autoSpaceDE w:val="0"/>
              <w:autoSpaceDN w:val="0"/>
              <w:adjustRightInd w:val="0"/>
              <w:jc w:val="both"/>
              <w:rPr>
                <w:sz w:val="18"/>
                <w:szCs w:val="18"/>
              </w:rPr>
            </w:pPr>
            <w:r w:rsidRPr="006B422B">
              <w:rPr>
                <w:sz w:val="18"/>
                <w:szCs w:val="18"/>
              </w:rPr>
              <w:t>and any reference to a structure includes part of a structure;</w:t>
            </w:r>
          </w:p>
        </w:tc>
        <w:tc>
          <w:tcPr>
            <w:tcW w:w="1134" w:type="dxa"/>
            <w:tcBorders>
              <w:top w:val="single" w:sz="12" w:space="0" w:color="006D68"/>
              <w:left w:val="single" w:sz="12" w:space="0" w:color="006D68"/>
              <w:bottom w:val="single" w:sz="12" w:space="0" w:color="006D68"/>
              <w:right w:val="single" w:sz="12" w:space="0" w:color="006D68"/>
            </w:tcBorders>
          </w:tcPr>
          <w:p w14:paraId="7D09449F" w14:textId="3B2E1C37" w:rsidR="00483D95" w:rsidRPr="00150A69" w:rsidRDefault="00483D95" w:rsidP="002716CC">
            <w:pPr>
              <w:autoSpaceDE w:val="0"/>
              <w:autoSpaceDN w:val="0"/>
              <w:adjustRightInd w:val="0"/>
              <w:rPr>
                <w:sz w:val="18"/>
                <w:szCs w:val="18"/>
              </w:rPr>
            </w:pPr>
            <w:r>
              <w:rPr>
                <w:sz w:val="18"/>
                <w:szCs w:val="18"/>
              </w:rPr>
              <w:t>CDM2015</w:t>
            </w:r>
          </w:p>
        </w:tc>
      </w:tr>
      <w:tr w:rsidR="00483D95" w:rsidRPr="00E125EA" w14:paraId="12F89E88" w14:textId="163637B1" w:rsidTr="002B1AA5">
        <w:trPr>
          <w:trHeight w:val="570"/>
        </w:trPr>
        <w:tc>
          <w:tcPr>
            <w:tcW w:w="1843" w:type="dxa"/>
            <w:tcBorders>
              <w:top w:val="single" w:sz="12" w:space="0" w:color="006D68"/>
              <w:left w:val="single" w:sz="12" w:space="0" w:color="006D68"/>
              <w:bottom w:val="single" w:sz="12" w:space="0" w:color="006D68"/>
              <w:right w:val="single" w:sz="12" w:space="0" w:color="006D68"/>
            </w:tcBorders>
            <w:vAlign w:val="center"/>
          </w:tcPr>
          <w:p w14:paraId="7739C2A6" w14:textId="47936944" w:rsidR="00483D95" w:rsidRDefault="00483D95" w:rsidP="00C424A2">
            <w:pPr>
              <w:autoSpaceDE w:val="0"/>
              <w:autoSpaceDN w:val="0"/>
              <w:adjustRightInd w:val="0"/>
              <w:rPr>
                <w:sz w:val="18"/>
                <w:szCs w:val="18"/>
              </w:rPr>
            </w:pPr>
            <w:r>
              <w:rPr>
                <w:sz w:val="18"/>
                <w:szCs w:val="18"/>
              </w:rPr>
              <w:t>Structures Systems and Components (SSCs)</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23B2AEBE" w14:textId="31801691" w:rsidR="00483D95" w:rsidRPr="00EA12F3" w:rsidRDefault="00483D95" w:rsidP="00483D95">
            <w:pPr>
              <w:autoSpaceDE w:val="0"/>
              <w:autoSpaceDN w:val="0"/>
              <w:adjustRightInd w:val="0"/>
              <w:jc w:val="both"/>
              <w:rPr>
                <w:sz w:val="18"/>
                <w:szCs w:val="18"/>
              </w:rPr>
            </w:pPr>
            <w:r w:rsidRPr="00EA12F3">
              <w:rPr>
                <w:sz w:val="18"/>
                <w:szCs w:val="18"/>
              </w:rPr>
              <w:t>A general term encompassing all of the elements (items) of a facility or activity which contribute to protection and safety, except human factors.</w:t>
            </w:r>
          </w:p>
          <w:p w14:paraId="18E66DAB" w14:textId="77777777" w:rsidR="00483D95" w:rsidRPr="00EA12F3" w:rsidRDefault="00483D95" w:rsidP="00483D95">
            <w:pPr>
              <w:autoSpaceDE w:val="0"/>
              <w:autoSpaceDN w:val="0"/>
              <w:adjustRightInd w:val="0"/>
              <w:jc w:val="both"/>
              <w:rPr>
                <w:sz w:val="18"/>
                <w:szCs w:val="18"/>
              </w:rPr>
            </w:pPr>
            <w:r w:rsidRPr="00EA12F3">
              <w:rPr>
                <w:sz w:val="18"/>
                <w:szCs w:val="18"/>
              </w:rPr>
              <w:t xml:space="preserve">- </w:t>
            </w:r>
            <w:r w:rsidRPr="006B422B">
              <w:rPr>
                <w:sz w:val="18"/>
                <w:szCs w:val="18"/>
              </w:rPr>
              <w:t>Structures</w:t>
            </w:r>
            <w:r w:rsidRPr="00EA12F3">
              <w:rPr>
                <w:sz w:val="18"/>
                <w:szCs w:val="18"/>
              </w:rPr>
              <w:t xml:space="preserve"> are the passive elements: buildings, vessels, shielding, etc.</w:t>
            </w:r>
          </w:p>
          <w:p w14:paraId="25EC0516" w14:textId="6D5B6772" w:rsidR="00483D95" w:rsidRPr="00EA12F3" w:rsidRDefault="00483D95" w:rsidP="00483D95">
            <w:pPr>
              <w:autoSpaceDE w:val="0"/>
              <w:autoSpaceDN w:val="0"/>
              <w:adjustRightInd w:val="0"/>
              <w:jc w:val="both"/>
              <w:rPr>
                <w:sz w:val="18"/>
                <w:szCs w:val="18"/>
              </w:rPr>
            </w:pPr>
            <w:r w:rsidRPr="00EA12F3">
              <w:rPr>
                <w:sz w:val="18"/>
                <w:szCs w:val="18"/>
              </w:rPr>
              <w:t xml:space="preserve">- A </w:t>
            </w:r>
            <w:r w:rsidRPr="006B422B">
              <w:rPr>
                <w:sz w:val="18"/>
                <w:szCs w:val="18"/>
              </w:rPr>
              <w:t>system</w:t>
            </w:r>
            <w:r w:rsidRPr="00EA12F3">
              <w:rPr>
                <w:sz w:val="18"/>
                <w:szCs w:val="18"/>
              </w:rPr>
              <w:t xml:space="preserve"> comprises several </w:t>
            </w:r>
            <w:r w:rsidRPr="006B422B">
              <w:rPr>
                <w:sz w:val="18"/>
                <w:szCs w:val="18"/>
              </w:rPr>
              <w:t>components</w:t>
            </w:r>
            <w:r w:rsidRPr="00EA12F3">
              <w:rPr>
                <w:sz w:val="18"/>
                <w:szCs w:val="18"/>
              </w:rPr>
              <w:t>, assembled in such a way as to perform a specific (active) function.</w:t>
            </w:r>
          </w:p>
          <w:p w14:paraId="7DED4839" w14:textId="6A8BD64F" w:rsidR="00483D95" w:rsidRDefault="00483D95" w:rsidP="00483D95">
            <w:pPr>
              <w:autoSpaceDE w:val="0"/>
              <w:autoSpaceDN w:val="0"/>
              <w:adjustRightInd w:val="0"/>
              <w:jc w:val="both"/>
              <w:rPr>
                <w:sz w:val="18"/>
                <w:szCs w:val="18"/>
              </w:rPr>
            </w:pPr>
            <w:r w:rsidRPr="00EA12F3">
              <w:rPr>
                <w:sz w:val="18"/>
                <w:szCs w:val="18"/>
              </w:rPr>
              <w:t xml:space="preserve">- A </w:t>
            </w:r>
            <w:r w:rsidRPr="006B422B">
              <w:rPr>
                <w:sz w:val="18"/>
                <w:szCs w:val="18"/>
              </w:rPr>
              <w:t>component</w:t>
            </w:r>
            <w:r w:rsidRPr="00EA12F3">
              <w:rPr>
                <w:sz w:val="18"/>
                <w:szCs w:val="18"/>
              </w:rPr>
              <w:t xml:space="preserve"> is a discrete element of a </w:t>
            </w:r>
            <w:r w:rsidRPr="006B422B">
              <w:rPr>
                <w:sz w:val="18"/>
                <w:szCs w:val="18"/>
              </w:rPr>
              <w:t>system</w:t>
            </w:r>
            <w:r w:rsidRPr="00EA12F3">
              <w:rPr>
                <w:sz w:val="18"/>
                <w:szCs w:val="18"/>
              </w:rPr>
              <w:t>.</w:t>
            </w:r>
          </w:p>
        </w:tc>
        <w:tc>
          <w:tcPr>
            <w:tcW w:w="1134" w:type="dxa"/>
            <w:tcBorders>
              <w:top w:val="single" w:sz="12" w:space="0" w:color="006D68"/>
              <w:left w:val="single" w:sz="12" w:space="0" w:color="006D68"/>
              <w:bottom w:val="single" w:sz="12" w:space="0" w:color="006D68"/>
              <w:right w:val="single" w:sz="12" w:space="0" w:color="006D68"/>
            </w:tcBorders>
          </w:tcPr>
          <w:p w14:paraId="3903365A" w14:textId="5F8EE708" w:rsidR="00483D95" w:rsidRDefault="00483D95" w:rsidP="002716CC">
            <w:pPr>
              <w:autoSpaceDE w:val="0"/>
              <w:autoSpaceDN w:val="0"/>
              <w:adjustRightInd w:val="0"/>
              <w:rPr>
                <w:sz w:val="18"/>
                <w:szCs w:val="18"/>
              </w:rPr>
            </w:pPr>
            <w:r>
              <w:rPr>
                <w:sz w:val="18"/>
                <w:szCs w:val="18"/>
              </w:rPr>
              <w:t>WENRA DSRL</w:t>
            </w:r>
          </w:p>
        </w:tc>
      </w:tr>
    </w:tbl>
    <w:p w14:paraId="39311585" w14:textId="0B41D0BD" w:rsidR="00226293" w:rsidRPr="00E125EA" w:rsidRDefault="009B5159" w:rsidP="002833AC">
      <w:pPr>
        <w:pStyle w:val="TSHeadingNumbered1"/>
        <w:numPr>
          <w:ilvl w:val="0"/>
          <w:numId w:val="11"/>
        </w:numPr>
      </w:pPr>
      <w:r w:rsidRPr="00E125EA">
        <w:br w:type="page"/>
      </w:r>
      <w:bookmarkStart w:id="3" w:name="_Toc519072419"/>
      <w:bookmarkStart w:id="4" w:name="_Toc57895872"/>
      <w:r w:rsidRPr="00E125EA">
        <w:lastRenderedPageBreak/>
        <w:t>INTRODUCTION</w:t>
      </w:r>
      <w:bookmarkEnd w:id="3"/>
      <w:bookmarkEnd w:id="4"/>
    </w:p>
    <w:p w14:paraId="2002835A" w14:textId="53D89839" w:rsidR="00CC7B8B" w:rsidRDefault="001479F5" w:rsidP="00CC7B8B">
      <w:pPr>
        <w:pStyle w:val="TSNumberedParagraph1"/>
        <w:numPr>
          <w:ilvl w:val="0"/>
          <w:numId w:val="12"/>
        </w:numPr>
        <w:tabs>
          <w:tab w:val="clear" w:pos="-31680"/>
        </w:tabs>
        <w:spacing w:before="220"/>
      </w:pPr>
      <w:r w:rsidRPr="00E125EA">
        <w:t xml:space="preserve">This annex </w:t>
      </w:r>
      <w:r w:rsidR="00D358E7">
        <w:t>to Te</w:t>
      </w:r>
      <w:r w:rsidR="00D312DB">
        <w:t>c</w:t>
      </w:r>
      <w:r w:rsidR="00D358E7">
        <w:t>hnical As</w:t>
      </w:r>
      <w:r w:rsidR="00D312DB">
        <w:t>s</w:t>
      </w:r>
      <w:r w:rsidR="00D358E7">
        <w:t xml:space="preserve">essment Guide 17 (TAG 17) </w:t>
      </w:r>
      <w:r w:rsidRPr="00E125EA">
        <w:t xml:space="preserve">provides guidance on the main </w:t>
      </w:r>
      <w:r w:rsidR="00532561" w:rsidRPr="00E125EA">
        <w:t>aspects</w:t>
      </w:r>
      <w:r w:rsidRPr="00E125EA">
        <w:t xml:space="preserve"> of </w:t>
      </w:r>
      <w:r w:rsidR="00262CC4">
        <w:t xml:space="preserve">ONR’s approach to the assessment of </w:t>
      </w:r>
      <w:r w:rsidR="00E26084">
        <w:t xml:space="preserve">the post operational phase </w:t>
      </w:r>
      <w:r w:rsidR="00CC6E39">
        <w:t>of</w:t>
      </w:r>
      <w:r w:rsidRPr="00E125EA">
        <w:t xml:space="preserve"> nuclear </w:t>
      </w:r>
      <w:r w:rsidR="00262CC4">
        <w:t>facilities</w:t>
      </w:r>
      <w:r w:rsidRPr="00E125EA">
        <w:t>.</w:t>
      </w:r>
      <w:r w:rsidR="00735EA5">
        <w:t xml:space="preserve"> It </w:t>
      </w:r>
      <w:r w:rsidR="00262CC4">
        <w:t xml:space="preserve">includes general guidance and advice </w:t>
      </w:r>
      <w:r w:rsidR="00F52770">
        <w:t xml:space="preserve">to </w:t>
      </w:r>
      <w:r w:rsidR="00262CC4">
        <w:t xml:space="preserve">ONR </w:t>
      </w:r>
      <w:r w:rsidR="00F52770">
        <w:t>i</w:t>
      </w:r>
      <w:r w:rsidRPr="00E125EA">
        <w:t xml:space="preserve">nspectors </w:t>
      </w:r>
      <w:r w:rsidR="002B5476">
        <w:t xml:space="preserve">on aspects of post operational management and related assurance. This TAG is not intended to provide detailed guidance on </w:t>
      </w:r>
      <w:r w:rsidR="00BC2332">
        <w:t>any</w:t>
      </w:r>
      <w:r w:rsidR="002B5476">
        <w:t xml:space="preserve"> </w:t>
      </w:r>
      <w:r w:rsidR="009422F3">
        <w:t>decommissioning or demolition process</w:t>
      </w:r>
      <w:r w:rsidR="00BC2332">
        <w:t>es</w:t>
      </w:r>
      <w:r w:rsidR="009422F3">
        <w:t xml:space="preserve">: its main purpose is to highlight certain salient areas for inspectors to consider as part of their regulatory assessment. </w:t>
      </w:r>
      <w:r w:rsidR="00C074D1">
        <w:t xml:space="preserve">It aims to highlight the </w:t>
      </w:r>
      <w:r w:rsidRPr="00E125EA">
        <w:t xml:space="preserve">application of the </w:t>
      </w:r>
      <w:r w:rsidR="00113625" w:rsidRPr="00E125EA">
        <w:t>Safety Assessment Principles (</w:t>
      </w:r>
      <w:r w:rsidRPr="00E125EA">
        <w:t>SAPs</w:t>
      </w:r>
      <w:r w:rsidR="00113625" w:rsidRPr="00E125EA">
        <w:t>)</w:t>
      </w:r>
      <w:r w:rsidR="00735EA5">
        <w:t xml:space="preserve"> [</w:t>
      </w:r>
      <w:r w:rsidR="00277339">
        <w:t>1</w:t>
      </w:r>
      <w:r w:rsidR="00735EA5">
        <w:t>]</w:t>
      </w:r>
      <w:r w:rsidR="00735EA5" w:rsidRPr="00E125EA">
        <w:t xml:space="preserve"> </w:t>
      </w:r>
      <w:r w:rsidRPr="00E125EA">
        <w:t xml:space="preserve">to </w:t>
      </w:r>
      <w:r w:rsidR="003F08D4">
        <w:t xml:space="preserve">aid </w:t>
      </w:r>
      <w:r w:rsidRPr="00E125EA">
        <w:t xml:space="preserve">the assessment of </w:t>
      </w:r>
      <w:r w:rsidR="00735EA5">
        <w:t xml:space="preserve">civil engineering </w:t>
      </w:r>
      <w:r w:rsidR="006D25F5">
        <w:t>works and structures (see Appendix 1 of TAG 1</w:t>
      </w:r>
      <w:r w:rsidR="001E7D23">
        <w:t>7</w:t>
      </w:r>
      <w:r w:rsidR="006D25F5">
        <w:t>)</w:t>
      </w:r>
      <w:r w:rsidR="009A3979">
        <w:t>,</w:t>
      </w:r>
      <w:r w:rsidR="00E26084" w:rsidRPr="004D3EBE">
        <w:t xml:space="preserve"> </w:t>
      </w:r>
      <w:r w:rsidR="00761D92">
        <w:t>for</w:t>
      </w:r>
      <w:r w:rsidR="00AD772C">
        <w:t xml:space="preserve"> activities in the</w:t>
      </w:r>
      <w:r w:rsidR="00761D92">
        <w:t xml:space="preserve"> phases </w:t>
      </w:r>
      <w:r w:rsidR="00B53B77">
        <w:t xml:space="preserve">that occur after </w:t>
      </w:r>
      <w:r w:rsidR="00735EA5">
        <w:t>ceasing</w:t>
      </w:r>
      <w:r w:rsidR="00E26084" w:rsidRPr="004D3EBE">
        <w:t xml:space="preserve"> operation</w:t>
      </w:r>
      <w:r w:rsidR="00AF0625">
        <w:t>.</w:t>
      </w:r>
    </w:p>
    <w:p w14:paraId="42DA08D7" w14:textId="6D8DC268" w:rsidR="00913246" w:rsidRPr="00F91A8D" w:rsidRDefault="00913246" w:rsidP="00F91A8D">
      <w:pPr>
        <w:pStyle w:val="TSHeadingNumbered11"/>
        <w:spacing w:before="240"/>
      </w:pPr>
      <w:bookmarkStart w:id="5" w:name="_Toc57895873"/>
      <w:r w:rsidRPr="00133AEF">
        <w:t>S</w:t>
      </w:r>
      <w:r>
        <w:t>cop</w:t>
      </w:r>
      <w:r w:rsidRPr="00133AEF">
        <w:t>e</w:t>
      </w:r>
      <w:bookmarkEnd w:id="5"/>
    </w:p>
    <w:p w14:paraId="74FC8433" w14:textId="526550BF" w:rsidR="00913246" w:rsidRDefault="00913246" w:rsidP="00913246">
      <w:pPr>
        <w:pStyle w:val="TSNumberedParagraph1"/>
        <w:numPr>
          <w:ilvl w:val="0"/>
          <w:numId w:val="12"/>
        </w:numPr>
        <w:tabs>
          <w:tab w:val="clear" w:pos="-31680"/>
        </w:tabs>
        <w:spacing w:before="220"/>
      </w:pPr>
      <w:r>
        <w:t>The post</w:t>
      </w:r>
      <w:r w:rsidR="00B53B77">
        <w:t xml:space="preserve"> </w:t>
      </w:r>
      <w:r w:rsidRPr="004D3EBE">
        <w:t>operation</w:t>
      </w:r>
      <w:r w:rsidR="00B53B77">
        <w:t>al phases</w:t>
      </w:r>
      <w:r w:rsidRPr="004D3EBE">
        <w:t xml:space="preserve"> considered herein include</w:t>
      </w:r>
      <w:r>
        <w:t>:</w:t>
      </w:r>
    </w:p>
    <w:p w14:paraId="1668857A" w14:textId="3087ED8D" w:rsidR="00913246" w:rsidRDefault="00AF0625" w:rsidP="00913246">
      <w:pPr>
        <w:pStyle w:val="TSNumberedParagraph1"/>
        <w:numPr>
          <w:ilvl w:val="0"/>
          <w:numId w:val="10"/>
        </w:numPr>
        <w:spacing w:after="0"/>
        <w:jc w:val="both"/>
      </w:pPr>
      <w:r>
        <w:t>inactive quiescent storage,</w:t>
      </w:r>
    </w:p>
    <w:p w14:paraId="42D550D8" w14:textId="48980447" w:rsidR="00913246" w:rsidRDefault="00AF0625" w:rsidP="00913246">
      <w:pPr>
        <w:pStyle w:val="TSNumberedParagraph1"/>
        <w:numPr>
          <w:ilvl w:val="0"/>
          <w:numId w:val="10"/>
        </w:numPr>
        <w:spacing w:after="0"/>
        <w:jc w:val="both"/>
      </w:pPr>
      <w:r>
        <w:t>p</w:t>
      </w:r>
      <w:r w:rsidR="00913246" w:rsidRPr="004D3EBE">
        <w:t>os</w:t>
      </w:r>
      <w:r>
        <w:t>t operational clean out (POCO),</w:t>
      </w:r>
    </w:p>
    <w:p w14:paraId="1442F4A2" w14:textId="0A9A6F41" w:rsidR="00BE055A" w:rsidRDefault="00AF0625" w:rsidP="00BE055A">
      <w:pPr>
        <w:pStyle w:val="TSNumberedParagraph1"/>
        <w:numPr>
          <w:ilvl w:val="0"/>
          <w:numId w:val="10"/>
        </w:numPr>
        <w:spacing w:after="0"/>
        <w:jc w:val="both"/>
      </w:pPr>
      <w:r>
        <w:t>decommissioning,</w:t>
      </w:r>
    </w:p>
    <w:p w14:paraId="0C8B38CD" w14:textId="474D02D9" w:rsidR="00913246" w:rsidRDefault="00AF0625" w:rsidP="00913246">
      <w:pPr>
        <w:pStyle w:val="TSNumberedParagraph1"/>
        <w:numPr>
          <w:ilvl w:val="0"/>
          <w:numId w:val="10"/>
        </w:numPr>
        <w:spacing w:after="0"/>
        <w:jc w:val="both"/>
      </w:pPr>
      <w:r>
        <w:t>care and maintenance (C&amp;M),</w:t>
      </w:r>
    </w:p>
    <w:p w14:paraId="56940688" w14:textId="27FAD384" w:rsidR="00913246" w:rsidRDefault="00AF0625" w:rsidP="00913246">
      <w:pPr>
        <w:pStyle w:val="TSNumberedParagraph1"/>
        <w:numPr>
          <w:ilvl w:val="0"/>
          <w:numId w:val="10"/>
        </w:numPr>
        <w:spacing w:after="0"/>
        <w:jc w:val="both"/>
      </w:pPr>
      <w:r>
        <w:t>d</w:t>
      </w:r>
      <w:r w:rsidR="00913246" w:rsidRPr="004D3EBE">
        <w:t>emolition</w:t>
      </w:r>
      <w:r w:rsidR="00913246">
        <w:t>,</w:t>
      </w:r>
    </w:p>
    <w:p w14:paraId="07CB832D" w14:textId="496DBFB8" w:rsidR="00913246" w:rsidRDefault="00AF0625" w:rsidP="00913246">
      <w:pPr>
        <w:pStyle w:val="TSNumberedParagraph1"/>
        <w:numPr>
          <w:ilvl w:val="0"/>
          <w:numId w:val="10"/>
        </w:numPr>
        <w:spacing w:after="0"/>
        <w:jc w:val="both"/>
      </w:pPr>
      <w:r>
        <w:t>s</w:t>
      </w:r>
      <w:r w:rsidR="00E67477">
        <w:t>i</w:t>
      </w:r>
      <w:r w:rsidR="00913246">
        <w:t>te remediation,</w:t>
      </w:r>
    </w:p>
    <w:p w14:paraId="2573FAD0" w14:textId="1CC5AC05" w:rsidR="00913246" w:rsidRPr="00133AEF" w:rsidRDefault="00AF0625" w:rsidP="00913246">
      <w:pPr>
        <w:pStyle w:val="TSNumberedParagraph1"/>
        <w:numPr>
          <w:ilvl w:val="0"/>
          <w:numId w:val="10"/>
        </w:numPr>
        <w:spacing w:after="0"/>
        <w:jc w:val="both"/>
      </w:pPr>
      <w:r>
        <w:t>d</w:t>
      </w:r>
      <w:r w:rsidR="00E67477">
        <w:t>e</w:t>
      </w:r>
      <w:r w:rsidR="00913246" w:rsidRPr="00133AEF">
        <w:t>licencing</w:t>
      </w:r>
      <w:r w:rsidR="00913246">
        <w:t>.</w:t>
      </w:r>
    </w:p>
    <w:p w14:paraId="25E1D736" w14:textId="6D0840DC" w:rsidR="00B53B77" w:rsidRDefault="00DF303A" w:rsidP="00B53B77">
      <w:pPr>
        <w:pStyle w:val="TSNumberedParagraph1"/>
        <w:numPr>
          <w:ilvl w:val="0"/>
          <w:numId w:val="12"/>
        </w:numPr>
        <w:spacing w:before="220"/>
      </w:pPr>
      <w:r>
        <w:t xml:space="preserve">The timing of demolition of the civil engineering structures, systems and components (SSCs) on sites varies as decommissioning and clear-out processes are progressed. </w:t>
      </w:r>
      <w:r w:rsidR="00B53B77">
        <w:t xml:space="preserve">These phases of post operation are rarely site-wide, so an </w:t>
      </w:r>
      <w:r w:rsidR="00B53B77" w:rsidRPr="000D7D35">
        <w:t xml:space="preserve">area, section or structure can be considered as ‘post operation’, when </w:t>
      </w:r>
      <w:r w:rsidR="00AF0625">
        <w:t>surrounding</w:t>
      </w:r>
      <w:r w:rsidR="00B53B77">
        <w:t xml:space="preserve"> SSCs</w:t>
      </w:r>
      <w:r w:rsidR="00B53B77" w:rsidRPr="000D7D35">
        <w:t xml:space="preserve"> are still ‘operational’.</w:t>
      </w:r>
    </w:p>
    <w:p w14:paraId="74F18258" w14:textId="0D3F840D" w:rsidR="00B53B77" w:rsidRDefault="00B53B77" w:rsidP="00B53B77">
      <w:pPr>
        <w:pStyle w:val="TSNumberedParagraph1"/>
        <w:numPr>
          <w:ilvl w:val="0"/>
          <w:numId w:val="12"/>
        </w:numPr>
        <w:spacing w:before="220"/>
      </w:pPr>
      <w:r>
        <w:t>Residual nuclear safety functions may be required of civil engineering SSCs once the site has ceased operation. These demands are likely to extend well beyond</w:t>
      </w:r>
      <w:r w:rsidRPr="004C5980">
        <w:t xml:space="preserve"> the originally envisaged design life</w:t>
      </w:r>
      <w:r>
        <w:t xml:space="preserve"> of the civil engineering SSCs. These residual nuclear safety functions usually include structural support to, and protection, c</w:t>
      </w:r>
      <w:r w:rsidRPr="004C5980">
        <w:t xml:space="preserve">ontainment and shielding </w:t>
      </w:r>
      <w:r>
        <w:t>of, nuclear inventory, including contaminated or activated components</w:t>
      </w:r>
      <w:r w:rsidRPr="004C5980">
        <w:t xml:space="preserve">. </w:t>
      </w:r>
    </w:p>
    <w:p w14:paraId="2897BFF0" w14:textId="26FC107A" w:rsidR="00913246" w:rsidRPr="000D7D35" w:rsidRDefault="00B53B77" w:rsidP="00913246">
      <w:pPr>
        <w:pStyle w:val="TSNumberedParagraph1"/>
        <w:numPr>
          <w:ilvl w:val="0"/>
          <w:numId w:val="12"/>
        </w:numPr>
        <w:spacing w:before="220"/>
      </w:pPr>
      <w:r w:rsidRPr="004C5980">
        <w:t>When nuclear safety functions are no longer</w:t>
      </w:r>
      <w:r>
        <w:t xml:space="preserve"> applicable</w:t>
      </w:r>
      <w:r w:rsidRPr="004C5980">
        <w:t>, civil</w:t>
      </w:r>
      <w:r>
        <w:t xml:space="preserve"> engineering SSCs</w:t>
      </w:r>
      <w:r w:rsidRPr="004C5980">
        <w:t xml:space="preserve"> may </w:t>
      </w:r>
      <w:r>
        <w:t xml:space="preserve">still be required to </w:t>
      </w:r>
      <w:r w:rsidRPr="004C5980">
        <w:t xml:space="preserve">provide residual </w:t>
      </w:r>
      <w:r>
        <w:t xml:space="preserve">security, environmental or </w:t>
      </w:r>
      <w:r w:rsidRPr="004C5980">
        <w:t xml:space="preserve">conventional safety functions, such as </w:t>
      </w:r>
      <w:r>
        <w:t xml:space="preserve">a </w:t>
      </w:r>
      <w:r w:rsidRPr="004C5980">
        <w:t>weatherproof envelope</w:t>
      </w:r>
      <w:r>
        <w:t>, confining hazardous substances such as asbestos or other waste materials, or providing</w:t>
      </w:r>
      <w:r w:rsidRPr="004C5980">
        <w:t xml:space="preserve"> sup</w:t>
      </w:r>
      <w:r>
        <w:t>port for security equipment</w:t>
      </w:r>
      <w:r w:rsidRPr="004C5980">
        <w:t>.</w:t>
      </w:r>
      <w:r>
        <w:t xml:space="preserve"> </w:t>
      </w:r>
    </w:p>
    <w:p w14:paraId="6B79C722" w14:textId="50981304" w:rsidR="005806F7" w:rsidRPr="00F91A8D" w:rsidRDefault="005806F7" w:rsidP="00F91A8D">
      <w:pPr>
        <w:pStyle w:val="TSHeadingNumbered11"/>
        <w:spacing w:before="240"/>
      </w:pPr>
      <w:bookmarkStart w:id="6" w:name="_Toc57895874"/>
      <w:r w:rsidRPr="00133AEF">
        <w:t>Structure</w:t>
      </w:r>
      <w:r w:rsidR="00ED70EA">
        <w:t xml:space="preserve"> of this annex</w:t>
      </w:r>
      <w:bookmarkEnd w:id="6"/>
    </w:p>
    <w:p w14:paraId="1D805215" w14:textId="27753DE6" w:rsidR="00BE055A" w:rsidRDefault="00AF0625" w:rsidP="00BE055A">
      <w:pPr>
        <w:pStyle w:val="TSNumberedParagraph1"/>
        <w:numPr>
          <w:ilvl w:val="0"/>
          <w:numId w:val="12"/>
        </w:numPr>
        <w:tabs>
          <w:tab w:val="clear" w:pos="-31680"/>
        </w:tabs>
        <w:spacing w:before="220"/>
      </w:pPr>
      <w:r>
        <w:t>This TAG a</w:t>
      </w:r>
      <w:r w:rsidR="00BE055A">
        <w:t xml:space="preserve">nnex identifies key civil engineering assessment principles and should be read alongside the general guidance of </w:t>
      </w:r>
      <w:r w:rsidR="00EE520B">
        <w:rPr>
          <w:lang w:eastAsia="en-GB"/>
        </w:rPr>
        <w:t>ONR-</w:t>
      </w:r>
      <w:r w:rsidR="00BE055A">
        <w:t>NS-TAST-GD-026 ‘Decommissioning’.</w:t>
      </w:r>
      <w:r w:rsidR="00A0175D">
        <w:t xml:space="preserve"> This TAG annex is structured </w:t>
      </w:r>
      <w:r w:rsidR="00E32D6B">
        <w:t>in the following order:</w:t>
      </w:r>
    </w:p>
    <w:p w14:paraId="7980A9CD" w14:textId="263DC34A" w:rsidR="00913246" w:rsidRDefault="00ED70EA" w:rsidP="00913246">
      <w:pPr>
        <w:pStyle w:val="TSNumberedParagraph1"/>
        <w:numPr>
          <w:ilvl w:val="0"/>
          <w:numId w:val="10"/>
        </w:numPr>
        <w:spacing w:after="0"/>
        <w:jc w:val="both"/>
      </w:pPr>
      <w:r>
        <w:t xml:space="preserve">Section 2 </w:t>
      </w:r>
      <w:r w:rsidR="005806F7">
        <w:t xml:space="preserve">outlines the general activities </w:t>
      </w:r>
      <w:r w:rsidR="00AF0625">
        <w:t>to consider for post-operation,</w:t>
      </w:r>
    </w:p>
    <w:p w14:paraId="6FFA34D6" w14:textId="7738169D" w:rsidR="00913246" w:rsidRDefault="00ED70EA" w:rsidP="00913246">
      <w:pPr>
        <w:pStyle w:val="TSNumberedParagraph1"/>
        <w:numPr>
          <w:ilvl w:val="0"/>
          <w:numId w:val="10"/>
        </w:numPr>
        <w:spacing w:after="0"/>
        <w:jc w:val="both"/>
      </w:pPr>
      <w:r>
        <w:t xml:space="preserve">Section 3 </w:t>
      </w:r>
      <w:r w:rsidR="0097401C">
        <w:t>explains the expected content of a decommissioning plan,</w:t>
      </w:r>
    </w:p>
    <w:p w14:paraId="740B555E" w14:textId="3DF904F2" w:rsidR="00913246" w:rsidRDefault="00ED70EA" w:rsidP="00913246">
      <w:pPr>
        <w:pStyle w:val="TSNumberedParagraph1"/>
        <w:numPr>
          <w:ilvl w:val="0"/>
          <w:numId w:val="10"/>
        </w:numPr>
        <w:spacing w:after="0"/>
        <w:jc w:val="both"/>
      </w:pPr>
      <w:r>
        <w:t xml:space="preserve">Section 4 </w:t>
      </w:r>
      <w:r w:rsidR="00744D9F">
        <w:t xml:space="preserve">describes the </w:t>
      </w:r>
      <w:r w:rsidR="00AF0625">
        <w:t>phases of post-operation,</w:t>
      </w:r>
    </w:p>
    <w:p w14:paraId="39D94D27" w14:textId="3E6D4F6D" w:rsidR="005806F7" w:rsidRDefault="00ED70EA" w:rsidP="00AF0625">
      <w:pPr>
        <w:pStyle w:val="TSNumberedParagraph1"/>
        <w:numPr>
          <w:ilvl w:val="0"/>
          <w:numId w:val="10"/>
        </w:numPr>
        <w:spacing w:after="0"/>
      </w:pPr>
      <w:r>
        <w:t xml:space="preserve">Section 5 </w:t>
      </w:r>
      <w:r w:rsidR="005806F7">
        <w:t xml:space="preserve">expands </w:t>
      </w:r>
      <w:r w:rsidR="00744D9F">
        <w:t xml:space="preserve">on </w:t>
      </w:r>
      <w:r>
        <w:t>guidance relevant to civil engineering assessment</w:t>
      </w:r>
      <w:r w:rsidR="00AF0625">
        <w:t>,</w:t>
      </w:r>
    </w:p>
    <w:p w14:paraId="28BAAEED" w14:textId="028CED15" w:rsidR="00D07765" w:rsidRDefault="00D07765" w:rsidP="00913246">
      <w:pPr>
        <w:pStyle w:val="TSNumberedParagraph1"/>
        <w:numPr>
          <w:ilvl w:val="0"/>
          <w:numId w:val="10"/>
        </w:numPr>
        <w:spacing w:after="0"/>
        <w:jc w:val="both"/>
      </w:pPr>
      <w:r>
        <w:t>Section 6 contains the references for this document</w:t>
      </w:r>
      <w:r w:rsidR="00AF0625">
        <w:t>.</w:t>
      </w:r>
    </w:p>
    <w:p w14:paraId="609E0175" w14:textId="77777777" w:rsidR="00842781" w:rsidRDefault="00842781">
      <w:pPr>
        <w:rPr>
          <w:rFonts w:ascii="Arial Bold" w:hAnsi="Arial Bold"/>
          <w:b/>
        </w:rPr>
      </w:pPr>
      <w:bookmarkStart w:id="7" w:name="_Toc473718038"/>
      <w:bookmarkStart w:id="8" w:name="_Toc473720440"/>
      <w:bookmarkStart w:id="9" w:name="_Toc473718039"/>
      <w:bookmarkStart w:id="10" w:name="_Toc473720441"/>
      <w:bookmarkStart w:id="11" w:name="_Toc473718040"/>
      <w:bookmarkStart w:id="12" w:name="_Toc473720442"/>
      <w:bookmarkStart w:id="13" w:name="_Toc473718041"/>
      <w:bookmarkStart w:id="14" w:name="_Toc473720443"/>
      <w:bookmarkStart w:id="15" w:name="_Toc473718042"/>
      <w:bookmarkStart w:id="16" w:name="_Toc473720444"/>
      <w:bookmarkStart w:id="17" w:name="_Toc473718043"/>
      <w:bookmarkStart w:id="18" w:name="_Toc473720445"/>
      <w:bookmarkStart w:id="19" w:name="_Toc473718044"/>
      <w:bookmarkStart w:id="20" w:name="_Toc473720446"/>
      <w:bookmarkStart w:id="21" w:name="_Toc473718045"/>
      <w:bookmarkStart w:id="22" w:name="_Toc473720447"/>
      <w:bookmarkStart w:id="23" w:name="_Toc473718046"/>
      <w:bookmarkStart w:id="24" w:name="_Toc473720448"/>
      <w:bookmarkStart w:id="25" w:name="_Toc473718047"/>
      <w:bookmarkStart w:id="26" w:name="_Toc473720449"/>
      <w:bookmarkStart w:id="27" w:name="_Toc473718048"/>
      <w:bookmarkStart w:id="28" w:name="_Toc473720450"/>
      <w:bookmarkStart w:id="29" w:name="_Toc473718049"/>
      <w:bookmarkStart w:id="30" w:name="_Toc473720451"/>
      <w:bookmarkStart w:id="31" w:name="_Toc473718050"/>
      <w:bookmarkStart w:id="32" w:name="_Toc473720452"/>
      <w:bookmarkStart w:id="33" w:name="_Toc473718051"/>
      <w:bookmarkStart w:id="34" w:name="_Toc473720453"/>
      <w:bookmarkStart w:id="35" w:name="_Toc473718052"/>
      <w:bookmarkStart w:id="36" w:name="_Toc473720454"/>
      <w:bookmarkStart w:id="37" w:name="_Toc45178847"/>
      <w:bookmarkStart w:id="38" w:name="_Toc4932776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br w:type="page"/>
      </w:r>
    </w:p>
    <w:p w14:paraId="5DE42607" w14:textId="325421B6" w:rsidR="00857D1D" w:rsidRPr="00954E2E" w:rsidRDefault="00857D1D" w:rsidP="006A2DC5">
      <w:pPr>
        <w:pStyle w:val="TSHeadingNumbered11"/>
        <w:spacing w:before="240"/>
      </w:pPr>
      <w:bookmarkStart w:id="39" w:name="_Toc57895875"/>
      <w:r w:rsidRPr="00954E2E">
        <w:lastRenderedPageBreak/>
        <w:t>Applicable SAPs</w:t>
      </w:r>
      <w:r>
        <w:t xml:space="preserve"> to this a</w:t>
      </w:r>
      <w:r w:rsidRPr="00954E2E">
        <w:t>nnex</w:t>
      </w:r>
      <w:bookmarkEnd w:id="37"/>
      <w:bookmarkEnd w:id="38"/>
      <w:bookmarkEnd w:id="39"/>
    </w:p>
    <w:p w14:paraId="1493BBBA" w14:textId="40801D43" w:rsidR="00857D1D" w:rsidRPr="00C90772" w:rsidRDefault="00857D1D" w:rsidP="002F34D9">
      <w:pPr>
        <w:pStyle w:val="TSNumberedParagraph1"/>
        <w:numPr>
          <w:ilvl w:val="0"/>
          <w:numId w:val="12"/>
        </w:numPr>
        <w:spacing w:before="220"/>
      </w:pPr>
      <w:r>
        <w:t>T</w:t>
      </w:r>
      <w:r w:rsidRPr="00C90772">
        <w:t xml:space="preserve">he following SAPs are </w:t>
      </w:r>
      <w:r>
        <w:t xml:space="preserve">particularly </w:t>
      </w:r>
      <w:r w:rsidRPr="00C90772">
        <w:t>relevant</w:t>
      </w:r>
      <w:r>
        <w:t xml:space="preserve"> for this annex</w:t>
      </w:r>
      <w:r w:rsidRPr="00C90772">
        <w:t>:</w:t>
      </w:r>
    </w:p>
    <w:p w14:paraId="14AD4EC1" w14:textId="6FD24B8B" w:rsidR="002D6074" w:rsidRPr="006927A9" w:rsidRDefault="002D6074" w:rsidP="002D6074">
      <w:pPr>
        <w:pStyle w:val="TSBullet1Square"/>
        <w:numPr>
          <w:ilvl w:val="0"/>
          <w:numId w:val="2"/>
        </w:numPr>
      </w:pPr>
      <w:r w:rsidRPr="006927A9">
        <w:t>ECE.6</w:t>
      </w:r>
      <w:r w:rsidR="003B6AC2" w:rsidRPr="006927A9">
        <w:t xml:space="preserve"> and EHA.18</w:t>
      </w:r>
      <w:r w:rsidR="00E04262" w:rsidRPr="006927A9">
        <w:t xml:space="preserve"> states the expectation for loadings to be appropriately considered e.g. for the intended use of structures, or extension of operations</w:t>
      </w:r>
    </w:p>
    <w:p w14:paraId="7224E761" w14:textId="30852601" w:rsidR="00BE2249" w:rsidRPr="006927A9" w:rsidRDefault="002D6074" w:rsidP="00BE2249">
      <w:pPr>
        <w:pStyle w:val="TSBullet1Square"/>
        <w:numPr>
          <w:ilvl w:val="0"/>
          <w:numId w:val="2"/>
        </w:numPr>
      </w:pPr>
      <w:r w:rsidRPr="006927A9">
        <w:t>ECE.9</w:t>
      </w:r>
      <w:r w:rsidR="000A304D" w:rsidRPr="006927A9">
        <w:t xml:space="preserve"> and EHA.12 </w:t>
      </w:r>
      <w:r w:rsidR="000A304D" w:rsidRPr="006927A9">
        <w:rPr>
          <w:iCs/>
        </w:rPr>
        <w:t>consider the flooding hazard e.g. climate change predictions for long term e.g. for the longer durations of the Care and Maintenance phase,</w:t>
      </w:r>
    </w:p>
    <w:p w14:paraId="084ACA9C" w14:textId="49F98EDD" w:rsidR="002D6074" w:rsidRPr="006927A9" w:rsidRDefault="002D6074" w:rsidP="00267290">
      <w:pPr>
        <w:pStyle w:val="TSBullet1Square"/>
        <w:numPr>
          <w:ilvl w:val="0"/>
          <w:numId w:val="2"/>
        </w:numPr>
      </w:pPr>
      <w:r w:rsidRPr="006927A9">
        <w:t>ECE.17</w:t>
      </w:r>
      <w:r w:rsidR="00CF0F7E">
        <w:t>,</w:t>
      </w:r>
      <w:r w:rsidR="003B6AC2" w:rsidRPr="006927A9">
        <w:t xml:space="preserve"> </w:t>
      </w:r>
      <w:r w:rsidR="00CF0F7E" w:rsidRPr="006927A9">
        <w:t>EMT.6</w:t>
      </w:r>
      <w:r w:rsidR="00CF0F7E" w:rsidRPr="00CF0F7E">
        <w:rPr>
          <w:rStyle w:val="TSExampleText"/>
          <w:i w:val="0"/>
          <w:color w:val="auto"/>
        </w:rPr>
        <w:t xml:space="preserve"> and ECE.20 establishes the expectation that provision should be </w:t>
      </w:r>
      <w:r w:rsidR="00CF0F7E">
        <w:rPr>
          <w:rStyle w:val="TSExampleText"/>
          <w:i w:val="0"/>
          <w:color w:val="auto"/>
        </w:rPr>
        <w:t xml:space="preserve">made for </w:t>
      </w:r>
      <w:r w:rsidR="00CF0F7E">
        <w:t xml:space="preserve">maintenance for the anticipated lifetime of the structure </w:t>
      </w:r>
      <w:r w:rsidR="005C3B45">
        <w:t xml:space="preserve">and </w:t>
      </w:r>
      <w:r w:rsidR="00CF0F7E">
        <w:t>considered</w:t>
      </w:r>
      <w:r w:rsidR="005C3B45">
        <w:t xml:space="preserve"> during changes</w:t>
      </w:r>
    </w:p>
    <w:p w14:paraId="34F66D04" w14:textId="5D1DBE2B" w:rsidR="00DF1E4F" w:rsidRDefault="002D6074" w:rsidP="000A0465">
      <w:pPr>
        <w:pStyle w:val="TSBullet1Square"/>
        <w:numPr>
          <w:ilvl w:val="0"/>
          <w:numId w:val="2"/>
        </w:numPr>
      </w:pPr>
      <w:r w:rsidRPr="006927A9">
        <w:t>ECE.26</w:t>
      </w:r>
      <w:r w:rsidR="003B6AC2" w:rsidRPr="006927A9">
        <w:t xml:space="preserve"> and </w:t>
      </w:r>
      <w:r w:rsidR="009E7F60" w:rsidRPr="006927A9">
        <w:t>DC.1</w:t>
      </w:r>
      <w:r w:rsidR="00DF1E4F" w:rsidRPr="006927A9">
        <w:rPr>
          <w:iCs/>
        </w:rPr>
        <w:t xml:space="preserve"> state the design should facilitate decommissioning and dismantling</w:t>
      </w:r>
      <w:r w:rsidR="00DF1E4F" w:rsidRPr="006927A9">
        <w:t xml:space="preserve"> </w:t>
      </w:r>
    </w:p>
    <w:p w14:paraId="59156504" w14:textId="4A160E13" w:rsidR="001C5407" w:rsidRDefault="001C5407" w:rsidP="000A0465">
      <w:pPr>
        <w:pStyle w:val="TSBullet1Square"/>
        <w:numPr>
          <w:ilvl w:val="0"/>
          <w:numId w:val="2"/>
        </w:numPr>
      </w:pPr>
      <w:r>
        <w:t xml:space="preserve">ECS.1 refers to </w:t>
      </w:r>
      <w:r w:rsidR="00EA734C">
        <w:t xml:space="preserve">adequate </w:t>
      </w:r>
      <w:r>
        <w:t>categorisation and classification of SSCs</w:t>
      </w:r>
      <w:r w:rsidR="00EA734C">
        <w:t xml:space="preserve"> and how this can change during decommissioning</w:t>
      </w:r>
    </w:p>
    <w:p w14:paraId="1C77B1CA" w14:textId="383F5AE0" w:rsidR="00BE2249" w:rsidRPr="006927A9" w:rsidRDefault="00BE2249" w:rsidP="000A0465">
      <w:pPr>
        <w:pStyle w:val="TSBullet1Square"/>
        <w:numPr>
          <w:ilvl w:val="0"/>
          <w:numId w:val="2"/>
        </w:numPr>
      </w:pPr>
      <w:r>
        <w:t>EHA.7 states the expectations of consideration of cliff edge effects</w:t>
      </w:r>
    </w:p>
    <w:p w14:paraId="3C04E0BE" w14:textId="5B17A3DE" w:rsidR="002D6074" w:rsidRPr="006927A9" w:rsidRDefault="002D6074" w:rsidP="00BD3F6D">
      <w:pPr>
        <w:pStyle w:val="TSBullet1Square"/>
        <w:numPr>
          <w:ilvl w:val="0"/>
          <w:numId w:val="2"/>
        </w:numPr>
      </w:pPr>
      <w:r w:rsidRPr="006927A9">
        <w:t xml:space="preserve">DC.3 </w:t>
      </w:r>
      <w:r w:rsidR="00056303" w:rsidRPr="006927A9">
        <w:t>states an expectation that if you can’t operate a site safely then the unsafe part of the site should be decommissioned</w:t>
      </w:r>
    </w:p>
    <w:p w14:paraId="21F144BD" w14:textId="77777777" w:rsidR="00116C71" w:rsidRPr="006927A9" w:rsidRDefault="00132B5A" w:rsidP="007520B1">
      <w:pPr>
        <w:pStyle w:val="TSBullet1Square"/>
        <w:numPr>
          <w:ilvl w:val="0"/>
          <w:numId w:val="2"/>
        </w:numPr>
      </w:pPr>
      <w:r w:rsidRPr="006927A9">
        <w:t>DC.4</w:t>
      </w:r>
      <w:r w:rsidR="00116C71" w:rsidRPr="006927A9">
        <w:rPr>
          <w:iCs/>
        </w:rPr>
        <w:t xml:space="preserve"> outlines the content of a Decommissioning Plan</w:t>
      </w:r>
      <w:r w:rsidR="00116C71" w:rsidRPr="006927A9">
        <w:t xml:space="preserve"> </w:t>
      </w:r>
    </w:p>
    <w:p w14:paraId="5FCA12FA" w14:textId="6B3D18E7" w:rsidR="00132B5A" w:rsidRPr="006927A9" w:rsidRDefault="00132B5A" w:rsidP="007520B1">
      <w:pPr>
        <w:pStyle w:val="TSBullet1Square"/>
        <w:numPr>
          <w:ilvl w:val="0"/>
          <w:numId w:val="2"/>
        </w:numPr>
      </w:pPr>
      <w:r w:rsidRPr="006927A9">
        <w:t>DC.5</w:t>
      </w:r>
      <w:r w:rsidR="00FF66CA" w:rsidRPr="006927A9">
        <w:t xml:space="preserve"> and RL.2 states the expectation for there to be </w:t>
      </w:r>
      <w:r w:rsidR="00FF66CA" w:rsidRPr="006927A9">
        <w:rPr>
          <w:iCs/>
        </w:rPr>
        <w:t>updates to decommissioning strategies and plans, to include identification and remediation of any contaminated land, to ensure the site is passively safe before entering the care and maintenance phase</w:t>
      </w:r>
    </w:p>
    <w:p w14:paraId="2AB699D6" w14:textId="742E1D91" w:rsidR="005516D6" w:rsidRPr="006927A9" w:rsidRDefault="005516D6" w:rsidP="00C73D22">
      <w:pPr>
        <w:pStyle w:val="TSBullet1Square"/>
        <w:numPr>
          <w:ilvl w:val="0"/>
          <w:numId w:val="2"/>
        </w:numPr>
      </w:pPr>
      <w:r w:rsidRPr="006927A9">
        <w:t>DC.6</w:t>
      </w:r>
      <w:r w:rsidR="00C00922" w:rsidRPr="006927A9">
        <w:t xml:space="preserve"> requires adequate arrangements to be implemented for the acquisition, retention and storage of relevant information and records</w:t>
      </w:r>
    </w:p>
    <w:p w14:paraId="4ABBD23C" w14:textId="4481C439" w:rsidR="005516D6" w:rsidRPr="006927A9" w:rsidRDefault="005516D6" w:rsidP="005516D6">
      <w:pPr>
        <w:pStyle w:val="TSBullet1Square"/>
        <w:numPr>
          <w:ilvl w:val="0"/>
          <w:numId w:val="2"/>
        </w:numPr>
      </w:pPr>
      <w:r w:rsidRPr="006927A9">
        <w:t>DC.9</w:t>
      </w:r>
      <w:r w:rsidR="00C73D22" w:rsidRPr="006927A9">
        <w:t xml:space="preserve"> sets out the expectations </w:t>
      </w:r>
      <w:r w:rsidR="00C73D22" w:rsidRPr="006927A9">
        <w:rPr>
          <w:iCs/>
        </w:rPr>
        <w:t>for an adequate decommissioning safety case</w:t>
      </w:r>
    </w:p>
    <w:p w14:paraId="4A6796C3" w14:textId="67356284" w:rsidR="002355EE" w:rsidRPr="006927A9" w:rsidRDefault="00E35E66" w:rsidP="002355EE">
      <w:pPr>
        <w:pStyle w:val="TSBullet1Square"/>
        <w:numPr>
          <w:ilvl w:val="0"/>
          <w:numId w:val="2"/>
        </w:numPr>
      </w:pPr>
      <w:r w:rsidRPr="006927A9">
        <w:t>EAD.2</w:t>
      </w:r>
      <w:r w:rsidR="00156649" w:rsidRPr="006927A9">
        <w:t xml:space="preserve"> states the expectations that there are adequate margins for the whole life of the facility</w:t>
      </w:r>
    </w:p>
    <w:p w14:paraId="055027A5" w14:textId="7B249842" w:rsidR="00D756A5" w:rsidRPr="006927A9" w:rsidRDefault="00D756A5" w:rsidP="00E35E66">
      <w:pPr>
        <w:pStyle w:val="TSBullet1Square"/>
        <w:numPr>
          <w:ilvl w:val="0"/>
          <w:numId w:val="2"/>
        </w:numPr>
      </w:pPr>
      <w:r w:rsidRPr="006927A9">
        <w:t>EMC.11</w:t>
      </w:r>
      <w:r w:rsidR="0003082A" w:rsidRPr="006927A9">
        <w:rPr>
          <w:iCs/>
        </w:rPr>
        <w:t xml:space="preserve"> failure models should be gradual and predictable.</w:t>
      </w:r>
    </w:p>
    <w:p w14:paraId="2870DA8D" w14:textId="1D66A9AF" w:rsidR="00D756A5" w:rsidRPr="006927A9" w:rsidRDefault="00D756A5" w:rsidP="00E35E66">
      <w:pPr>
        <w:pStyle w:val="TSBullet1Square"/>
        <w:numPr>
          <w:ilvl w:val="0"/>
          <w:numId w:val="2"/>
        </w:numPr>
      </w:pPr>
      <w:r w:rsidRPr="006927A9">
        <w:t>ENM.4</w:t>
      </w:r>
      <w:r w:rsidR="0063325B" w:rsidRPr="006927A9">
        <w:t xml:space="preserve"> relates to ‘corporate memory’ and relates to record keeping</w:t>
      </w:r>
    </w:p>
    <w:p w14:paraId="04D108EB" w14:textId="4393B30E" w:rsidR="00D216A9" w:rsidRPr="006927A9" w:rsidRDefault="00D216A9" w:rsidP="00E35E66">
      <w:pPr>
        <w:pStyle w:val="TSBullet1Square"/>
        <w:numPr>
          <w:ilvl w:val="0"/>
          <w:numId w:val="2"/>
        </w:numPr>
      </w:pPr>
      <w:r w:rsidRPr="006927A9">
        <w:t>MS.2</w:t>
      </w:r>
      <w:r w:rsidR="00835260" w:rsidRPr="006927A9">
        <w:t xml:space="preserve">, </w:t>
      </w:r>
      <w:r w:rsidR="00EC3673" w:rsidRPr="006927A9">
        <w:t xml:space="preserve">EHF.8, </w:t>
      </w:r>
      <w:r w:rsidR="00801923" w:rsidRPr="006927A9">
        <w:t>DC.7</w:t>
      </w:r>
      <w:r w:rsidR="00835260" w:rsidRPr="006927A9">
        <w:t xml:space="preserve"> and DC.</w:t>
      </w:r>
      <w:r w:rsidR="00EC3673" w:rsidRPr="006927A9">
        <w:t>8 explain</w:t>
      </w:r>
      <w:r w:rsidR="00801923" w:rsidRPr="006927A9">
        <w:t xml:space="preserve"> the expectation</w:t>
      </w:r>
      <w:r w:rsidR="00EC3673" w:rsidRPr="006927A9">
        <w:t>s</w:t>
      </w:r>
      <w:r w:rsidR="00801923" w:rsidRPr="006927A9">
        <w:t xml:space="preserve"> that the organisation</w:t>
      </w:r>
      <w:r w:rsidR="00E33D4B" w:rsidRPr="006927A9">
        <w:t xml:space="preserve"> will consider</w:t>
      </w:r>
      <w:r w:rsidR="003E7E1D" w:rsidRPr="006927A9">
        <w:t xml:space="preserve"> retention of information during handover between lifecycle phases</w:t>
      </w:r>
      <w:r w:rsidR="00835260" w:rsidRPr="006927A9">
        <w:t xml:space="preserve"> with sufficient resource to undertake activities</w:t>
      </w:r>
    </w:p>
    <w:p w14:paraId="2B56AAA0" w14:textId="6F242E43" w:rsidR="00B33008" w:rsidRPr="006927A9" w:rsidRDefault="00B33008" w:rsidP="00E35E66">
      <w:pPr>
        <w:pStyle w:val="TSBullet1Square"/>
        <w:numPr>
          <w:ilvl w:val="0"/>
          <w:numId w:val="2"/>
        </w:numPr>
      </w:pPr>
      <w:r w:rsidRPr="006927A9">
        <w:t>RL.1</w:t>
      </w:r>
      <w:r w:rsidR="00ED6859" w:rsidRPr="006927A9">
        <w:t>, RL.2, RL.4, RL.6 and RL.8</w:t>
      </w:r>
      <w:r w:rsidR="004E1611" w:rsidRPr="006927A9">
        <w:rPr>
          <w:iCs/>
        </w:rPr>
        <w:t xml:space="preserve"> state the expectations around radioactively contaminated land management where civil engineering input may be required.</w:t>
      </w:r>
    </w:p>
    <w:p w14:paraId="1CA7BE1A" w14:textId="380C0AD0" w:rsidR="00A20942" w:rsidRPr="006927A9" w:rsidRDefault="00A20942" w:rsidP="00B33008">
      <w:pPr>
        <w:pStyle w:val="TSBullet1Square"/>
        <w:numPr>
          <w:ilvl w:val="0"/>
          <w:numId w:val="2"/>
        </w:numPr>
      </w:pPr>
      <w:r w:rsidRPr="006927A9">
        <w:t>RW.6</w:t>
      </w:r>
      <w:r w:rsidR="003321EB" w:rsidRPr="006927A9">
        <w:t xml:space="preserve"> states the expectation that hazards will be removed systematically and progressively</w:t>
      </w:r>
      <w:r w:rsidR="003C6F82" w:rsidRPr="006927A9">
        <w:t xml:space="preserve"> to achieve passive safety</w:t>
      </w:r>
    </w:p>
    <w:p w14:paraId="01684AF7" w14:textId="316A56CC" w:rsidR="006646DC" w:rsidRPr="006927A9" w:rsidRDefault="00A20942" w:rsidP="00857D1D">
      <w:pPr>
        <w:pStyle w:val="TSBullet1Square"/>
        <w:numPr>
          <w:ilvl w:val="0"/>
          <w:numId w:val="2"/>
        </w:numPr>
      </w:pPr>
      <w:r w:rsidRPr="006927A9">
        <w:t>SC.1</w:t>
      </w:r>
      <w:r w:rsidR="00B8016C" w:rsidRPr="006927A9">
        <w:t xml:space="preserve"> refers to decisions made regarding assessment and categorisation (SC.1) of decommissioning activities and the impact on safety</w:t>
      </w:r>
    </w:p>
    <w:p w14:paraId="57908C6D" w14:textId="1F851516" w:rsidR="00EB707A" w:rsidRPr="006927A9" w:rsidRDefault="00EB707A" w:rsidP="00857D1D">
      <w:pPr>
        <w:pStyle w:val="TSBullet1Square"/>
        <w:numPr>
          <w:ilvl w:val="0"/>
          <w:numId w:val="2"/>
        </w:numPr>
      </w:pPr>
      <w:r w:rsidRPr="006927A9">
        <w:t xml:space="preserve">SC.8 states the expectation that the </w:t>
      </w:r>
      <w:proofErr w:type="spellStart"/>
      <w:r w:rsidRPr="006927A9">
        <w:t>dutyholder</w:t>
      </w:r>
      <w:proofErr w:type="spellEnd"/>
      <w:r w:rsidRPr="006927A9">
        <w:t xml:space="preserve"> maintains responsibility for safety</w:t>
      </w:r>
    </w:p>
    <w:p w14:paraId="5E3796F2" w14:textId="3AFEDFC6" w:rsidR="00857D1D" w:rsidRPr="002B1AA5" w:rsidRDefault="00857D1D" w:rsidP="002F34D9">
      <w:pPr>
        <w:pStyle w:val="TSNumberedParagraph1"/>
        <w:numPr>
          <w:ilvl w:val="0"/>
          <w:numId w:val="12"/>
        </w:numPr>
        <w:spacing w:before="220"/>
      </w:pPr>
      <w:r w:rsidRPr="00FD2702">
        <w:t xml:space="preserve">Inspectors should </w:t>
      </w:r>
      <w:r w:rsidRPr="002B1AA5">
        <w:t>also be cognisant of the broad intent of the SAPs; namely that it is not the level of conservatism assigned to one element of the civil engineering analysis and maintenance process, but the (overall) level of conservatism, applied to the substantiation and justification process and the structure as a whole.</w:t>
      </w:r>
    </w:p>
    <w:p w14:paraId="65D4D63A" w14:textId="64F1661B" w:rsidR="009878FB" w:rsidRPr="002B1AA5" w:rsidRDefault="009878FB" w:rsidP="002F34D9">
      <w:pPr>
        <w:pStyle w:val="TSNumberedParagraph1"/>
        <w:numPr>
          <w:ilvl w:val="0"/>
          <w:numId w:val="12"/>
        </w:numPr>
        <w:spacing w:before="220"/>
      </w:pPr>
      <w:r w:rsidRPr="002B1AA5">
        <w:t>Particularly key to decommissioning are the WENRA Decommissioning Safety Reference Levels</w:t>
      </w:r>
      <w:r w:rsidR="00640B24" w:rsidRPr="002B1AA5">
        <w:t xml:space="preserve"> [2]</w:t>
      </w:r>
      <w:r w:rsidRPr="002B1AA5">
        <w:t xml:space="preserve">, </w:t>
      </w:r>
      <w:r w:rsidR="00267EF6" w:rsidRPr="002B1AA5">
        <w:t xml:space="preserve">which are identified in </w:t>
      </w:r>
      <w:r w:rsidR="007F6458" w:rsidRPr="002B1AA5">
        <w:t xml:space="preserve">Appendix 1 </w:t>
      </w:r>
      <w:r w:rsidR="00267EF6" w:rsidRPr="002B1AA5">
        <w:t xml:space="preserve">table at the end of this </w:t>
      </w:r>
      <w:r w:rsidRPr="002B1AA5">
        <w:t>annex</w:t>
      </w:r>
      <w:r w:rsidR="007F6458" w:rsidRPr="002B1AA5">
        <w:t>.</w:t>
      </w:r>
      <w:r w:rsidR="006E6A85" w:rsidRPr="002B1AA5">
        <w:t xml:space="preserve"> These Decommissioning Safety Reference Levels all begin with the reference ‘DE’ and are referenced within th</w:t>
      </w:r>
      <w:r w:rsidR="00FD2702" w:rsidRPr="002B1AA5">
        <w:t>is</w:t>
      </w:r>
      <w:r w:rsidR="006E6A85" w:rsidRPr="002B1AA5">
        <w:t xml:space="preserve"> document where they are relevant.</w:t>
      </w:r>
    </w:p>
    <w:p w14:paraId="3A335C5D" w14:textId="77777777" w:rsidR="00842781" w:rsidRDefault="00842781">
      <w:pPr>
        <w:rPr>
          <w:rFonts w:ascii="Arial Bold" w:hAnsi="Arial Bold"/>
          <w:b/>
        </w:rPr>
      </w:pPr>
      <w:r>
        <w:br w:type="page"/>
      </w:r>
    </w:p>
    <w:p w14:paraId="35A89CA8" w14:textId="28AAC424" w:rsidR="000D7D35" w:rsidRPr="00F91A8D" w:rsidRDefault="000D7D35" w:rsidP="00F91A8D">
      <w:pPr>
        <w:pStyle w:val="TSHeadingNumbered11"/>
        <w:spacing w:before="240"/>
      </w:pPr>
      <w:bookmarkStart w:id="40" w:name="_Toc57895876"/>
      <w:r w:rsidRPr="002B1AA5">
        <w:lastRenderedPageBreak/>
        <w:t>Exclusions</w:t>
      </w:r>
      <w:bookmarkEnd w:id="40"/>
    </w:p>
    <w:p w14:paraId="136AFBF3" w14:textId="6F5DEFD6" w:rsidR="00E81216" w:rsidRPr="002B1AA5" w:rsidRDefault="00C24815" w:rsidP="002833AC">
      <w:pPr>
        <w:pStyle w:val="TSNumberedParagraph1"/>
        <w:numPr>
          <w:ilvl w:val="0"/>
          <w:numId w:val="12"/>
        </w:numPr>
        <w:spacing w:before="220"/>
      </w:pPr>
      <w:r w:rsidRPr="002B1AA5">
        <w:t>Disposal of radiological waste, including a geological disposal facility, is outside the scope of this annex.</w:t>
      </w:r>
    </w:p>
    <w:p w14:paraId="3931C522" w14:textId="53140F16" w:rsidR="005B35B6" w:rsidRPr="002B1AA5" w:rsidRDefault="00ED70EA" w:rsidP="002833AC">
      <w:pPr>
        <w:pStyle w:val="TSNumberedParagraph1"/>
        <w:numPr>
          <w:ilvl w:val="0"/>
          <w:numId w:val="12"/>
        </w:numPr>
        <w:spacing w:before="220"/>
      </w:pPr>
      <w:r w:rsidRPr="002B1AA5">
        <w:t xml:space="preserve">Structural integrity, impact protection and a weatherproof envelope are </w:t>
      </w:r>
      <w:r w:rsidR="00C646F2" w:rsidRPr="002B1AA5">
        <w:t>potential civil engineering</w:t>
      </w:r>
      <w:r w:rsidRPr="002B1AA5">
        <w:t xml:space="preserve"> nuclear safety functions for nuclear waste stores</w:t>
      </w:r>
      <w:r w:rsidR="00886DA7" w:rsidRPr="002B1AA5">
        <w:t xml:space="preserve"> or buildings that are present on a site still performing safety functions post operation</w:t>
      </w:r>
      <w:r w:rsidRPr="002B1AA5">
        <w:t xml:space="preserve">. </w:t>
      </w:r>
      <w:r w:rsidR="00886DA7" w:rsidRPr="002B1AA5">
        <w:rPr>
          <w:lang w:eastAsia="en-GB"/>
        </w:rPr>
        <w:t>T</w:t>
      </w:r>
      <w:r w:rsidR="00886DA7" w:rsidRPr="002B1AA5">
        <w:t>he assessment of civil engineering on sites where operation has ceased is heavily linked to the examination, inspection, maintenance and testing (EIMT) where a</w:t>
      </w:r>
      <w:r w:rsidR="00C34979">
        <w:t xml:space="preserve"> safety functional requirement (</w:t>
      </w:r>
      <w:r w:rsidR="00886DA7" w:rsidRPr="002B1AA5">
        <w:t>SFR</w:t>
      </w:r>
      <w:r w:rsidR="00C34979">
        <w:t>)</w:t>
      </w:r>
      <w:r w:rsidR="00886DA7" w:rsidRPr="002B1AA5">
        <w:t xml:space="preserve"> is still placed on a structure. </w:t>
      </w:r>
      <w:r w:rsidR="00C24815" w:rsidRPr="002B1AA5">
        <w:t xml:space="preserve">When considering condition assessments for </w:t>
      </w:r>
      <w:r w:rsidR="00E81216" w:rsidRPr="002B1AA5">
        <w:t xml:space="preserve">modification to </w:t>
      </w:r>
      <w:r w:rsidRPr="002B1AA5">
        <w:t>existing structures, see</w:t>
      </w:r>
      <w:r w:rsidR="005B35B6" w:rsidRPr="002B1AA5">
        <w:t>:</w:t>
      </w:r>
    </w:p>
    <w:p w14:paraId="64BB0706" w14:textId="47355388" w:rsidR="00D07765" w:rsidRPr="002B1AA5" w:rsidRDefault="005B35B6" w:rsidP="00C24815">
      <w:pPr>
        <w:pStyle w:val="NumberedParagraph"/>
        <w:numPr>
          <w:ilvl w:val="0"/>
          <w:numId w:val="10"/>
        </w:numPr>
        <w:tabs>
          <w:tab w:val="left" w:pos="493"/>
        </w:tabs>
        <w:spacing w:before="60" w:after="60"/>
        <w:ind w:right="175"/>
        <w:jc w:val="left"/>
        <w:rPr>
          <w:rFonts w:cs="Helvetica 45 Light"/>
          <w:color w:val="000000"/>
        </w:rPr>
      </w:pPr>
      <w:r w:rsidRPr="002B1AA5">
        <w:rPr>
          <w:rFonts w:cs="Helvetica 45 Light"/>
          <w:color w:val="000000"/>
        </w:rPr>
        <w:t xml:space="preserve">TAG 17 </w:t>
      </w:r>
      <w:r w:rsidR="00E67477" w:rsidRPr="002B1AA5">
        <w:rPr>
          <w:rFonts w:cs="Helvetica 45 Light"/>
          <w:color w:val="000000"/>
        </w:rPr>
        <w:t xml:space="preserve">Annex </w:t>
      </w:r>
      <w:r w:rsidRPr="002B1AA5">
        <w:rPr>
          <w:rFonts w:cs="Helvetica 45 Light"/>
          <w:color w:val="000000"/>
        </w:rPr>
        <w:t>5</w:t>
      </w:r>
      <w:r w:rsidR="009524E8" w:rsidRPr="002B1AA5">
        <w:rPr>
          <w:rFonts w:cs="Helvetica 45 Light"/>
          <w:color w:val="000000"/>
        </w:rPr>
        <w:t>,</w:t>
      </w:r>
      <w:r w:rsidR="00E67477" w:rsidRPr="002B1AA5">
        <w:rPr>
          <w:rFonts w:cs="Helvetica 45 Light"/>
          <w:color w:val="000000"/>
        </w:rPr>
        <w:t xml:space="preserve"> </w:t>
      </w:r>
      <w:r w:rsidR="009524E8" w:rsidRPr="002B1AA5">
        <w:t>‘Civil Engineering – Ageing Management and Damaged Structures’</w:t>
      </w:r>
    </w:p>
    <w:p w14:paraId="08C93C9E" w14:textId="1FC1B149" w:rsidR="00226293" w:rsidRDefault="00C33579" w:rsidP="00C24815">
      <w:pPr>
        <w:pStyle w:val="TSHeadingNumbered1"/>
        <w:numPr>
          <w:ilvl w:val="0"/>
          <w:numId w:val="11"/>
        </w:numPr>
        <w:spacing w:before="240"/>
      </w:pPr>
      <w:bookmarkStart w:id="41" w:name="_Toc57895877"/>
      <w:r>
        <w:t>Post O</w:t>
      </w:r>
      <w:r w:rsidR="00EC5B0E">
        <w:t>PERATIO</w:t>
      </w:r>
      <w:r>
        <w:t>N</w:t>
      </w:r>
      <w:r w:rsidR="00133AEF">
        <w:t xml:space="preserve"> OVERALL</w:t>
      </w:r>
      <w:r>
        <w:t xml:space="preserve"> Considerations</w:t>
      </w:r>
      <w:bookmarkEnd w:id="41"/>
    </w:p>
    <w:p w14:paraId="388587FC" w14:textId="63D25C66" w:rsidR="00D9314A" w:rsidRDefault="00D9314A" w:rsidP="00D9314A">
      <w:pPr>
        <w:pStyle w:val="TSNumberedParagraph1"/>
        <w:numPr>
          <w:ilvl w:val="0"/>
          <w:numId w:val="12"/>
        </w:numPr>
        <w:tabs>
          <w:tab w:val="clear" w:pos="-31680"/>
        </w:tabs>
        <w:spacing w:before="220"/>
      </w:pPr>
      <w:r>
        <w:t>Safety functions must be maintained</w:t>
      </w:r>
      <w:r w:rsidR="00735EA5">
        <w:t xml:space="preserve"> after the site has cease operation</w:t>
      </w:r>
      <w:r>
        <w:t xml:space="preserve"> to ensure the ongoing safety of</w:t>
      </w:r>
      <w:r w:rsidR="00C646F2">
        <w:t xml:space="preserve"> the facility.</w:t>
      </w:r>
      <w:r>
        <w:t xml:space="preserve"> </w:t>
      </w:r>
      <w:r w:rsidR="00101203">
        <w:t>The Inspector</w:t>
      </w:r>
      <w:r w:rsidR="00735EA5">
        <w:t xml:space="preserve"> </w:t>
      </w:r>
      <w:r w:rsidR="00627190">
        <w:t xml:space="preserve">may wish to </w:t>
      </w:r>
      <w:r w:rsidR="00735EA5">
        <w:t xml:space="preserve">consider the risk of foreclosure, that </w:t>
      </w:r>
      <w:r>
        <w:t>safe options for future demolition are not limited</w:t>
      </w:r>
      <w:r w:rsidR="00735EA5" w:rsidRPr="00735EA5">
        <w:t xml:space="preserve"> </w:t>
      </w:r>
      <w:r w:rsidR="00735EA5">
        <w:t>un-necessarily</w:t>
      </w:r>
      <w:r w:rsidR="00C646F2">
        <w:t xml:space="preserve"> by lack of maintenance</w:t>
      </w:r>
      <w:r>
        <w:t>.</w:t>
      </w:r>
    </w:p>
    <w:p w14:paraId="79C867D2" w14:textId="144F3C21" w:rsidR="00761D92" w:rsidRPr="00761D92" w:rsidRDefault="002076C5" w:rsidP="00761D92">
      <w:pPr>
        <w:pStyle w:val="TSHeadingNumbered1"/>
        <w:numPr>
          <w:ilvl w:val="1"/>
          <w:numId w:val="11"/>
        </w:numPr>
        <w:tabs>
          <w:tab w:val="clear" w:pos="-31680"/>
        </w:tabs>
        <w:rPr>
          <w:caps w:val="0"/>
        </w:rPr>
      </w:pPr>
      <w:bookmarkStart w:id="42" w:name="_Toc57895878"/>
      <w:r>
        <w:rPr>
          <w:caps w:val="0"/>
        </w:rPr>
        <w:t xml:space="preserve">Decommissioning </w:t>
      </w:r>
      <w:r w:rsidR="007E7594">
        <w:rPr>
          <w:caps w:val="0"/>
        </w:rPr>
        <w:t>Strategy</w:t>
      </w:r>
      <w:bookmarkEnd w:id="42"/>
      <w:r w:rsidR="007E7594">
        <w:rPr>
          <w:caps w:val="0"/>
        </w:rPr>
        <w:t xml:space="preserve"> </w:t>
      </w:r>
    </w:p>
    <w:p w14:paraId="0B3146BD" w14:textId="780DBE80" w:rsidR="00133AEF" w:rsidRDefault="00133AEF" w:rsidP="00133AEF">
      <w:pPr>
        <w:pStyle w:val="TSNumberedParagraph1"/>
        <w:numPr>
          <w:ilvl w:val="0"/>
          <w:numId w:val="12"/>
        </w:numPr>
        <w:tabs>
          <w:tab w:val="clear" w:pos="-31680"/>
        </w:tabs>
        <w:spacing w:before="220"/>
      </w:pPr>
      <w:r>
        <w:t xml:space="preserve">Each </w:t>
      </w:r>
      <w:proofErr w:type="spellStart"/>
      <w:r w:rsidR="001A6B22">
        <w:t>dutyholder</w:t>
      </w:r>
      <w:proofErr w:type="spellEnd"/>
      <w:r>
        <w:t xml:space="preserve"> is expected to develop an overall </w:t>
      </w:r>
      <w:r w:rsidR="00C646F2">
        <w:t xml:space="preserve">site </w:t>
      </w:r>
      <w:r>
        <w:t>decommissioning</w:t>
      </w:r>
      <w:r w:rsidR="00282C7B">
        <w:t xml:space="preserve"> strategy</w:t>
      </w:r>
      <w:r w:rsidR="001A6B22">
        <w:t xml:space="preserve">. </w:t>
      </w:r>
      <w:r>
        <w:t>Each licensed site is expected to have a specific decommissioning plan (see Section</w:t>
      </w:r>
      <w:r w:rsidR="007E7594">
        <w:t xml:space="preserve"> </w:t>
      </w:r>
      <w:r w:rsidR="007E7594">
        <w:fldChar w:fldCharType="begin"/>
      </w:r>
      <w:r w:rsidR="007E7594">
        <w:instrText xml:space="preserve"> REF _Ref36659189 \r \h </w:instrText>
      </w:r>
      <w:r w:rsidR="007E7594">
        <w:fldChar w:fldCharType="separate"/>
      </w:r>
      <w:r w:rsidR="006D6304">
        <w:t>58</w:t>
      </w:r>
      <w:r w:rsidR="007E7594">
        <w:fldChar w:fldCharType="end"/>
      </w:r>
      <w:r>
        <w:t xml:space="preserve">) which addresses the what, when and how of the </w:t>
      </w:r>
      <w:r w:rsidR="002076C5">
        <w:t>post operation</w:t>
      </w:r>
      <w:r w:rsidR="00C646F2" w:rsidRPr="00C646F2">
        <w:t xml:space="preserve"> </w:t>
      </w:r>
      <w:r w:rsidR="00C646F2">
        <w:t>phases</w:t>
      </w:r>
      <w:r>
        <w:t xml:space="preserve">. </w:t>
      </w:r>
    </w:p>
    <w:p w14:paraId="79FAF0A8" w14:textId="5D1F4968" w:rsidR="002076C5" w:rsidRDefault="00D07765" w:rsidP="002076C5">
      <w:pPr>
        <w:pStyle w:val="TSNumberedParagraph1"/>
        <w:numPr>
          <w:ilvl w:val="0"/>
          <w:numId w:val="12"/>
        </w:numPr>
        <w:spacing w:before="220"/>
        <w:rPr>
          <w:rStyle w:val="TSExampleText"/>
          <w:i w:val="0"/>
          <w:color w:val="auto"/>
        </w:rPr>
      </w:pPr>
      <w:r>
        <w:rPr>
          <w:rStyle w:val="TSExampleText"/>
          <w:i w:val="0"/>
          <w:color w:val="auto"/>
        </w:rPr>
        <w:t xml:space="preserve">SAP </w:t>
      </w:r>
      <w:r w:rsidR="00EA12F3">
        <w:rPr>
          <w:rStyle w:val="TSExampleText"/>
          <w:i w:val="0"/>
          <w:color w:val="auto"/>
        </w:rPr>
        <w:t>DC.</w:t>
      </w:r>
      <w:r w:rsidR="008C00C8">
        <w:rPr>
          <w:rStyle w:val="TSExampleText"/>
          <w:i w:val="0"/>
          <w:color w:val="auto"/>
        </w:rPr>
        <w:t>2</w:t>
      </w:r>
      <w:r w:rsidR="00EA12F3">
        <w:rPr>
          <w:rStyle w:val="TSExampleText"/>
          <w:i w:val="0"/>
          <w:color w:val="auto"/>
        </w:rPr>
        <w:t xml:space="preserve"> </w:t>
      </w:r>
      <w:r w:rsidR="00C646F2">
        <w:rPr>
          <w:rStyle w:val="TSExampleText"/>
          <w:i w:val="0"/>
          <w:color w:val="auto"/>
        </w:rPr>
        <w:t>establishes</w:t>
      </w:r>
      <w:r w:rsidR="002076C5">
        <w:rPr>
          <w:rStyle w:val="TSExampleText"/>
          <w:i w:val="0"/>
          <w:color w:val="auto"/>
        </w:rPr>
        <w:t xml:space="preserve"> the </w:t>
      </w:r>
      <w:r>
        <w:rPr>
          <w:rStyle w:val="TSExampleText"/>
          <w:i w:val="0"/>
          <w:color w:val="auto"/>
        </w:rPr>
        <w:t>expectation</w:t>
      </w:r>
      <w:r w:rsidR="002076C5">
        <w:rPr>
          <w:rStyle w:val="TSExampleText"/>
          <w:i w:val="0"/>
          <w:color w:val="auto"/>
        </w:rPr>
        <w:t xml:space="preserve"> for decommissioning strategies, </w:t>
      </w:r>
      <w:r>
        <w:rPr>
          <w:rStyle w:val="TSExampleText"/>
          <w:i w:val="0"/>
          <w:color w:val="auto"/>
        </w:rPr>
        <w:t xml:space="preserve">including the </w:t>
      </w:r>
      <w:r w:rsidR="006B1713">
        <w:rPr>
          <w:rStyle w:val="TSExampleText"/>
          <w:i w:val="0"/>
          <w:color w:val="auto"/>
        </w:rPr>
        <w:t>intent</w:t>
      </w:r>
      <w:r>
        <w:rPr>
          <w:rStyle w:val="TSExampleText"/>
          <w:i w:val="0"/>
          <w:color w:val="auto"/>
        </w:rPr>
        <w:t xml:space="preserve"> </w:t>
      </w:r>
      <w:r w:rsidR="006B1713">
        <w:rPr>
          <w:rStyle w:val="TSExampleText"/>
          <w:i w:val="0"/>
          <w:color w:val="auto"/>
        </w:rPr>
        <w:t xml:space="preserve">that </w:t>
      </w:r>
      <w:r w:rsidR="002076C5">
        <w:rPr>
          <w:rStyle w:val="TSExampleText"/>
          <w:i w:val="0"/>
          <w:color w:val="auto"/>
        </w:rPr>
        <w:t xml:space="preserve">the site </w:t>
      </w:r>
      <w:r>
        <w:rPr>
          <w:rStyle w:val="TSExampleText"/>
          <w:i w:val="0"/>
          <w:color w:val="auto"/>
        </w:rPr>
        <w:t xml:space="preserve">will be </w:t>
      </w:r>
      <w:r w:rsidR="002076C5">
        <w:rPr>
          <w:rStyle w:val="TSExampleText"/>
          <w:i w:val="0"/>
          <w:color w:val="auto"/>
        </w:rPr>
        <w:t>passively safe before entering the care and maintenance phase</w:t>
      </w:r>
      <w:r w:rsidR="006B1713">
        <w:rPr>
          <w:rStyle w:val="TSExampleText"/>
          <w:i w:val="0"/>
          <w:color w:val="auto"/>
        </w:rPr>
        <w:t xml:space="preserve"> in line with the expectation of DC.5</w:t>
      </w:r>
      <w:r w:rsidR="002076C5">
        <w:rPr>
          <w:rStyle w:val="TSExampleText"/>
          <w:i w:val="0"/>
          <w:color w:val="auto"/>
        </w:rPr>
        <w:t>.</w:t>
      </w:r>
      <w:r w:rsidR="007D0C46">
        <w:rPr>
          <w:rStyle w:val="TSExampleText"/>
          <w:i w:val="0"/>
          <w:color w:val="auto"/>
        </w:rPr>
        <w:t xml:space="preserve"> Passive in this context is not intended to be interpreted as not requiring ongoing examination, inspection, maintenance and testing (EIMT) throughout the care and maintenance period.</w:t>
      </w:r>
    </w:p>
    <w:p w14:paraId="5082153B" w14:textId="0E408A13" w:rsidR="00D07765" w:rsidRDefault="002627B2" w:rsidP="002076C5">
      <w:pPr>
        <w:pStyle w:val="TSNumberedParagraph1"/>
        <w:numPr>
          <w:ilvl w:val="0"/>
          <w:numId w:val="12"/>
        </w:numPr>
        <w:spacing w:before="220"/>
        <w:rPr>
          <w:rStyle w:val="TSExampleText"/>
          <w:i w:val="0"/>
          <w:color w:val="auto"/>
        </w:rPr>
      </w:pPr>
      <w:r>
        <w:rPr>
          <w:rStyle w:val="TSExampleText"/>
          <w:i w:val="0"/>
          <w:color w:val="auto"/>
        </w:rPr>
        <w:t>WENRA Decommissioning Safety</w:t>
      </w:r>
      <w:r w:rsidR="00E039EA">
        <w:rPr>
          <w:rStyle w:val="TSExampleText"/>
          <w:i w:val="0"/>
          <w:color w:val="auto"/>
        </w:rPr>
        <w:t xml:space="preserve"> Reference</w:t>
      </w:r>
      <w:r>
        <w:rPr>
          <w:rStyle w:val="TSExampleText"/>
          <w:i w:val="0"/>
          <w:color w:val="auto"/>
        </w:rPr>
        <w:t xml:space="preserve"> Levels</w:t>
      </w:r>
      <w:r w:rsidR="007F6458">
        <w:rPr>
          <w:rStyle w:val="TSExampleText"/>
          <w:i w:val="0"/>
          <w:color w:val="auto"/>
        </w:rPr>
        <w:t xml:space="preserve"> [</w:t>
      </w:r>
      <w:r w:rsidR="00A0175D">
        <w:rPr>
          <w:rStyle w:val="TSExampleText"/>
          <w:i w:val="0"/>
          <w:color w:val="auto"/>
        </w:rPr>
        <w:t>2</w:t>
      </w:r>
      <w:r w:rsidR="007F6458">
        <w:rPr>
          <w:rStyle w:val="TSExampleText"/>
          <w:i w:val="0"/>
          <w:color w:val="auto"/>
        </w:rPr>
        <w:t>]</w:t>
      </w:r>
      <w:r>
        <w:rPr>
          <w:rStyle w:val="TSExampleText"/>
          <w:i w:val="0"/>
          <w:color w:val="auto"/>
        </w:rPr>
        <w:t xml:space="preserve"> DE-17 and DE-18 describe </w:t>
      </w:r>
      <w:r w:rsidR="00D07765">
        <w:rPr>
          <w:rStyle w:val="TSExampleText"/>
          <w:i w:val="0"/>
          <w:color w:val="auto"/>
        </w:rPr>
        <w:t xml:space="preserve">the decommissioning strategy and </w:t>
      </w:r>
      <w:r w:rsidR="00BB1134">
        <w:rPr>
          <w:rStyle w:val="TSExampleText"/>
          <w:i w:val="0"/>
          <w:color w:val="auto"/>
        </w:rPr>
        <w:t>the relevant</w:t>
      </w:r>
      <w:r w:rsidR="00D07765">
        <w:rPr>
          <w:rStyle w:val="TSExampleText"/>
          <w:i w:val="0"/>
          <w:color w:val="auto"/>
        </w:rPr>
        <w:t xml:space="preserve"> aspects to document, including overall timescales for the decommissioning of the facility and the end state after completion of all </w:t>
      </w:r>
      <w:r w:rsidR="00BB1134">
        <w:rPr>
          <w:rStyle w:val="TSExampleText"/>
          <w:i w:val="0"/>
          <w:color w:val="auto"/>
        </w:rPr>
        <w:t>decommissioning activities. These also provide</w:t>
      </w:r>
      <w:r w:rsidR="00D07765">
        <w:rPr>
          <w:rStyle w:val="TSExampleText"/>
          <w:i w:val="0"/>
          <w:color w:val="auto"/>
        </w:rPr>
        <w:t xml:space="preserve"> explanation of </w:t>
      </w:r>
      <w:r w:rsidR="00BB1134">
        <w:rPr>
          <w:rStyle w:val="TSExampleText"/>
          <w:i w:val="0"/>
          <w:color w:val="auto"/>
        </w:rPr>
        <w:t xml:space="preserve">the </w:t>
      </w:r>
      <w:r w:rsidR="00D07765">
        <w:rPr>
          <w:rStyle w:val="TSExampleText"/>
          <w:i w:val="0"/>
          <w:color w:val="auto"/>
        </w:rPr>
        <w:t xml:space="preserve">preferred options and </w:t>
      </w:r>
      <w:r w:rsidR="00BB1134">
        <w:rPr>
          <w:rStyle w:val="TSExampleText"/>
          <w:i w:val="0"/>
          <w:color w:val="auto"/>
        </w:rPr>
        <w:t>the expectation for a rigorous</w:t>
      </w:r>
      <w:r w:rsidR="00D07765">
        <w:rPr>
          <w:rStyle w:val="TSExampleText"/>
          <w:i w:val="0"/>
          <w:color w:val="auto"/>
        </w:rPr>
        <w:t xml:space="preserve"> justification </w:t>
      </w:r>
      <w:r w:rsidR="00BB1134">
        <w:rPr>
          <w:rStyle w:val="TSExampleText"/>
          <w:i w:val="0"/>
          <w:color w:val="auto"/>
        </w:rPr>
        <w:t>if the selected option does not involve</w:t>
      </w:r>
      <w:r w:rsidR="00D07765">
        <w:rPr>
          <w:rStyle w:val="TSExampleText"/>
          <w:i w:val="0"/>
          <w:color w:val="auto"/>
        </w:rPr>
        <w:t xml:space="preserve"> immediate dismantling.</w:t>
      </w:r>
    </w:p>
    <w:p w14:paraId="7CEF7A3F" w14:textId="2D3CED3E" w:rsidR="000B1930" w:rsidRDefault="00DF303A" w:rsidP="00480E45">
      <w:pPr>
        <w:pStyle w:val="TSNumberedParagraph1"/>
        <w:numPr>
          <w:ilvl w:val="0"/>
          <w:numId w:val="12"/>
        </w:numPr>
        <w:spacing w:before="220"/>
        <w:rPr>
          <w:rStyle w:val="TSExampleText"/>
          <w:i w:val="0"/>
          <w:color w:val="auto"/>
        </w:rPr>
      </w:pPr>
      <w:r w:rsidRPr="00EF63C0">
        <w:rPr>
          <w:rStyle w:val="TSExampleText"/>
          <w:i w:val="0"/>
          <w:color w:val="auto"/>
        </w:rPr>
        <w:t xml:space="preserve">Within the </w:t>
      </w:r>
      <w:r w:rsidR="005F21EB" w:rsidRPr="00EF63C0">
        <w:rPr>
          <w:rStyle w:val="TSExampleText"/>
          <w:i w:val="0"/>
          <w:color w:val="auto"/>
        </w:rPr>
        <w:t>U</w:t>
      </w:r>
      <w:r w:rsidRPr="00EF63C0">
        <w:rPr>
          <w:rStyle w:val="TSExampleText"/>
          <w:i w:val="0"/>
          <w:color w:val="auto"/>
        </w:rPr>
        <w:t xml:space="preserve">nited </w:t>
      </w:r>
      <w:r w:rsidR="005F21EB" w:rsidRPr="00EF63C0">
        <w:rPr>
          <w:rStyle w:val="TSExampleText"/>
          <w:i w:val="0"/>
          <w:color w:val="auto"/>
        </w:rPr>
        <w:t>K</w:t>
      </w:r>
      <w:r w:rsidRPr="00EF63C0">
        <w:rPr>
          <w:rStyle w:val="TSExampleText"/>
          <w:i w:val="0"/>
          <w:color w:val="auto"/>
        </w:rPr>
        <w:t>ingdom</w:t>
      </w:r>
      <w:r w:rsidR="005F21EB" w:rsidRPr="00EF63C0">
        <w:rPr>
          <w:rStyle w:val="TSExampleText"/>
          <w:i w:val="0"/>
          <w:color w:val="auto"/>
        </w:rPr>
        <w:t>, decommissioning is often carried out in a sequence of operations separated by one or more periods of time i.e. phased decommissioning</w:t>
      </w:r>
      <w:r w:rsidR="00BA70A4">
        <w:rPr>
          <w:rStyle w:val="TSExampleText"/>
          <w:i w:val="0"/>
          <w:color w:val="auto"/>
        </w:rPr>
        <w:t>.</w:t>
      </w:r>
      <w:r w:rsidR="005F21EB" w:rsidRPr="00EF63C0">
        <w:rPr>
          <w:rStyle w:val="TSExampleText"/>
          <w:i w:val="0"/>
          <w:color w:val="auto"/>
        </w:rPr>
        <w:t xml:space="preserve"> </w:t>
      </w:r>
      <w:r w:rsidR="00BA70A4">
        <w:rPr>
          <w:rStyle w:val="TSExampleText"/>
          <w:i w:val="0"/>
          <w:color w:val="auto"/>
        </w:rPr>
        <w:t>F</w:t>
      </w:r>
      <w:r w:rsidR="000B1930" w:rsidRPr="00EF63C0">
        <w:rPr>
          <w:rStyle w:val="TSExampleText"/>
          <w:i w:val="0"/>
          <w:color w:val="auto"/>
        </w:rPr>
        <w:t>or more information, see</w:t>
      </w:r>
      <w:r w:rsidR="00D21640">
        <w:rPr>
          <w:rStyle w:val="TSExampleText"/>
          <w:i w:val="0"/>
          <w:color w:val="auto"/>
        </w:rPr>
        <w:t>:</w:t>
      </w:r>
    </w:p>
    <w:p w14:paraId="6E304330" w14:textId="3DB65FA0" w:rsidR="00DF303A" w:rsidRPr="00EF63C0" w:rsidRDefault="005F21EB" w:rsidP="00EF63C0">
      <w:pPr>
        <w:pStyle w:val="TSNumberedParagraph1"/>
        <w:numPr>
          <w:ilvl w:val="0"/>
          <w:numId w:val="10"/>
        </w:numPr>
        <w:spacing w:after="120"/>
        <w:jc w:val="both"/>
      </w:pPr>
      <w:r w:rsidRPr="00EF63C0">
        <w:t>para</w:t>
      </w:r>
      <w:r w:rsidR="00DE0D56">
        <w:t>graph</w:t>
      </w:r>
      <w:r w:rsidRPr="00EF63C0">
        <w:t xml:space="preserve"> 5.12</w:t>
      </w:r>
      <w:r w:rsidR="006B1713" w:rsidRPr="00EF63C0">
        <w:t xml:space="preserve"> of</w:t>
      </w:r>
      <w:r w:rsidR="00E81216" w:rsidRPr="00EF63C0">
        <w:t xml:space="preserve"> IAEA Safety Standard SSG-4</w:t>
      </w:r>
      <w:r w:rsidR="008F6B9E" w:rsidRPr="00EF63C0">
        <w:t>7</w:t>
      </w:r>
      <w:r w:rsidR="000B1930">
        <w:t xml:space="preserve"> ‘</w:t>
      </w:r>
      <w:r w:rsidR="00D21640">
        <w:rPr>
          <w:rStyle w:val="TSExampleText"/>
          <w:i w:val="0"/>
          <w:color w:val="auto"/>
        </w:rPr>
        <w:t xml:space="preserve">Decommissioning of Nuclear Power Plants, Research Reactors and other Nuclear Fuel Cycle Facilities’ </w:t>
      </w:r>
      <w:r w:rsidR="006B5736" w:rsidRPr="00EF63C0">
        <w:t>[</w:t>
      </w:r>
      <w:r w:rsidR="000F3F11" w:rsidRPr="00EF63C0">
        <w:t>3</w:t>
      </w:r>
      <w:r w:rsidR="006B5736" w:rsidRPr="00EF63C0">
        <w:t>]</w:t>
      </w:r>
      <w:r w:rsidRPr="00EF63C0">
        <w:t xml:space="preserve">. </w:t>
      </w:r>
    </w:p>
    <w:p w14:paraId="6ADCA385" w14:textId="22FCD1B2" w:rsidR="00BE055A" w:rsidRDefault="004F5127" w:rsidP="004F5127">
      <w:pPr>
        <w:pStyle w:val="TSNumberedParagraph1"/>
        <w:numPr>
          <w:ilvl w:val="0"/>
          <w:numId w:val="12"/>
        </w:numPr>
        <w:spacing w:before="220"/>
        <w:rPr>
          <w:rStyle w:val="TSExampleText"/>
          <w:i w:val="0"/>
          <w:color w:val="auto"/>
        </w:rPr>
      </w:pPr>
      <w:r>
        <w:rPr>
          <w:rStyle w:val="TSExampleText"/>
          <w:i w:val="0"/>
          <w:color w:val="auto"/>
        </w:rPr>
        <w:t xml:space="preserve">A </w:t>
      </w:r>
      <w:r w:rsidR="005F21EB">
        <w:rPr>
          <w:rStyle w:val="TSExampleText"/>
          <w:i w:val="0"/>
          <w:color w:val="auto"/>
        </w:rPr>
        <w:t>site can employ different strategies for individual</w:t>
      </w:r>
      <w:r w:rsidR="001A4E8E">
        <w:rPr>
          <w:rStyle w:val="TSExampleText"/>
          <w:i w:val="0"/>
          <w:color w:val="auto"/>
        </w:rPr>
        <w:t xml:space="preserve"> civil engineering</w:t>
      </w:r>
      <w:r w:rsidR="005F21EB">
        <w:rPr>
          <w:rStyle w:val="TSExampleText"/>
          <w:i w:val="0"/>
          <w:color w:val="auto"/>
        </w:rPr>
        <w:t xml:space="preserve"> </w:t>
      </w:r>
      <w:r w:rsidR="00DF303A">
        <w:t>SSC</w:t>
      </w:r>
      <w:r w:rsidR="001A4E8E">
        <w:t>s</w:t>
      </w:r>
      <w:r w:rsidR="005F21EB">
        <w:rPr>
          <w:rStyle w:val="TSExampleText"/>
          <w:i w:val="0"/>
          <w:color w:val="auto"/>
        </w:rPr>
        <w:t xml:space="preserve">, with some structures that can be decommissioned and dismantled without delay, </w:t>
      </w:r>
      <w:r w:rsidR="00E3325A">
        <w:rPr>
          <w:rStyle w:val="TSExampleText"/>
          <w:i w:val="0"/>
          <w:color w:val="auto"/>
        </w:rPr>
        <w:t>some</w:t>
      </w:r>
      <w:r w:rsidR="005F21EB">
        <w:rPr>
          <w:rStyle w:val="TSExampleText"/>
          <w:i w:val="0"/>
          <w:color w:val="auto"/>
        </w:rPr>
        <w:t xml:space="preserve"> that need to remain in place as a ‘safe store’</w:t>
      </w:r>
      <w:r w:rsidR="00554F0C">
        <w:rPr>
          <w:rStyle w:val="TSExampleText"/>
          <w:i w:val="0"/>
          <w:color w:val="auto"/>
        </w:rPr>
        <w:t xml:space="preserve"> for</w:t>
      </w:r>
      <w:r w:rsidR="00DF303A">
        <w:rPr>
          <w:rStyle w:val="TSExampleText"/>
          <w:i w:val="0"/>
          <w:color w:val="auto"/>
        </w:rPr>
        <w:t xml:space="preserve"> the Care and Maintenance Phase</w:t>
      </w:r>
      <w:r w:rsidR="005F21EB">
        <w:rPr>
          <w:rStyle w:val="TSExampleText"/>
          <w:i w:val="0"/>
          <w:color w:val="auto"/>
        </w:rPr>
        <w:t>.</w:t>
      </w:r>
      <w:r w:rsidR="00101203">
        <w:rPr>
          <w:rStyle w:val="TSExampleText"/>
          <w:i w:val="0"/>
          <w:color w:val="auto"/>
        </w:rPr>
        <w:t xml:space="preserve"> The Inspector may </w:t>
      </w:r>
      <w:r w:rsidR="00554F0C">
        <w:rPr>
          <w:rStyle w:val="TSExampleText"/>
          <w:i w:val="0"/>
          <w:color w:val="auto"/>
        </w:rPr>
        <w:t xml:space="preserve">wish to </w:t>
      </w:r>
      <w:r w:rsidR="00101203">
        <w:rPr>
          <w:rStyle w:val="TSExampleText"/>
          <w:i w:val="0"/>
          <w:color w:val="auto"/>
        </w:rPr>
        <w:t>seek assurance in the adequacy of decision</w:t>
      </w:r>
      <w:r w:rsidR="000B1930">
        <w:rPr>
          <w:rStyle w:val="TSExampleText"/>
          <w:i w:val="0"/>
          <w:color w:val="auto"/>
        </w:rPr>
        <w:t>-</w:t>
      </w:r>
      <w:r w:rsidR="00101203">
        <w:rPr>
          <w:rStyle w:val="TSExampleText"/>
          <w:i w:val="0"/>
          <w:color w:val="auto"/>
        </w:rPr>
        <w:t xml:space="preserve">making processes associated with </w:t>
      </w:r>
      <w:r w:rsidR="005F21EB">
        <w:rPr>
          <w:rStyle w:val="TSExampleText"/>
          <w:i w:val="0"/>
          <w:color w:val="auto"/>
        </w:rPr>
        <w:t>ALARP considerations</w:t>
      </w:r>
      <w:r w:rsidR="00101203">
        <w:rPr>
          <w:rStyle w:val="TSExampleText"/>
          <w:i w:val="0"/>
          <w:color w:val="auto"/>
        </w:rPr>
        <w:t>,</w:t>
      </w:r>
      <w:r w:rsidR="005F21EB">
        <w:rPr>
          <w:rStyle w:val="TSExampleText"/>
          <w:i w:val="0"/>
          <w:color w:val="auto"/>
        </w:rPr>
        <w:t xml:space="preserve"> when the </w:t>
      </w:r>
      <w:proofErr w:type="spellStart"/>
      <w:r w:rsidR="005F21EB">
        <w:rPr>
          <w:rStyle w:val="TSExampleText"/>
          <w:i w:val="0"/>
          <w:color w:val="auto"/>
        </w:rPr>
        <w:t>dutyholder</w:t>
      </w:r>
      <w:proofErr w:type="spellEnd"/>
      <w:r w:rsidR="005F21EB">
        <w:rPr>
          <w:rStyle w:val="TSExampleText"/>
          <w:i w:val="0"/>
          <w:color w:val="auto"/>
        </w:rPr>
        <w:t xml:space="preserve"> is choosing the decommissioning strategy of their</w:t>
      </w:r>
      <w:r w:rsidR="005F21EB" w:rsidRPr="005F21EB">
        <w:rPr>
          <w:rStyle w:val="TSExampleText"/>
          <w:i w:val="0"/>
          <w:color w:val="auto"/>
        </w:rPr>
        <w:t xml:space="preserve"> </w:t>
      </w:r>
      <w:r w:rsidR="005F21EB">
        <w:rPr>
          <w:rStyle w:val="TSExampleText"/>
          <w:i w:val="0"/>
          <w:color w:val="auto"/>
        </w:rPr>
        <w:t>civil engineering SSCs.</w:t>
      </w:r>
    </w:p>
    <w:p w14:paraId="2F9BC54C" w14:textId="77777777" w:rsidR="00842781" w:rsidRDefault="00842781">
      <w:pPr>
        <w:rPr>
          <w:rFonts w:ascii="Arial Bold" w:hAnsi="Arial Bold"/>
          <w:b/>
          <w:iCs/>
        </w:rPr>
      </w:pPr>
      <w:r>
        <w:rPr>
          <w:iCs/>
          <w:caps/>
        </w:rPr>
        <w:br w:type="page"/>
      </w:r>
    </w:p>
    <w:p w14:paraId="3EC27D14" w14:textId="5F6B39F8" w:rsidR="002627B2" w:rsidRPr="00A92F19" w:rsidRDefault="002627B2" w:rsidP="002627B2">
      <w:pPr>
        <w:pStyle w:val="TSHeadingNumbered1"/>
        <w:numPr>
          <w:ilvl w:val="1"/>
          <w:numId w:val="11"/>
        </w:numPr>
        <w:tabs>
          <w:tab w:val="clear" w:pos="-31680"/>
        </w:tabs>
        <w:rPr>
          <w:iCs/>
          <w:caps w:val="0"/>
        </w:rPr>
      </w:pPr>
      <w:bookmarkStart w:id="43" w:name="_Toc57895879"/>
      <w:r w:rsidRPr="00A92F19">
        <w:rPr>
          <w:iCs/>
          <w:caps w:val="0"/>
        </w:rPr>
        <w:lastRenderedPageBreak/>
        <w:t>Decommissioning Plans</w:t>
      </w:r>
      <w:bookmarkEnd w:id="43"/>
    </w:p>
    <w:p w14:paraId="46453FDB" w14:textId="4D4EA1C5" w:rsidR="002627B2" w:rsidRPr="00A92F19" w:rsidRDefault="00E3325A" w:rsidP="00EA12F3">
      <w:pPr>
        <w:pStyle w:val="TSNumberedParagraph1"/>
        <w:numPr>
          <w:ilvl w:val="0"/>
          <w:numId w:val="12"/>
        </w:numPr>
        <w:spacing w:before="220"/>
        <w:rPr>
          <w:rStyle w:val="TSExampleText"/>
          <w:i w:val="0"/>
          <w:color w:val="auto"/>
        </w:rPr>
      </w:pPr>
      <w:r w:rsidRPr="00A92F19">
        <w:rPr>
          <w:rStyle w:val="TSExampleText"/>
          <w:i w:val="0"/>
          <w:color w:val="auto"/>
        </w:rPr>
        <w:t xml:space="preserve">SAP </w:t>
      </w:r>
      <w:r w:rsidR="002627B2" w:rsidRPr="00A92F19">
        <w:rPr>
          <w:rStyle w:val="TSExampleText"/>
          <w:i w:val="0"/>
          <w:color w:val="auto"/>
        </w:rPr>
        <w:t>DC.</w:t>
      </w:r>
      <w:r w:rsidR="00BE055A" w:rsidRPr="00A92F19">
        <w:rPr>
          <w:rStyle w:val="TSExampleText"/>
          <w:i w:val="0"/>
          <w:color w:val="auto"/>
        </w:rPr>
        <w:t>4</w:t>
      </w:r>
      <w:r w:rsidR="002627B2" w:rsidRPr="00A92F19">
        <w:rPr>
          <w:rStyle w:val="TSExampleText"/>
          <w:i w:val="0"/>
          <w:color w:val="auto"/>
        </w:rPr>
        <w:t xml:space="preserve"> </w:t>
      </w:r>
      <w:r w:rsidR="00464BA9" w:rsidRPr="00A92F19">
        <w:rPr>
          <w:rStyle w:val="TSExampleText"/>
          <w:i w:val="0"/>
          <w:color w:val="auto"/>
        </w:rPr>
        <w:t>establishes</w:t>
      </w:r>
      <w:r w:rsidR="002627B2" w:rsidRPr="00A92F19">
        <w:rPr>
          <w:rStyle w:val="TSExampleText"/>
          <w:i w:val="0"/>
          <w:color w:val="auto"/>
        </w:rPr>
        <w:t xml:space="preserve"> the </w:t>
      </w:r>
      <w:r w:rsidR="00BE055A" w:rsidRPr="00A92F19">
        <w:rPr>
          <w:rStyle w:val="TSExampleText"/>
          <w:i w:val="0"/>
          <w:color w:val="auto"/>
        </w:rPr>
        <w:t>expectation that there will be a</w:t>
      </w:r>
      <w:r w:rsidR="002627B2" w:rsidRPr="00A92F19">
        <w:rPr>
          <w:rStyle w:val="TSExampleText"/>
          <w:i w:val="0"/>
          <w:color w:val="auto"/>
        </w:rPr>
        <w:t xml:space="preserve"> decommissioning </w:t>
      </w:r>
      <w:r w:rsidR="00BE055A" w:rsidRPr="00A92F19">
        <w:rPr>
          <w:rStyle w:val="TSExampleText"/>
          <w:i w:val="0"/>
          <w:color w:val="auto"/>
        </w:rPr>
        <w:t>plan</w:t>
      </w:r>
      <w:r w:rsidR="002627B2" w:rsidRPr="00A92F19">
        <w:rPr>
          <w:rStyle w:val="TSExampleText"/>
          <w:i w:val="0"/>
          <w:color w:val="auto"/>
        </w:rPr>
        <w:t>,</w:t>
      </w:r>
      <w:r w:rsidR="00BE055A" w:rsidRPr="00A92F19">
        <w:rPr>
          <w:rStyle w:val="TSExampleText"/>
          <w:i w:val="0"/>
          <w:color w:val="auto"/>
        </w:rPr>
        <w:t xml:space="preserve"> and </w:t>
      </w:r>
      <w:r w:rsidR="006A2DC5">
        <w:rPr>
          <w:rStyle w:val="TSExampleText"/>
          <w:i w:val="0"/>
          <w:color w:val="auto"/>
        </w:rPr>
        <w:t xml:space="preserve">SAP </w:t>
      </w:r>
      <w:r w:rsidR="00BE055A" w:rsidRPr="00A92F19">
        <w:rPr>
          <w:rStyle w:val="TSExampleText"/>
          <w:i w:val="0"/>
          <w:color w:val="auto"/>
        </w:rPr>
        <w:t xml:space="preserve">DC.5 </w:t>
      </w:r>
      <w:r w:rsidR="00464BA9" w:rsidRPr="00A92F19">
        <w:rPr>
          <w:rStyle w:val="TSExampleText"/>
          <w:i w:val="0"/>
          <w:color w:val="auto"/>
        </w:rPr>
        <w:t>establishes</w:t>
      </w:r>
      <w:r w:rsidR="00BE055A" w:rsidRPr="00A92F19">
        <w:rPr>
          <w:rStyle w:val="TSExampleText"/>
          <w:i w:val="0"/>
          <w:color w:val="auto"/>
        </w:rPr>
        <w:t xml:space="preserve"> the expectation that</w:t>
      </w:r>
      <w:r w:rsidR="002627B2" w:rsidRPr="00A92F19">
        <w:rPr>
          <w:rStyle w:val="TSExampleText"/>
          <w:i w:val="0"/>
          <w:color w:val="auto"/>
        </w:rPr>
        <w:t xml:space="preserve"> the site is passively safe before entering the care and maintenance phase. </w:t>
      </w:r>
    </w:p>
    <w:p w14:paraId="395DD1CD" w14:textId="52B0ED27" w:rsidR="00EA12F3" w:rsidRDefault="00EA12F3" w:rsidP="00EA12F3">
      <w:pPr>
        <w:pStyle w:val="TSNumberedParagraph1"/>
        <w:numPr>
          <w:ilvl w:val="0"/>
          <w:numId w:val="12"/>
        </w:numPr>
        <w:spacing w:before="220"/>
        <w:rPr>
          <w:rStyle w:val="TSExampleText"/>
          <w:i w:val="0"/>
          <w:color w:val="auto"/>
        </w:rPr>
      </w:pPr>
      <w:r w:rsidRPr="00A92F19">
        <w:rPr>
          <w:rStyle w:val="TSExampleText"/>
          <w:i w:val="0"/>
          <w:color w:val="auto"/>
        </w:rPr>
        <w:t>WENRA Decommissioning</w:t>
      </w:r>
      <w:r>
        <w:rPr>
          <w:rStyle w:val="TSExampleText"/>
          <w:i w:val="0"/>
          <w:color w:val="auto"/>
        </w:rPr>
        <w:t xml:space="preserve"> Safety Levels defines two types of decommissioning plans:</w:t>
      </w:r>
    </w:p>
    <w:p w14:paraId="6886C8AF" w14:textId="316E2C50" w:rsidR="00EA12F3" w:rsidRDefault="00EA12F3" w:rsidP="00EA12F3">
      <w:pPr>
        <w:pStyle w:val="TSNumberedParagraph1"/>
        <w:spacing w:before="220"/>
        <w:ind w:left="720"/>
        <w:rPr>
          <w:rStyle w:val="TSExampleText"/>
          <w:i w:val="0"/>
          <w:color w:val="auto"/>
        </w:rPr>
      </w:pPr>
      <w:r w:rsidRPr="00EA12F3">
        <w:rPr>
          <w:rStyle w:val="TSExampleText"/>
          <w:b/>
          <w:i w:val="0"/>
          <w:color w:val="auto"/>
        </w:rPr>
        <w:t>Initial Decommissioning Plan</w:t>
      </w:r>
      <w:r w:rsidR="00464BA9">
        <w:rPr>
          <w:rStyle w:val="TSExampleText"/>
          <w:b/>
          <w:i w:val="0"/>
          <w:color w:val="auto"/>
        </w:rPr>
        <w:t>,</w:t>
      </w:r>
      <w:r w:rsidRPr="00EA12F3">
        <w:rPr>
          <w:rStyle w:val="TSExampleText"/>
          <w:i w:val="0"/>
          <w:color w:val="auto"/>
        </w:rPr>
        <w:t xml:space="preserve"> based on the </w:t>
      </w:r>
      <w:r w:rsidR="00464BA9">
        <w:rPr>
          <w:rStyle w:val="TSExampleText"/>
          <w:i w:val="0"/>
          <w:color w:val="auto"/>
        </w:rPr>
        <w:t xml:space="preserve">design / construction / operational </w:t>
      </w:r>
      <w:r w:rsidRPr="00EA12F3">
        <w:rPr>
          <w:rStyle w:val="TSExampleText"/>
          <w:i w:val="0"/>
          <w:color w:val="auto"/>
        </w:rPr>
        <w:t>decommissioning strategy</w:t>
      </w:r>
      <w:r w:rsidR="00464BA9">
        <w:rPr>
          <w:rStyle w:val="TSExampleText"/>
          <w:i w:val="0"/>
          <w:color w:val="auto"/>
        </w:rPr>
        <w:t xml:space="preserve">. </w:t>
      </w:r>
      <w:r w:rsidRPr="00EA12F3">
        <w:rPr>
          <w:rStyle w:val="TSExampleText"/>
          <w:i w:val="0"/>
          <w:color w:val="auto"/>
        </w:rPr>
        <w:t xml:space="preserve">This document is general </w:t>
      </w:r>
      <w:r w:rsidR="00464BA9">
        <w:rPr>
          <w:rStyle w:val="TSExampleText"/>
          <w:i w:val="0"/>
          <w:color w:val="auto"/>
        </w:rPr>
        <w:t>in</w:t>
      </w:r>
      <w:r w:rsidR="00A92F19">
        <w:rPr>
          <w:rStyle w:val="TSExampleText"/>
          <w:i w:val="0"/>
          <w:color w:val="auto"/>
        </w:rPr>
        <w:t xml:space="preserve"> </w:t>
      </w:r>
      <w:r w:rsidRPr="00EA12F3">
        <w:rPr>
          <w:rStyle w:val="TSExampleText"/>
          <w:i w:val="0"/>
          <w:color w:val="auto"/>
        </w:rPr>
        <w:t>nature during the design and operational phase and will be updated during the operational ph</w:t>
      </w:r>
      <w:r w:rsidR="002627B2">
        <w:rPr>
          <w:rStyle w:val="TSExampleText"/>
          <w:i w:val="0"/>
          <w:color w:val="auto"/>
        </w:rPr>
        <w:t xml:space="preserve">ase to the level as appropriate </w:t>
      </w:r>
      <w:r w:rsidR="002C497A">
        <w:rPr>
          <w:rStyle w:val="TSExampleText"/>
          <w:i w:val="0"/>
          <w:color w:val="auto"/>
        </w:rPr>
        <w:t>(</w:t>
      </w:r>
      <w:r w:rsidR="002627B2">
        <w:rPr>
          <w:rStyle w:val="TSExampleText"/>
          <w:i w:val="0"/>
          <w:color w:val="auto"/>
        </w:rPr>
        <w:t xml:space="preserve">see WENRA Safety </w:t>
      </w:r>
      <w:r w:rsidR="00716D40">
        <w:rPr>
          <w:rStyle w:val="TSExampleText"/>
          <w:i w:val="0"/>
          <w:color w:val="auto"/>
        </w:rPr>
        <w:t xml:space="preserve">Reference </w:t>
      </w:r>
      <w:r w:rsidR="002627B2">
        <w:rPr>
          <w:rStyle w:val="TSExampleText"/>
          <w:i w:val="0"/>
          <w:color w:val="auto"/>
        </w:rPr>
        <w:t>Levels DE-19, DE-20 and DE-21</w:t>
      </w:r>
      <w:r w:rsidR="002C497A">
        <w:rPr>
          <w:rStyle w:val="TSExampleText"/>
          <w:i w:val="0"/>
          <w:color w:val="auto"/>
        </w:rPr>
        <w:t>)</w:t>
      </w:r>
      <w:r w:rsidR="00A92F19">
        <w:rPr>
          <w:rStyle w:val="TSExampleText"/>
          <w:i w:val="0"/>
          <w:color w:val="auto"/>
        </w:rPr>
        <w:t>.</w:t>
      </w:r>
      <w:r w:rsidR="00A92F19" w:rsidRPr="00A92F19">
        <w:rPr>
          <w:rStyle w:val="TSExampleText"/>
          <w:i w:val="0"/>
          <w:color w:val="auto"/>
        </w:rPr>
        <w:t xml:space="preserve"> </w:t>
      </w:r>
      <w:r w:rsidR="00A92F19">
        <w:rPr>
          <w:rStyle w:val="TSExampleText"/>
          <w:i w:val="0"/>
          <w:color w:val="auto"/>
        </w:rPr>
        <w:t>This plan should:</w:t>
      </w:r>
    </w:p>
    <w:p w14:paraId="45F05CCB" w14:textId="31AFB59C" w:rsidR="00A92F19" w:rsidRPr="00A92F19" w:rsidRDefault="00A92F19" w:rsidP="00A92F19">
      <w:pPr>
        <w:pStyle w:val="TSNumberedParagraph1"/>
        <w:numPr>
          <w:ilvl w:val="0"/>
          <w:numId w:val="10"/>
        </w:numPr>
        <w:spacing w:after="0"/>
        <w:jc w:val="both"/>
      </w:pPr>
      <w:r w:rsidRPr="00A92F19">
        <w:t>take i</w:t>
      </w:r>
      <w:r>
        <w:t>nto account major safety issues,</w:t>
      </w:r>
    </w:p>
    <w:p w14:paraId="680575EE" w14:textId="5C255CB7" w:rsidR="00A92F19" w:rsidRPr="00A92F19" w:rsidRDefault="00A92F19" w:rsidP="00A92F19">
      <w:pPr>
        <w:pStyle w:val="TSNumberedParagraph1"/>
        <w:numPr>
          <w:ilvl w:val="0"/>
          <w:numId w:val="10"/>
        </w:numPr>
        <w:spacing w:after="0"/>
        <w:jc w:val="both"/>
      </w:pPr>
      <w:r w:rsidRPr="00A92F19">
        <w:t>support the fact that decommissioning can be safely conducted using proven techniques</w:t>
      </w:r>
      <w:r>
        <w:t xml:space="preserve"> or ones being developed,</w:t>
      </w:r>
    </w:p>
    <w:p w14:paraId="348A10EA" w14:textId="2E8942EF" w:rsidR="00A92F19" w:rsidRPr="00A92F19" w:rsidRDefault="00A92F19" w:rsidP="00A92F19">
      <w:pPr>
        <w:pStyle w:val="TSNumberedParagraph1"/>
        <w:numPr>
          <w:ilvl w:val="0"/>
          <w:numId w:val="10"/>
        </w:numPr>
        <w:spacing w:after="0"/>
        <w:jc w:val="both"/>
      </w:pPr>
      <w:r w:rsidRPr="00A92F19">
        <w:t>include a generic study showing the</w:t>
      </w:r>
      <w:r>
        <w:t xml:space="preserve"> feasibility of decommissioning,</w:t>
      </w:r>
    </w:p>
    <w:p w14:paraId="3631AC62" w14:textId="046AD30C" w:rsidR="00A92F19" w:rsidRPr="00A92F19" w:rsidRDefault="00A92F19" w:rsidP="00A92F19">
      <w:pPr>
        <w:pStyle w:val="TSNumberedParagraph1"/>
        <w:numPr>
          <w:ilvl w:val="0"/>
          <w:numId w:val="10"/>
        </w:numPr>
        <w:spacing w:after="0"/>
        <w:jc w:val="both"/>
      </w:pPr>
      <w:r w:rsidRPr="00A92F19">
        <w:t>include consideration of environmental aspects of decommissioning, such as</w:t>
      </w:r>
      <w:r>
        <w:t xml:space="preserve"> </w:t>
      </w:r>
      <w:r w:rsidRPr="00A92F19">
        <w:t xml:space="preserve">management of </w:t>
      </w:r>
      <w:r>
        <w:t>waste and radioactive effluents,</w:t>
      </w:r>
    </w:p>
    <w:p w14:paraId="0C2CC54D" w14:textId="0B19C998" w:rsidR="00A92F19" w:rsidRPr="00A92F19" w:rsidRDefault="00A92F19" w:rsidP="00A92F19">
      <w:pPr>
        <w:pStyle w:val="TSNumberedParagraph1"/>
        <w:numPr>
          <w:ilvl w:val="0"/>
          <w:numId w:val="10"/>
        </w:numPr>
        <w:spacing w:after="0"/>
        <w:jc w:val="both"/>
      </w:pPr>
      <w:r w:rsidRPr="00A92F19">
        <w:t>provide a basis to assess the costs of the decommissioning work and the means of</w:t>
      </w:r>
      <w:r>
        <w:t xml:space="preserve"> </w:t>
      </w:r>
      <w:r w:rsidRPr="00A92F19">
        <w:t>financing it.</w:t>
      </w:r>
    </w:p>
    <w:p w14:paraId="4CCCC9E7" w14:textId="4E5241AB" w:rsidR="00EA12F3" w:rsidRDefault="00EA12F3" w:rsidP="00EA12F3">
      <w:pPr>
        <w:pStyle w:val="TSNumberedParagraph1"/>
        <w:spacing w:before="220"/>
        <w:ind w:left="720"/>
        <w:rPr>
          <w:rStyle w:val="TSExampleText"/>
          <w:i w:val="0"/>
          <w:color w:val="auto"/>
        </w:rPr>
      </w:pPr>
      <w:r w:rsidRPr="00EA12F3">
        <w:rPr>
          <w:rStyle w:val="TSExampleText"/>
          <w:b/>
          <w:i w:val="0"/>
          <w:color w:val="auto"/>
        </w:rPr>
        <w:t>Final Decommissioning Plan</w:t>
      </w:r>
      <w:r w:rsidRPr="00EA12F3">
        <w:rPr>
          <w:rStyle w:val="TSExampleText"/>
          <w:i w:val="0"/>
          <w:color w:val="auto"/>
        </w:rPr>
        <w:t xml:space="preserve"> shall be prepared before the beginning of the decommissioning phase together with the safety case. This detailed document will be updated as required during the decommissioning stages</w:t>
      </w:r>
      <w:r w:rsidR="002C497A">
        <w:rPr>
          <w:rStyle w:val="TSExampleText"/>
          <w:i w:val="0"/>
          <w:color w:val="auto"/>
        </w:rPr>
        <w:t xml:space="preserve"> (</w:t>
      </w:r>
      <w:r w:rsidR="002627B2">
        <w:rPr>
          <w:rStyle w:val="TSExampleText"/>
          <w:i w:val="0"/>
          <w:color w:val="auto"/>
        </w:rPr>
        <w:t>see</w:t>
      </w:r>
      <w:r w:rsidR="00C31D5E">
        <w:rPr>
          <w:rStyle w:val="TSExampleText"/>
          <w:i w:val="0"/>
          <w:color w:val="auto"/>
        </w:rPr>
        <w:t xml:space="preserve"> also</w:t>
      </w:r>
      <w:r w:rsidR="002627B2">
        <w:rPr>
          <w:rStyle w:val="TSExampleText"/>
          <w:i w:val="0"/>
          <w:color w:val="auto"/>
        </w:rPr>
        <w:t xml:space="preserve"> WENRA Safety </w:t>
      </w:r>
      <w:r w:rsidR="00FD0CE0">
        <w:rPr>
          <w:rStyle w:val="TSExampleText"/>
          <w:i w:val="0"/>
          <w:color w:val="auto"/>
        </w:rPr>
        <w:t xml:space="preserve">Reference </w:t>
      </w:r>
      <w:r w:rsidR="002627B2">
        <w:rPr>
          <w:rStyle w:val="TSExampleText"/>
          <w:i w:val="0"/>
          <w:color w:val="auto"/>
        </w:rPr>
        <w:t>Levels DE-27, DE-28 and DE-29</w:t>
      </w:r>
      <w:r w:rsidR="002C497A">
        <w:rPr>
          <w:rStyle w:val="TSExampleText"/>
          <w:i w:val="0"/>
          <w:color w:val="auto"/>
        </w:rPr>
        <w:t>)</w:t>
      </w:r>
      <w:r w:rsidR="00A92F19">
        <w:rPr>
          <w:rStyle w:val="TSExampleText"/>
          <w:i w:val="0"/>
          <w:color w:val="auto"/>
        </w:rPr>
        <w:t>. This plan should:</w:t>
      </w:r>
    </w:p>
    <w:p w14:paraId="5DCC69CB" w14:textId="77777777" w:rsidR="00A92F19" w:rsidRPr="00034336" w:rsidRDefault="00A92F19" w:rsidP="00034336">
      <w:pPr>
        <w:pStyle w:val="TSNumberedParagraph1"/>
        <w:numPr>
          <w:ilvl w:val="0"/>
          <w:numId w:val="10"/>
        </w:numPr>
        <w:spacing w:after="0"/>
        <w:jc w:val="both"/>
        <w:rPr>
          <w:iCs/>
        </w:rPr>
      </w:pPr>
      <w:r w:rsidRPr="00034336">
        <w:rPr>
          <w:iCs/>
        </w:rPr>
        <w:t>be consistent with the decommissioning strategy proposed for the facility,</w:t>
      </w:r>
    </w:p>
    <w:p w14:paraId="06036977" w14:textId="2BCA3829" w:rsidR="00A92F19" w:rsidRPr="00034336" w:rsidRDefault="00A92F19" w:rsidP="00034336">
      <w:pPr>
        <w:pStyle w:val="TSNumberedParagraph1"/>
        <w:numPr>
          <w:ilvl w:val="0"/>
          <w:numId w:val="10"/>
        </w:numPr>
        <w:spacing w:after="0"/>
        <w:jc w:val="both"/>
        <w:rPr>
          <w:iCs/>
        </w:rPr>
      </w:pPr>
      <w:r w:rsidRPr="00034336">
        <w:rPr>
          <w:iCs/>
        </w:rPr>
        <w:t>be consistent with the safety</w:t>
      </w:r>
      <w:r w:rsidR="00034336">
        <w:rPr>
          <w:iCs/>
        </w:rPr>
        <w:t xml:space="preserve"> case for decommissioning (</w:t>
      </w:r>
      <w:r w:rsidRPr="00034336">
        <w:rPr>
          <w:iCs/>
        </w:rPr>
        <w:t>DE</w:t>
      </w:r>
      <w:r w:rsidR="008162EE">
        <w:rPr>
          <w:iCs/>
        </w:rPr>
        <w:t>-</w:t>
      </w:r>
      <w:r w:rsidRPr="00034336">
        <w:rPr>
          <w:iCs/>
        </w:rPr>
        <w:t>50),</w:t>
      </w:r>
    </w:p>
    <w:p w14:paraId="4FACCD7D" w14:textId="5666728B" w:rsidR="00A92F19" w:rsidRPr="00034336" w:rsidRDefault="00A92F19" w:rsidP="00034336">
      <w:pPr>
        <w:pStyle w:val="TSNumberedParagraph1"/>
        <w:numPr>
          <w:ilvl w:val="0"/>
          <w:numId w:val="10"/>
        </w:numPr>
        <w:spacing w:after="0"/>
        <w:jc w:val="both"/>
        <w:rPr>
          <w:iCs/>
        </w:rPr>
      </w:pPr>
      <w:r w:rsidRPr="00034336">
        <w:rPr>
          <w:iCs/>
        </w:rPr>
        <w:t>describe the decommissioning activities, including the timeframe and the end</w:t>
      </w:r>
      <w:r w:rsidR="00A342BA">
        <w:rPr>
          <w:iCs/>
        </w:rPr>
        <w:t>-</w:t>
      </w:r>
      <w:r w:rsidRPr="00034336">
        <w:rPr>
          <w:iCs/>
        </w:rPr>
        <w:t>state of the</w:t>
      </w:r>
      <w:r w:rsidR="00034336" w:rsidRPr="00034336">
        <w:rPr>
          <w:iCs/>
        </w:rPr>
        <w:t xml:space="preserve"> </w:t>
      </w:r>
      <w:r w:rsidRPr="00034336">
        <w:rPr>
          <w:iCs/>
        </w:rPr>
        <w:t>decommissioning project, and the content of the individual phases, if a phased approach</w:t>
      </w:r>
      <w:r w:rsidR="00034336" w:rsidRPr="00034336">
        <w:rPr>
          <w:iCs/>
        </w:rPr>
        <w:t xml:space="preserve"> </w:t>
      </w:r>
      <w:r w:rsidRPr="00034336">
        <w:rPr>
          <w:iCs/>
        </w:rPr>
        <w:t>is applied,</w:t>
      </w:r>
    </w:p>
    <w:p w14:paraId="3AC1DE47" w14:textId="43B690AB" w:rsidR="00A92F19" w:rsidRPr="00034336" w:rsidRDefault="00A92F19" w:rsidP="00034336">
      <w:pPr>
        <w:pStyle w:val="TSNumberedParagraph1"/>
        <w:numPr>
          <w:ilvl w:val="0"/>
          <w:numId w:val="10"/>
        </w:numPr>
        <w:spacing w:after="0"/>
        <w:jc w:val="both"/>
        <w:rPr>
          <w:iCs/>
        </w:rPr>
      </w:pPr>
      <w:r w:rsidRPr="00034336">
        <w:rPr>
          <w:iCs/>
        </w:rPr>
        <w:t>describe the facilities, systems and equipment needed to perform the decommissioning</w:t>
      </w:r>
      <w:r w:rsidR="00034336" w:rsidRPr="00034336">
        <w:rPr>
          <w:iCs/>
        </w:rPr>
        <w:t xml:space="preserve"> </w:t>
      </w:r>
      <w:r w:rsidRPr="00034336">
        <w:rPr>
          <w:iCs/>
        </w:rPr>
        <w:t>project,</w:t>
      </w:r>
    </w:p>
    <w:p w14:paraId="3A790E94" w14:textId="0E3F1145" w:rsidR="00A92F19" w:rsidRPr="00034336" w:rsidRDefault="00A92F19" w:rsidP="00034336">
      <w:pPr>
        <w:pStyle w:val="TSNumberedParagraph1"/>
        <w:numPr>
          <w:ilvl w:val="0"/>
          <w:numId w:val="10"/>
        </w:numPr>
        <w:spacing w:after="0"/>
        <w:jc w:val="both"/>
        <w:rPr>
          <w:iCs/>
        </w:rPr>
      </w:pPr>
      <w:r w:rsidRPr="00034336">
        <w:rPr>
          <w:iCs/>
        </w:rPr>
        <w:t>describe the organisational structure, skills and qualifications required for safe decommissioning,</w:t>
      </w:r>
    </w:p>
    <w:p w14:paraId="62D3E5CA" w14:textId="744C84E3" w:rsidR="00A92F19" w:rsidRPr="00034336" w:rsidRDefault="00A92F19" w:rsidP="00034336">
      <w:pPr>
        <w:pStyle w:val="TSNumberedParagraph1"/>
        <w:numPr>
          <w:ilvl w:val="0"/>
          <w:numId w:val="10"/>
        </w:numPr>
        <w:spacing w:after="0"/>
        <w:jc w:val="both"/>
        <w:rPr>
          <w:iCs/>
        </w:rPr>
      </w:pPr>
      <w:r w:rsidRPr="00034336">
        <w:rPr>
          <w:iCs/>
        </w:rPr>
        <w:t>describe the management of residual material and waste in accordance with the national</w:t>
      </w:r>
      <w:r w:rsidR="00034336" w:rsidRPr="00034336">
        <w:rPr>
          <w:iCs/>
        </w:rPr>
        <w:t xml:space="preserve"> waste strategy,</w:t>
      </w:r>
    </w:p>
    <w:p w14:paraId="6330FEBB" w14:textId="334528AC" w:rsidR="00A92F19" w:rsidRPr="00034336" w:rsidRDefault="00A92F19" w:rsidP="00034336">
      <w:pPr>
        <w:pStyle w:val="TSNumberedParagraph1"/>
        <w:numPr>
          <w:ilvl w:val="0"/>
          <w:numId w:val="10"/>
        </w:numPr>
        <w:spacing w:after="0"/>
        <w:jc w:val="both"/>
        <w:rPr>
          <w:iCs/>
        </w:rPr>
      </w:pPr>
      <w:r w:rsidRPr="00034336">
        <w:rPr>
          <w:iCs/>
        </w:rPr>
        <w:t>describe the program of the final radiation survey of the end</w:t>
      </w:r>
      <w:r w:rsidR="00A342BA">
        <w:rPr>
          <w:iCs/>
        </w:rPr>
        <w:t>-</w:t>
      </w:r>
      <w:r w:rsidRPr="00034336">
        <w:rPr>
          <w:iCs/>
        </w:rPr>
        <w:t>state of decommissioning.</w:t>
      </w:r>
    </w:p>
    <w:p w14:paraId="1042C430" w14:textId="0BF5F28B" w:rsidR="00E653B7" w:rsidRPr="00E653B7" w:rsidRDefault="00FA1D0A" w:rsidP="00E653B7">
      <w:pPr>
        <w:pStyle w:val="TSNumberedParagraph1"/>
        <w:numPr>
          <w:ilvl w:val="0"/>
          <w:numId w:val="12"/>
        </w:numPr>
        <w:spacing w:before="220"/>
        <w:rPr>
          <w:rStyle w:val="TSExampleText"/>
          <w:i w:val="0"/>
          <w:color w:val="auto"/>
        </w:rPr>
      </w:pPr>
      <w:r w:rsidRPr="00673341">
        <w:rPr>
          <w:rStyle w:val="TSExampleText"/>
          <w:i w:val="0"/>
          <w:color w:val="auto"/>
        </w:rPr>
        <w:t xml:space="preserve">Due to the advances in technology, health and safety legislation and the application of the ALARP principle to activities undertaken during decommissioning, there may be cases where the final decommissioning plan may differ from the information in the initial decommissioning plan. The final plan will be developed as site ceases operations, and advances in health and safety regulation and available technology may provide alternative options that were not feasible at the time of writing the initial decommissioning plan. </w:t>
      </w:r>
    </w:p>
    <w:p w14:paraId="39795FDF" w14:textId="521510D2" w:rsidR="00FA1D0A" w:rsidRDefault="00FA1D0A" w:rsidP="004F5127">
      <w:pPr>
        <w:pStyle w:val="TSNumberedParagraph1"/>
        <w:numPr>
          <w:ilvl w:val="0"/>
          <w:numId w:val="12"/>
        </w:numPr>
        <w:spacing w:before="220"/>
        <w:rPr>
          <w:rStyle w:val="TSExampleText"/>
          <w:i w:val="0"/>
          <w:color w:val="auto"/>
        </w:rPr>
      </w:pPr>
      <w:r>
        <w:rPr>
          <w:rStyle w:val="TSExampleText"/>
          <w:i w:val="0"/>
          <w:color w:val="auto"/>
        </w:rPr>
        <w:t xml:space="preserve">The Inspector </w:t>
      </w:r>
      <w:r w:rsidR="00F52770">
        <w:rPr>
          <w:rStyle w:val="TSExampleText"/>
          <w:i w:val="0"/>
          <w:color w:val="auto"/>
        </w:rPr>
        <w:t>may wish to</w:t>
      </w:r>
      <w:r>
        <w:rPr>
          <w:rStyle w:val="TSExampleText"/>
          <w:i w:val="0"/>
          <w:color w:val="auto"/>
        </w:rPr>
        <w:t xml:space="preserve"> </w:t>
      </w:r>
      <w:r w:rsidR="00507C0C">
        <w:rPr>
          <w:rStyle w:val="TSExampleText"/>
          <w:i w:val="0"/>
          <w:color w:val="auto"/>
        </w:rPr>
        <w:t>seek assurance that</w:t>
      </w:r>
      <w:r>
        <w:rPr>
          <w:rStyle w:val="TSExampleText"/>
          <w:i w:val="0"/>
          <w:color w:val="auto"/>
        </w:rPr>
        <w:t xml:space="preserve"> the initial decommissioning plan is possible with existing technologies. </w:t>
      </w:r>
      <w:r w:rsidR="00E8005C">
        <w:rPr>
          <w:rStyle w:val="TSExampleText"/>
          <w:i w:val="0"/>
          <w:color w:val="auto"/>
        </w:rPr>
        <w:t xml:space="preserve">The </w:t>
      </w:r>
      <w:r w:rsidR="002F395C">
        <w:rPr>
          <w:rStyle w:val="TSExampleText"/>
          <w:i w:val="0"/>
          <w:color w:val="auto"/>
        </w:rPr>
        <w:t xml:space="preserve">principles of assessment for decommissioning apply at all stages in the lifecycle of a nuclear facility and should be applied proportionately, in line with the requirements </w:t>
      </w:r>
      <w:r w:rsidR="001C0B46">
        <w:rPr>
          <w:rStyle w:val="TSExampleText"/>
          <w:i w:val="0"/>
          <w:color w:val="auto"/>
        </w:rPr>
        <w:t>of SAPs paragraph 826</w:t>
      </w:r>
      <w:r w:rsidR="002A7E3E">
        <w:rPr>
          <w:rStyle w:val="TSExampleText"/>
          <w:i w:val="0"/>
          <w:color w:val="auto"/>
        </w:rPr>
        <w:t xml:space="preserve"> (see also WENRA Safety Reference Level DE-24)</w:t>
      </w:r>
    </w:p>
    <w:p w14:paraId="7BB8CA95" w14:textId="2A12B08C" w:rsidR="00E653B7" w:rsidRDefault="00FA1D0A" w:rsidP="004F5127">
      <w:pPr>
        <w:pStyle w:val="TSNumberedParagraph1"/>
        <w:numPr>
          <w:ilvl w:val="0"/>
          <w:numId w:val="12"/>
        </w:numPr>
        <w:spacing w:before="220"/>
        <w:rPr>
          <w:rStyle w:val="TSExampleText"/>
          <w:i w:val="0"/>
          <w:color w:val="auto"/>
        </w:rPr>
      </w:pPr>
      <w:r>
        <w:rPr>
          <w:rStyle w:val="TSExampleText"/>
          <w:i w:val="0"/>
          <w:color w:val="auto"/>
        </w:rPr>
        <w:t xml:space="preserve">The Inspector </w:t>
      </w:r>
      <w:r w:rsidR="00F52770">
        <w:rPr>
          <w:rStyle w:val="TSExampleText"/>
          <w:i w:val="0"/>
          <w:color w:val="auto"/>
        </w:rPr>
        <w:t>may wish to</w:t>
      </w:r>
      <w:r>
        <w:rPr>
          <w:rStyle w:val="TSExampleText"/>
          <w:i w:val="0"/>
          <w:color w:val="auto"/>
        </w:rPr>
        <w:t xml:space="preserve"> </w:t>
      </w:r>
      <w:r w:rsidR="00507C0C">
        <w:rPr>
          <w:rStyle w:val="TSExampleText"/>
          <w:i w:val="0"/>
          <w:color w:val="auto"/>
        </w:rPr>
        <w:t>seek assurance that</w:t>
      </w:r>
      <w:r>
        <w:rPr>
          <w:rStyle w:val="TSExampleText"/>
          <w:i w:val="0"/>
          <w:color w:val="auto"/>
        </w:rPr>
        <w:t xml:space="preserve"> constructability of the final decommissioning plan</w:t>
      </w:r>
      <w:r w:rsidR="00507C0C">
        <w:rPr>
          <w:rStyle w:val="TSExampleText"/>
          <w:i w:val="0"/>
          <w:color w:val="auto"/>
        </w:rPr>
        <w:t xml:space="preserve"> is</w:t>
      </w:r>
      <w:r>
        <w:rPr>
          <w:rStyle w:val="TSExampleText"/>
          <w:i w:val="0"/>
          <w:color w:val="auto"/>
        </w:rPr>
        <w:t xml:space="preserve"> in line with </w:t>
      </w:r>
      <w:r w:rsidR="003B2460">
        <w:rPr>
          <w:rStyle w:val="TSExampleText"/>
          <w:i w:val="0"/>
          <w:color w:val="auto"/>
        </w:rPr>
        <w:t>Construction (Design and Management) Regulations (</w:t>
      </w:r>
      <w:r>
        <w:rPr>
          <w:rStyle w:val="TSExampleText"/>
          <w:i w:val="0"/>
          <w:color w:val="auto"/>
        </w:rPr>
        <w:t>CDM2015</w:t>
      </w:r>
      <w:r w:rsidR="003B2460">
        <w:rPr>
          <w:rStyle w:val="TSExampleText"/>
          <w:i w:val="0"/>
          <w:color w:val="auto"/>
        </w:rPr>
        <w:t>)</w:t>
      </w:r>
      <w:r>
        <w:rPr>
          <w:rStyle w:val="TSExampleText"/>
          <w:i w:val="0"/>
          <w:color w:val="auto"/>
        </w:rPr>
        <w:t xml:space="preserve"> considerations and other relevant health and safety </w:t>
      </w:r>
      <w:r>
        <w:rPr>
          <w:rStyle w:val="TSExampleText"/>
          <w:i w:val="0"/>
          <w:color w:val="auto"/>
        </w:rPr>
        <w:lastRenderedPageBreak/>
        <w:t>legislation, alongside consideration of the ALARP principle. A list of legislation and guidance that is common to activities</w:t>
      </w:r>
      <w:r w:rsidR="00673341">
        <w:rPr>
          <w:rStyle w:val="TSExampleText"/>
          <w:i w:val="0"/>
          <w:color w:val="auto"/>
        </w:rPr>
        <w:t xml:space="preserve"> post operation is included in S</w:t>
      </w:r>
      <w:r>
        <w:rPr>
          <w:rStyle w:val="TSExampleText"/>
          <w:i w:val="0"/>
          <w:color w:val="auto"/>
        </w:rPr>
        <w:t>ection 5.</w:t>
      </w:r>
      <w:r w:rsidR="001869F8">
        <w:rPr>
          <w:rStyle w:val="TSExampleText"/>
          <w:i w:val="0"/>
          <w:color w:val="auto"/>
        </w:rPr>
        <w:t>2 &amp; 5</w:t>
      </w:r>
      <w:r w:rsidR="00212D3B">
        <w:rPr>
          <w:rStyle w:val="TSExampleText"/>
          <w:i w:val="0"/>
          <w:color w:val="auto"/>
        </w:rPr>
        <w:t>.</w:t>
      </w:r>
      <w:r>
        <w:rPr>
          <w:rStyle w:val="TSExampleText"/>
          <w:i w:val="0"/>
          <w:color w:val="auto"/>
        </w:rPr>
        <w:t xml:space="preserve">3 of this document. </w:t>
      </w:r>
      <w:r w:rsidR="00212D3B">
        <w:rPr>
          <w:rStyle w:val="TSExampleText"/>
          <w:i w:val="0"/>
          <w:color w:val="auto"/>
        </w:rPr>
        <w:t>The Inspector is reminded of the interface with ONR conventional health and safety colleagues when considering CDM2015 or other conventional health and safety legislation.</w:t>
      </w:r>
    </w:p>
    <w:p w14:paraId="73EA8940" w14:textId="23926C1B" w:rsidR="00E653B7" w:rsidRDefault="00E653B7" w:rsidP="004F5127">
      <w:pPr>
        <w:pStyle w:val="TSNumberedParagraph1"/>
        <w:numPr>
          <w:ilvl w:val="0"/>
          <w:numId w:val="12"/>
        </w:numPr>
        <w:spacing w:before="220"/>
        <w:rPr>
          <w:rStyle w:val="TSExampleText"/>
          <w:i w:val="0"/>
          <w:color w:val="auto"/>
        </w:rPr>
      </w:pPr>
      <w:r>
        <w:rPr>
          <w:rStyle w:val="TSExampleText"/>
          <w:i w:val="0"/>
          <w:color w:val="auto"/>
        </w:rPr>
        <w:t>The Inspector may wish to seek assurance that the</w:t>
      </w:r>
      <w:r w:rsidR="00E55B74">
        <w:rPr>
          <w:rStyle w:val="TSExampleText"/>
          <w:i w:val="0"/>
          <w:color w:val="auto"/>
        </w:rPr>
        <w:t xml:space="preserve">re is a </w:t>
      </w:r>
      <w:r>
        <w:rPr>
          <w:rStyle w:val="TSExampleText"/>
          <w:i w:val="0"/>
          <w:color w:val="auto"/>
        </w:rPr>
        <w:t xml:space="preserve">Decommissioning Plan </w:t>
      </w:r>
      <w:r w:rsidR="00E55B74">
        <w:rPr>
          <w:rStyle w:val="TSExampleText"/>
          <w:i w:val="0"/>
          <w:color w:val="auto"/>
        </w:rPr>
        <w:t xml:space="preserve">in place for each facility which </w:t>
      </w:r>
      <w:r>
        <w:rPr>
          <w:rStyle w:val="TSExampleText"/>
          <w:i w:val="0"/>
          <w:color w:val="auto"/>
        </w:rPr>
        <w:t xml:space="preserve">identifies the </w:t>
      </w:r>
      <w:r w:rsidR="00CB266C">
        <w:rPr>
          <w:rStyle w:val="TSExampleText"/>
          <w:i w:val="0"/>
          <w:color w:val="auto"/>
        </w:rPr>
        <w:t xml:space="preserve">plan of how the facility will be safely decommissioned in line with the expectations of SAP DC.4 (see also </w:t>
      </w:r>
      <w:r>
        <w:rPr>
          <w:rStyle w:val="TSExampleText"/>
          <w:i w:val="0"/>
          <w:color w:val="auto"/>
        </w:rPr>
        <w:t xml:space="preserve"> </w:t>
      </w:r>
      <w:r w:rsidR="00CB266C">
        <w:rPr>
          <w:rStyle w:val="TSExampleText"/>
          <w:i w:val="0"/>
          <w:color w:val="auto"/>
        </w:rPr>
        <w:t>WENRA Safety Reference Level DE-25</w:t>
      </w:r>
      <w:r w:rsidR="00E4769B">
        <w:rPr>
          <w:rStyle w:val="TSExampleText"/>
          <w:i w:val="0"/>
          <w:color w:val="auto"/>
        </w:rPr>
        <w:t>).</w:t>
      </w:r>
      <w:r w:rsidR="00A310CB">
        <w:rPr>
          <w:rStyle w:val="TSExampleText"/>
          <w:i w:val="0"/>
          <w:color w:val="auto"/>
        </w:rPr>
        <w:t xml:space="preserve"> The Inspector may wish to review such plans and consider whether the civil engineering SSC condition has been assessed </w:t>
      </w:r>
      <w:r w:rsidR="00EA6174">
        <w:rPr>
          <w:rStyle w:val="TSExampleText"/>
          <w:i w:val="0"/>
          <w:color w:val="auto"/>
        </w:rPr>
        <w:t xml:space="preserve">in order for it </w:t>
      </w:r>
      <w:r w:rsidR="00A310CB">
        <w:rPr>
          <w:rStyle w:val="TSExampleText"/>
          <w:i w:val="0"/>
          <w:color w:val="auto"/>
        </w:rPr>
        <w:t xml:space="preserve">to continue to </w:t>
      </w:r>
      <w:r w:rsidR="00EA6174">
        <w:rPr>
          <w:rStyle w:val="TSExampleText"/>
          <w:i w:val="0"/>
          <w:color w:val="auto"/>
        </w:rPr>
        <w:t>provide the necessary SFR for continued, changed or limited operations</w:t>
      </w:r>
      <w:r w:rsidR="00A310CB">
        <w:rPr>
          <w:rStyle w:val="TSExampleText"/>
          <w:i w:val="0"/>
          <w:color w:val="auto"/>
        </w:rPr>
        <w:t xml:space="preserve"> </w:t>
      </w:r>
      <w:r w:rsidR="00EA6174">
        <w:rPr>
          <w:rStyle w:val="TSExampleText"/>
          <w:i w:val="0"/>
          <w:color w:val="auto"/>
        </w:rPr>
        <w:t>within the structure.</w:t>
      </w:r>
    </w:p>
    <w:p w14:paraId="2B6CD06C" w14:textId="77777777" w:rsidR="004D4664" w:rsidRPr="00D9314A" w:rsidRDefault="004D4664" w:rsidP="004D4664">
      <w:pPr>
        <w:pStyle w:val="TSHeadingNumbered1"/>
        <w:numPr>
          <w:ilvl w:val="1"/>
          <w:numId w:val="11"/>
        </w:numPr>
        <w:tabs>
          <w:tab w:val="clear" w:pos="-31680"/>
        </w:tabs>
        <w:spacing w:before="240"/>
        <w:rPr>
          <w:caps w:val="0"/>
        </w:rPr>
      </w:pPr>
      <w:bookmarkStart w:id="44" w:name="_Toc57895880"/>
      <w:r w:rsidRPr="00D9314A">
        <w:rPr>
          <w:caps w:val="0"/>
        </w:rPr>
        <w:t>Design</w:t>
      </w:r>
      <w:r>
        <w:rPr>
          <w:caps w:val="0"/>
        </w:rPr>
        <w:t xml:space="preserve"> Authority</w:t>
      </w:r>
      <w:bookmarkEnd w:id="44"/>
    </w:p>
    <w:p w14:paraId="14285309" w14:textId="6B093760" w:rsidR="00124EE9" w:rsidRPr="008162EE" w:rsidRDefault="00124EE9" w:rsidP="00124EE9">
      <w:pPr>
        <w:pStyle w:val="TSNumberedParagraph1"/>
        <w:numPr>
          <w:ilvl w:val="0"/>
          <w:numId w:val="12"/>
        </w:numPr>
        <w:spacing w:before="220"/>
      </w:pPr>
      <w:r w:rsidRPr="008162EE">
        <w:t xml:space="preserve">WENRA </w:t>
      </w:r>
      <w:r w:rsidR="008F6B9E">
        <w:t>S</w:t>
      </w:r>
      <w:r w:rsidRPr="008162EE">
        <w:t xml:space="preserve">afety </w:t>
      </w:r>
      <w:r w:rsidR="008F6B9E">
        <w:t>R</w:t>
      </w:r>
      <w:r w:rsidRPr="008162EE">
        <w:t xml:space="preserve">eference </w:t>
      </w:r>
      <w:r w:rsidR="008F6B9E">
        <w:t>L</w:t>
      </w:r>
      <w:r w:rsidRPr="008162EE">
        <w:t xml:space="preserve">evel DE-03 states the expectation that the </w:t>
      </w:r>
      <w:proofErr w:type="spellStart"/>
      <w:r w:rsidRPr="008162EE">
        <w:t>dutyholder</w:t>
      </w:r>
      <w:proofErr w:type="spellEnd"/>
      <w:r w:rsidRPr="008162EE">
        <w:t xml:space="preserve"> maintains responsib</w:t>
      </w:r>
      <w:r w:rsidR="00002129">
        <w:t>ility</w:t>
      </w:r>
      <w:r w:rsidRPr="008162EE">
        <w:t xml:space="preserve"> for safet</w:t>
      </w:r>
      <w:r w:rsidR="008162EE" w:rsidRPr="008162EE">
        <w:t>y, which sits alongside the SAP</w:t>
      </w:r>
      <w:r w:rsidRPr="008162EE">
        <w:t xml:space="preserve"> expectation SC.8. DE-03 also states the </w:t>
      </w:r>
      <w:proofErr w:type="spellStart"/>
      <w:r w:rsidRPr="008162EE">
        <w:t>dutyholder</w:t>
      </w:r>
      <w:proofErr w:type="spellEnd"/>
      <w:r w:rsidRPr="008162EE">
        <w:t xml:space="preserve"> can delegate tasks to contractors but must ensure the work is controlled appropriately and conducted safely. The Design Authority has </w:t>
      </w:r>
      <w:r w:rsidR="007B4550">
        <w:t xml:space="preserve">a </w:t>
      </w:r>
      <w:r w:rsidRPr="008162EE">
        <w:t xml:space="preserve">particular Intelligent Customer function when </w:t>
      </w:r>
      <w:proofErr w:type="spellStart"/>
      <w:r w:rsidR="007B4550">
        <w:t>dutyholders</w:t>
      </w:r>
      <w:proofErr w:type="spellEnd"/>
      <w:r w:rsidR="007B4550">
        <w:t xml:space="preserve"> request</w:t>
      </w:r>
      <w:r w:rsidRPr="008162EE">
        <w:t xml:space="preserve"> other agencies to undertake work, either for design or physical activities. This requirement is captured in </w:t>
      </w:r>
      <w:r w:rsidR="008162EE" w:rsidRPr="008162EE">
        <w:t xml:space="preserve">SAP </w:t>
      </w:r>
      <w:r w:rsidRPr="008162EE">
        <w:t xml:space="preserve">MS.1 for a management system that gives due regard to safety and safety should be considered explicitly when developing and implementing any new arrangements for managing the organisation. </w:t>
      </w:r>
      <w:r w:rsidR="00C81AD3" w:rsidRPr="008162EE">
        <w:t>Therefore,</w:t>
      </w:r>
      <w:r w:rsidRPr="008162EE">
        <w:t xml:space="preserve"> the Inspector </w:t>
      </w:r>
      <w:r w:rsidR="00F52770">
        <w:rPr>
          <w:rStyle w:val="TSExampleText"/>
          <w:i w:val="0"/>
          <w:color w:val="auto"/>
        </w:rPr>
        <w:t>may wish to</w:t>
      </w:r>
      <w:r w:rsidRPr="008162EE">
        <w:t xml:space="preserve"> </w:t>
      </w:r>
      <w:r w:rsidR="00507C0C">
        <w:t xml:space="preserve">seek assurance regarding the adequacy of the </w:t>
      </w:r>
      <w:r w:rsidRPr="008162EE">
        <w:t xml:space="preserve">arrangements for controlling works during post operation phases, including understanding the civil engineering type of contract that contractors are operating under. </w:t>
      </w:r>
    </w:p>
    <w:p w14:paraId="08847988" w14:textId="2A2124A2" w:rsidR="004D4664" w:rsidRPr="002076C5" w:rsidRDefault="008162EE" w:rsidP="004D4664">
      <w:pPr>
        <w:pStyle w:val="TSNumberedParagraph1"/>
        <w:numPr>
          <w:ilvl w:val="0"/>
          <w:numId w:val="12"/>
        </w:numPr>
        <w:spacing w:before="220"/>
        <w:rPr>
          <w:iCs/>
        </w:rPr>
      </w:pPr>
      <w:r>
        <w:t xml:space="preserve">SAP </w:t>
      </w:r>
      <w:r w:rsidR="004D4664">
        <w:t xml:space="preserve">DC.1 </w:t>
      </w:r>
      <w:r>
        <w:t>establishes the expectation that</w:t>
      </w:r>
      <w:r w:rsidR="004D4664">
        <w:t xml:space="preserve"> </w:t>
      </w:r>
      <w:r w:rsidR="004D4664" w:rsidRPr="002076C5">
        <w:rPr>
          <w:rStyle w:val="TSExampleText"/>
          <w:i w:val="0"/>
          <w:color w:val="auto"/>
        </w:rPr>
        <w:t>the design should facilitate decommissioning and dismantling</w:t>
      </w:r>
      <w:r w:rsidR="00DC4D54">
        <w:rPr>
          <w:rStyle w:val="TSExampleText"/>
          <w:i w:val="0"/>
          <w:color w:val="auto"/>
        </w:rPr>
        <w:t xml:space="preserve"> (as does WENRA Safety Reference Level DE-15)</w:t>
      </w:r>
      <w:r w:rsidR="004D4664" w:rsidRPr="002076C5">
        <w:rPr>
          <w:rStyle w:val="TSExampleText"/>
          <w:i w:val="0"/>
          <w:color w:val="auto"/>
        </w:rPr>
        <w:t>.</w:t>
      </w:r>
      <w:r w:rsidR="004D4664">
        <w:rPr>
          <w:rStyle w:val="TSExampleText"/>
          <w:i w:val="0"/>
          <w:color w:val="auto"/>
        </w:rPr>
        <w:t xml:space="preserve"> </w:t>
      </w:r>
      <w:r w:rsidR="004D4664" w:rsidRPr="002076C5">
        <w:rPr>
          <w:iCs/>
        </w:rPr>
        <w:t>The civil engineering Design Authority (DA) is responsible for ensuring decommissioning and dismantling of the nuclear facility is considered at the early stages of concept design</w:t>
      </w:r>
      <w:r w:rsidR="00DC4D54">
        <w:rPr>
          <w:iCs/>
        </w:rPr>
        <w:t xml:space="preserve">. The DA </w:t>
      </w:r>
      <w:r>
        <w:rPr>
          <w:iCs/>
        </w:rPr>
        <w:t>is</w:t>
      </w:r>
      <w:r w:rsidR="00DC4D54">
        <w:rPr>
          <w:iCs/>
        </w:rPr>
        <w:t xml:space="preserve"> then responsible for ensuring that any design intent to facilitate decommissioning is not compromised in the phases of </w:t>
      </w:r>
      <w:r w:rsidR="004D4664" w:rsidRPr="002076C5">
        <w:rPr>
          <w:iCs/>
        </w:rPr>
        <w:t>detailed design</w:t>
      </w:r>
      <w:r w:rsidR="00DC4D54">
        <w:rPr>
          <w:iCs/>
        </w:rPr>
        <w:t>,</w:t>
      </w:r>
      <w:r w:rsidR="004D4664" w:rsidRPr="002076C5">
        <w:rPr>
          <w:iCs/>
        </w:rPr>
        <w:t xml:space="preserve"> construction</w:t>
      </w:r>
      <w:r w:rsidR="00DC4D54">
        <w:rPr>
          <w:iCs/>
        </w:rPr>
        <w:t xml:space="preserve"> or operation</w:t>
      </w:r>
      <w:r>
        <w:rPr>
          <w:iCs/>
        </w:rPr>
        <w:t>.</w:t>
      </w:r>
    </w:p>
    <w:p w14:paraId="358769B7" w14:textId="1A211D87" w:rsidR="005F21EB" w:rsidRDefault="004D4664" w:rsidP="004D4664">
      <w:pPr>
        <w:pStyle w:val="TSNumberedParagraph1"/>
        <w:numPr>
          <w:ilvl w:val="0"/>
          <w:numId w:val="12"/>
        </w:numPr>
        <w:spacing w:before="220"/>
        <w:rPr>
          <w:iCs/>
        </w:rPr>
      </w:pPr>
      <w:r w:rsidRPr="005F21EB">
        <w:rPr>
          <w:iCs/>
        </w:rPr>
        <w:t xml:space="preserve">During operation, the </w:t>
      </w:r>
      <w:proofErr w:type="spellStart"/>
      <w:r w:rsidRPr="005F21EB">
        <w:rPr>
          <w:iCs/>
        </w:rPr>
        <w:t>dutyholder’s</w:t>
      </w:r>
      <w:proofErr w:type="spellEnd"/>
      <w:r w:rsidRPr="005F21EB">
        <w:rPr>
          <w:iCs/>
        </w:rPr>
        <w:t xml:space="preserve"> DA must ensure the safety functions of a civil engineering </w:t>
      </w:r>
      <w:r w:rsidR="008162EE">
        <w:rPr>
          <w:iCs/>
        </w:rPr>
        <w:t>SSC</w:t>
      </w:r>
      <w:r w:rsidRPr="005F21EB">
        <w:rPr>
          <w:iCs/>
        </w:rPr>
        <w:t xml:space="preserve"> are understood and met throughout its operational life. </w:t>
      </w:r>
      <w:r w:rsidR="008162EE">
        <w:rPr>
          <w:iCs/>
        </w:rPr>
        <w:t xml:space="preserve">SAP </w:t>
      </w:r>
      <w:r w:rsidRPr="005F21EB">
        <w:rPr>
          <w:iCs/>
        </w:rPr>
        <w:t xml:space="preserve">DC.3 </w:t>
      </w:r>
      <w:r w:rsidR="008162EE">
        <w:t>establishes the expectation</w:t>
      </w:r>
      <w:r w:rsidRPr="005F21EB">
        <w:rPr>
          <w:iCs/>
        </w:rPr>
        <w:t xml:space="preserve"> that</w:t>
      </w:r>
      <w:r w:rsidR="008162EE">
        <w:rPr>
          <w:iCs/>
        </w:rPr>
        <w:t>,</w:t>
      </w:r>
      <w:r w:rsidRPr="005F21EB">
        <w:rPr>
          <w:iCs/>
        </w:rPr>
        <w:t xml:space="preserve"> if a facility cannot be operated safely</w:t>
      </w:r>
      <w:r w:rsidR="008162EE">
        <w:rPr>
          <w:iCs/>
        </w:rPr>
        <w:t>,</w:t>
      </w:r>
      <w:r w:rsidRPr="005F21EB">
        <w:rPr>
          <w:iCs/>
        </w:rPr>
        <w:t xml:space="preserve"> then it should be promptly decommissioned. </w:t>
      </w:r>
      <w:r w:rsidR="005F21EB" w:rsidRPr="005F21EB">
        <w:rPr>
          <w:iCs/>
        </w:rPr>
        <w:t>The</w:t>
      </w:r>
      <w:r w:rsidRPr="005F21EB">
        <w:rPr>
          <w:iCs/>
        </w:rPr>
        <w:t xml:space="preserve"> responsibility for the DA to ensure applicable safety functions are met continues through to the consideration and design of decommissioning and the project implementation. </w:t>
      </w:r>
    </w:p>
    <w:p w14:paraId="25549FD3" w14:textId="41B0127F" w:rsidR="004D4664" w:rsidRPr="005F21EB" w:rsidRDefault="004D4664" w:rsidP="004D4664">
      <w:pPr>
        <w:pStyle w:val="TSNumberedParagraph1"/>
        <w:numPr>
          <w:ilvl w:val="0"/>
          <w:numId w:val="12"/>
        </w:numPr>
        <w:spacing w:before="220"/>
        <w:rPr>
          <w:iCs/>
        </w:rPr>
      </w:pPr>
      <w:r w:rsidRPr="005F21EB">
        <w:rPr>
          <w:iCs/>
        </w:rPr>
        <w:t xml:space="preserve">The design intent and safety functional requirements are to be continually reviewed, to ensure they will continue to be met throughout all post operational phases, especially when there are </w:t>
      </w:r>
      <w:r w:rsidR="008162EE">
        <w:rPr>
          <w:iCs/>
        </w:rPr>
        <w:t>changes in use of a structure.</w:t>
      </w:r>
      <w:r w:rsidR="00F92DE7">
        <w:rPr>
          <w:iCs/>
        </w:rPr>
        <w:t xml:space="preserve"> </w:t>
      </w:r>
    </w:p>
    <w:p w14:paraId="45D42537" w14:textId="2037DEC2" w:rsidR="005F21EB" w:rsidRDefault="008162EE" w:rsidP="00F44142">
      <w:pPr>
        <w:pStyle w:val="TSNumberedParagraph1"/>
        <w:numPr>
          <w:ilvl w:val="0"/>
          <w:numId w:val="12"/>
        </w:numPr>
        <w:spacing w:before="220"/>
      </w:pPr>
      <w:r>
        <w:t xml:space="preserve">SAP </w:t>
      </w:r>
      <w:r w:rsidR="00DC4D54">
        <w:t>DC.</w:t>
      </w:r>
      <w:r w:rsidR="004F5127">
        <w:t>7</w:t>
      </w:r>
      <w:r w:rsidR="005E728E">
        <w:t>, including SAPs</w:t>
      </w:r>
      <w:r w:rsidR="004F5127">
        <w:t xml:space="preserve"> para</w:t>
      </w:r>
      <w:r w:rsidR="00DE0D56">
        <w:t>graph</w:t>
      </w:r>
      <w:r w:rsidR="004F5127">
        <w:t xml:space="preserve"> 864 (and para</w:t>
      </w:r>
      <w:r w:rsidR="00DE0D56">
        <w:t>graph</w:t>
      </w:r>
      <w:r w:rsidR="004F5127">
        <w:t xml:space="preserve"> 66)</w:t>
      </w:r>
      <w:r w:rsidR="00DC4D54">
        <w:t xml:space="preserve"> captures the need for Intelligent Customer function to be adequately fulfilled</w:t>
      </w:r>
      <w:r w:rsidR="004F5127">
        <w:t xml:space="preserve"> by the </w:t>
      </w:r>
      <w:proofErr w:type="spellStart"/>
      <w:r w:rsidR="004F5127">
        <w:t>dutyholder</w:t>
      </w:r>
      <w:proofErr w:type="spellEnd"/>
      <w:r w:rsidR="00DC4D54">
        <w:t xml:space="preserve">, which </w:t>
      </w:r>
      <w:r w:rsidR="005F21EB">
        <w:t xml:space="preserve">includes the supervision, surveillance and approval of any tasks and the acceptance of the work </w:t>
      </w:r>
      <w:r w:rsidR="00DC4D54">
        <w:t xml:space="preserve">as complete </w:t>
      </w:r>
      <w:r w:rsidR="005F21EB">
        <w:t>by the</w:t>
      </w:r>
      <w:r w:rsidR="00F44142">
        <w:t xml:space="preserve"> </w:t>
      </w:r>
      <w:proofErr w:type="spellStart"/>
      <w:r w:rsidR="00F44142">
        <w:t>dutyholder</w:t>
      </w:r>
      <w:proofErr w:type="spellEnd"/>
      <w:r w:rsidR="005F21EB">
        <w:t>.</w:t>
      </w:r>
    </w:p>
    <w:p w14:paraId="38D2DF49" w14:textId="4DA02C0E" w:rsidR="005F21EB" w:rsidRPr="004737B9" w:rsidRDefault="005F21EB" w:rsidP="004F5127">
      <w:pPr>
        <w:pStyle w:val="TSNumberedParagraph1"/>
        <w:numPr>
          <w:ilvl w:val="0"/>
          <w:numId w:val="12"/>
        </w:numPr>
        <w:spacing w:before="220"/>
      </w:pPr>
      <w:r w:rsidRPr="005F21EB">
        <w:t xml:space="preserve">WENRA </w:t>
      </w:r>
      <w:r w:rsidR="004F5127">
        <w:t>S</w:t>
      </w:r>
      <w:r w:rsidRPr="005F21EB">
        <w:t xml:space="preserve">afety </w:t>
      </w:r>
      <w:r w:rsidR="004F5127">
        <w:t>R</w:t>
      </w:r>
      <w:r w:rsidRPr="005F21EB">
        <w:t xml:space="preserve">eference </w:t>
      </w:r>
      <w:r w:rsidR="004F5127">
        <w:t>L</w:t>
      </w:r>
      <w:r w:rsidRPr="005F21EB">
        <w:t>evel DE-0</w:t>
      </w:r>
      <w:r>
        <w:t>7</w:t>
      </w:r>
      <w:r w:rsidRPr="005F21EB">
        <w:t xml:space="preserve"> </w:t>
      </w:r>
      <w:r w:rsidR="003E5482">
        <w:t>establishes</w:t>
      </w:r>
      <w:r w:rsidR="004F5127">
        <w:t xml:space="preserve"> the expectation</w:t>
      </w:r>
      <w:r w:rsidRPr="005F21EB">
        <w:t xml:space="preserve"> that</w:t>
      </w:r>
      <w:r w:rsidR="004F5127">
        <w:t xml:space="preserve"> there is clear allocation of responsibilities, interfaces and communication routes. SAPs </w:t>
      </w:r>
      <w:r w:rsidR="00F44142">
        <w:t>MS.2</w:t>
      </w:r>
      <w:r w:rsidR="00DC4D54">
        <w:t xml:space="preserve"> and DC.7</w:t>
      </w:r>
      <w:r w:rsidR="00F44142">
        <w:t xml:space="preserve"> capture this requirement for assessing whether the organisation has adequate human resources, with clarity of roles and responsibilities and effective communication and collaboration. </w:t>
      </w:r>
      <w:r>
        <w:t xml:space="preserve">The Inspector </w:t>
      </w:r>
      <w:r w:rsidR="00F52770">
        <w:rPr>
          <w:rStyle w:val="TSExampleText"/>
          <w:i w:val="0"/>
          <w:color w:val="auto"/>
        </w:rPr>
        <w:t>may wish to</w:t>
      </w:r>
      <w:r>
        <w:t xml:space="preserve"> </w:t>
      </w:r>
      <w:r w:rsidR="00507C0C">
        <w:t xml:space="preserve">seek assurance of </w:t>
      </w:r>
      <w:r>
        <w:t xml:space="preserve">the adequacy of the delegation of authority, of interfaces and communication routes for the civil engineering </w:t>
      </w:r>
      <w:r>
        <w:lastRenderedPageBreak/>
        <w:t xml:space="preserve">work being </w:t>
      </w:r>
      <w:r w:rsidRPr="004737B9">
        <w:t>undertaken</w:t>
      </w:r>
      <w:r w:rsidR="00F44142" w:rsidRPr="004737B9">
        <w:t xml:space="preserve"> during post operation activities</w:t>
      </w:r>
      <w:r w:rsidRPr="004737B9">
        <w:t xml:space="preserve">. </w:t>
      </w:r>
      <w:r w:rsidR="00011F2B">
        <w:t xml:space="preserve">This Inspector </w:t>
      </w:r>
      <w:r w:rsidR="00B27CEB">
        <w:t xml:space="preserve">may wish to consider how a site is managing </w:t>
      </w:r>
      <w:r w:rsidR="00011F2B">
        <w:t>change</w:t>
      </w:r>
      <w:r w:rsidR="00B27CEB">
        <w:t>, especially during</w:t>
      </w:r>
      <w:r w:rsidR="00011F2B">
        <w:t xml:space="preserve"> transition</w:t>
      </w:r>
      <w:r w:rsidR="00B27CEB">
        <w:t>s</w:t>
      </w:r>
      <w:r w:rsidR="00011F2B">
        <w:t xml:space="preserve"> from operation to decommissioning phases, and </w:t>
      </w:r>
      <w:r w:rsidR="00B27CEB">
        <w:t xml:space="preserve">transitions </w:t>
      </w:r>
      <w:r w:rsidR="00011F2B">
        <w:t xml:space="preserve">between each </w:t>
      </w:r>
      <w:r w:rsidR="00B27CEB">
        <w:t>sub-</w:t>
      </w:r>
      <w:r w:rsidR="00011F2B">
        <w:t>phase of decommissioning</w:t>
      </w:r>
      <w:r w:rsidR="00DF7207">
        <w:t xml:space="preserve"> (see also WENRA Safety Reference Level DE-05).</w:t>
      </w:r>
    </w:p>
    <w:p w14:paraId="05F41696" w14:textId="6B09B90B" w:rsidR="00F44142" w:rsidRDefault="005F21EB" w:rsidP="00F44142">
      <w:pPr>
        <w:pStyle w:val="TSNumberedParagraph1"/>
        <w:numPr>
          <w:ilvl w:val="0"/>
          <w:numId w:val="12"/>
        </w:numPr>
        <w:spacing w:before="220"/>
      </w:pPr>
      <w:r w:rsidRPr="004737B9">
        <w:t xml:space="preserve">There is a step-change in </w:t>
      </w:r>
      <w:proofErr w:type="spellStart"/>
      <w:r w:rsidRPr="004737B9">
        <w:t>dutyholder</w:t>
      </w:r>
      <w:proofErr w:type="spellEnd"/>
      <w:r w:rsidRPr="004737B9">
        <w:t xml:space="preserve"> activities after </w:t>
      </w:r>
      <w:r w:rsidR="00F44142" w:rsidRPr="004737B9">
        <w:t>a site has ceased operation, as the tasks at hand change in their nature</w:t>
      </w:r>
      <w:r w:rsidRPr="004737B9">
        <w:t xml:space="preserve">. The activities around clear-out and demolition can </w:t>
      </w:r>
      <w:r w:rsidRPr="004737B9">
        <w:rPr>
          <w:iCs/>
        </w:rPr>
        <w:t>require</w:t>
      </w:r>
      <w:r w:rsidRPr="004737B9">
        <w:t xml:space="preserve"> civil engineering specialists to be engaged on the site</w:t>
      </w:r>
      <w:r w:rsidR="00F44142" w:rsidRPr="004737B9">
        <w:t xml:space="preserve"> that have not been needed at any stage of the lifecycle up to that point</w:t>
      </w:r>
      <w:r w:rsidRPr="004737B9">
        <w:t xml:space="preserve">. </w:t>
      </w:r>
      <w:r w:rsidR="00797246" w:rsidRPr="004737B9">
        <w:t xml:space="preserve">SAPs </w:t>
      </w:r>
      <w:r w:rsidR="00F44142" w:rsidRPr="004737B9">
        <w:t xml:space="preserve">DC.7 and EHF.8 </w:t>
      </w:r>
      <w:r w:rsidR="00797246" w:rsidRPr="004737B9">
        <w:t>establishes</w:t>
      </w:r>
      <w:r w:rsidR="004F5127" w:rsidRPr="004737B9">
        <w:t xml:space="preserve"> the expectation that t</w:t>
      </w:r>
      <w:r w:rsidR="0086231C" w:rsidRPr="00C45BCE">
        <w:t xml:space="preserve">he competence needs for personnel responsible for undertaking decommissioning activities, including contractors, should be identified. </w:t>
      </w:r>
      <w:r w:rsidR="00C45BCE">
        <w:t>The Inspector may wish to consider whether p</w:t>
      </w:r>
      <w:r w:rsidR="0086231C" w:rsidRPr="00C45BCE">
        <w:t xml:space="preserve">ersonnel </w:t>
      </w:r>
      <w:r w:rsidR="00C45BCE">
        <w:t xml:space="preserve">have </w:t>
      </w:r>
      <w:r w:rsidR="0086231C" w:rsidRPr="00C45BCE">
        <w:t>receive</w:t>
      </w:r>
      <w:r w:rsidR="00C45BCE">
        <w:t>d</w:t>
      </w:r>
      <w:r w:rsidR="0086231C" w:rsidRPr="00C45BCE">
        <w:t xml:space="preserve"> suitable training and </w:t>
      </w:r>
      <w:r w:rsidR="00C45BCE">
        <w:t xml:space="preserve">have </w:t>
      </w:r>
      <w:r w:rsidR="0086231C" w:rsidRPr="00C45BCE">
        <w:t>be</w:t>
      </w:r>
      <w:r w:rsidR="00C45BCE">
        <w:t>en</w:t>
      </w:r>
      <w:r w:rsidR="0086231C" w:rsidRPr="00C45BCE">
        <w:t xml:space="preserve"> </w:t>
      </w:r>
      <w:r w:rsidR="00C45BCE">
        <w:t xml:space="preserve">assessed as being </w:t>
      </w:r>
      <w:r w:rsidR="0086231C" w:rsidRPr="00C45BCE">
        <w:t>suitably qualified and experienced</w:t>
      </w:r>
      <w:r w:rsidR="00C45BCE">
        <w:t xml:space="preserve"> personnel (SQEP)</w:t>
      </w:r>
      <w:r w:rsidR="0086231C" w:rsidRPr="00C45BCE">
        <w:t xml:space="preserve"> to carry out their duties</w:t>
      </w:r>
      <w:r w:rsidR="004F5127" w:rsidRPr="00C45BCE">
        <w:t>.</w:t>
      </w:r>
      <w:r w:rsidR="00101203" w:rsidRPr="00C45BCE">
        <w:t xml:space="preserve"> The I</w:t>
      </w:r>
      <w:r w:rsidR="00150A69" w:rsidRPr="00C45BCE">
        <w:t xml:space="preserve">nspector </w:t>
      </w:r>
      <w:r w:rsidR="00101203" w:rsidRPr="00C45BCE">
        <w:t xml:space="preserve">should expect that </w:t>
      </w:r>
      <w:r w:rsidR="00150A69" w:rsidRPr="00C45BCE">
        <w:t xml:space="preserve">the </w:t>
      </w:r>
      <w:proofErr w:type="spellStart"/>
      <w:r w:rsidR="00101203" w:rsidRPr="00C45BCE">
        <w:t>dutyholder</w:t>
      </w:r>
      <w:r w:rsidR="00627190" w:rsidRPr="00C45BCE">
        <w:t>’s</w:t>
      </w:r>
      <w:proofErr w:type="spellEnd"/>
      <w:r w:rsidR="00101203" w:rsidRPr="00C45BCE">
        <w:t xml:space="preserve"> </w:t>
      </w:r>
      <w:r w:rsidR="00150A69" w:rsidRPr="00C45BCE">
        <w:t xml:space="preserve">management </w:t>
      </w:r>
      <w:r w:rsidR="002F7B82" w:rsidRPr="00C45BCE">
        <w:t xml:space="preserve">system considers </w:t>
      </w:r>
      <w:r w:rsidR="00150A69" w:rsidRPr="00C45BCE">
        <w:t>the number of staff working at the facility</w:t>
      </w:r>
      <w:r w:rsidR="00744352" w:rsidRPr="00C45BCE">
        <w:t>,</w:t>
      </w:r>
      <w:r w:rsidR="00150A69" w:rsidRPr="00C45BCE">
        <w:t xml:space="preserve"> and the nature of their work during decommissioning</w:t>
      </w:r>
      <w:r w:rsidR="00744352" w:rsidRPr="00C45BCE">
        <w:t>,</w:t>
      </w:r>
      <w:r w:rsidR="00101203" w:rsidRPr="00C45BCE">
        <w:t xml:space="preserve"> in line with the expectations of </w:t>
      </w:r>
      <w:r w:rsidR="00E0728F" w:rsidRPr="00C45BCE">
        <w:t xml:space="preserve">SAP </w:t>
      </w:r>
      <w:r w:rsidR="00101203" w:rsidRPr="00C45BCE">
        <w:t>DC.8</w:t>
      </w:r>
      <w:r w:rsidR="00150A69" w:rsidRPr="00C45BCE">
        <w:t>.</w:t>
      </w:r>
      <w:r w:rsidR="00F44142" w:rsidRPr="00F44142">
        <w:t xml:space="preserve"> </w:t>
      </w:r>
    </w:p>
    <w:p w14:paraId="458D207E" w14:textId="1203EE3F" w:rsidR="005F21EB" w:rsidRDefault="00F44142" w:rsidP="0086231C">
      <w:pPr>
        <w:pStyle w:val="TSNumberedParagraph1"/>
        <w:numPr>
          <w:ilvl w:val="0"/>
          <w:numId w:val="12"/>
        </w:numPr>
        <w:spacing w:before="220"/>
      </w:pPr>
      <w:r>
        <w:t xml:space="preserve">WENRA </w:t>
      </w:r>
      <w:r w:rsidR="008F6B9E">
        <w:t>Safety R</w:t>
      </w:r>
      <w:r>
        <w:t xml:space="preserve">eference </w:t>
      </w:r>
      <w:r w:rsidR="008F6B9E">
        <w:t>L</w:t>
      </w:r>
      <w:r>
        <w:t>evels DE-08 and DE-12</w:t>
      </w:r>
      <w:r w:rsidR="004F5127">
        <w:t xml:space="preserve"> set the expectation of </w:t>
      </w:r>
      <w:r>
        <w:t>skills and management systems which are specifically required for decommissioning act</w:t>
      </w:r>
      <w:r w:rsidR="004F5127">
        <w:t>i</w:t>
      </w:r>
      <w:r>
        <w:t>vities.</w:t>
      </w:r>
      <w:r w:rsidR="004F5127">
        <w:t xml:space="preserve"> </w:t>
      </w:r>
      <w:r w:rsidR="005F21EB">
        <w:t xml:space="preserve">The </w:t>
      </w:r>
      <w:r w:rsidR="0086231C">
        <w:t xml:space="preserve">Inspector </w:t>
      </w:r>
      <w:r w:rsidR="001E0CC6">
        <w:t>may wish to</w:t>
      </w:r>
      <w:r w:rsidR="0086231C">
        <w:t xml:space="preserve"> include </w:t>
      </w:r>
      <w:r w:rsidR="005F21EB">
        <w:t xml:space="preserve">the expectations </w:t>
      </w:r>
      <w:r w:rsidR="0086231C">
        <w:t xml:space="preserve">of </w:t>
      </w:r>
      <w:r w:rsidR="004737B9">
        <w:t xml:space="preserve">SAPs </w:t>
      </w:r>
      <w:r w:rsidR="0086231C">
        <w:t>EHF.8, DC.7</w:t>
      </w:r>
      <w:r>
        <w:t xml:space="preserve"> and</w:t>
      </w:r>
      <w:r w:rsidR="00150A69">
        <w:t xml:space="preserve"> MS.2</w:t>
      </w:r>
      <w:r w:rsidR="0086231C">
        <w:t xml:space="preserve"> </w:t>
      </w:r>
      <w:r>
        <w:t xml:space="preserve">in assessment of decommissioning safety cases and civil engineering works, </w:t>
      </w:r>
      <w:r w:rsidR="0086231C">
        <w:t xml:space="preserve">alongside </w:t>
      </w:r>
      <w:r>
        <w:t xml:space="preserve">the requirements as stated in </w:t>
      </w:r>
      <w:r w:rsidR="005F21EB">
        <w:t>Licence Condition 11 ‘</w:t>
      </w:r>
      <w:r w:rsidR="0086231C">
        <w:t>T</w:t>
      </w:r>
      <w:r w:rsidR="005F21EB">
        <w:t xml:space="preserve">raining’ and </w:t>
      </w:r>
      <w:r w:rsidR="00DF303A">
        <w:t xml:space="preserve">Licence Condition </w:t>
      </w:r>
      <w:r w:rsidR="005F21EB">
        <w:t>36 ‘</w:t>
      </w:r>
      <w:r w:rsidR="0086231C">
        <w:t>O</w:t>
      </w:r>
      <w:r w:rsidR="005F21EB">
        <w:t xml:space="preserve">rganisational </w:t>
      </w:r>
      <w:r w:rsidR="0086231C">
        <w:t>C</w:t>
      </w:r>
      <w:r w:rsidR="005F21EB">
        <w:t>apability’</w:t>
      </w:r>
      <w:r w:rsidR="004737B9">
        <w:t>.</w:t>
      </w:r>
    </w:p>
    <w:p w14:paraId="3A842B9B" w14:textId="015D22AC" w:rsidR="004D4664" w:rsidRDefault="004D4664" w:rsidP="004D4664">
      <w:pPr>
        <w:pStyle w:val="TSNumberedParagraph1"/>
        <w:numPr>
          <w:ilvl w:val="0"/>
          <w:numId w:val="12"/>
        </w:numPr>
        <w:spacing w:before="220"/>
        <w:rPr>
          <w:iCs/>
        </w:rPr>
      </w:pPr>
      <w:bookmarkStart w:id="45" w:name="_Hlk57382545"/>
      <w:r>
        <w:rPr>
          <w:iCs/>
        </w:rPr>
        <w:t xml:space="preserve">For </w:t>
      </w:r>
      <w:r w:rsidR="00B96141">
        <w:rPr>
          <w:iCs/>
        </w:rPr>
        <w:t>guidance</w:t>
      </w:r>
      <w:r>
        <w:rPr>
          <w:iCs/>
        </w:rPr>
        <w:t xml:space="preserve"> on civil engineering </w:t>
      </w:r>
      <w:r w:rsidR="00011F2B">
        <w:rPr>
          <w:iCs/>
        </w:rPr>
        <w:t xml:space="preserve">principles when assessing </w:t>
      </w:r>
      <w:r>
        <w:rPr>
          <w:iCs/>
        </w:rPr>
        <w:t>Design Authority responsibilities</w:t>
      </w:r>
      <w:r w:rsidR="00CA420F">
        <w:rPr>
          <w:iCs/>
        </w:rPr>
        <w:t>, see</w:t>
      </w:r>
      <w:r>
        <w:rPr>
          <w:iCs/>
        </w:rPr>
        <w:t xml:space="preserve"> </w:t>
      </w:r>
    </w:p>
    <w:bookmarkEnd w:id="45"/>
    <w:p w14:paraId="7B89BDDC" w14:textId="0897C9CB" w:rsidR="004D4664" w:rsidRDefault="00CA420F" w:rsidP="004D4664">
      <w:pPr>
        <w:pStyle w:val="TSNumberedParagraph1"/>
        <w:numPr>
          <w:ilvl w:val="0"/>
          <w:numId w:val="10"/>
        </w:numPr>
        <w:spacing w:after="0"/>
        <w:jc w:val="both"/>
        <w:rPr>
          <w:iCs/>
        </w:rPr>
      </w:pPr>
      <w:r>
        <w:rPr>
          <w:iCs/>
        </w:rPr>
        <w:t>TAG 17 Annex 1</w:t>
      </w:r>
      <w:r w:rsidR="004409B0">
        <w:rPr>
          <w:iCs/>
        </w:rPr>
        <w:t>,</w:t>
      </w:r>
      <w:r>
        <w:rPr>
          <w:iCs/>
        </w:rPr>
        <w:t xml:space="preserve"> ’Civil Engineering – Design</w:t>
      </w:r>
      <w:r w:rsidR="00470166">
        <w:rPr>
          <w:iCs/>
        </w:rPr>
        <w:t>’</w:t>
      </w:r>
      <w:r w:rsidR="004409B0">
        <w:rPr>
          <w:iCs/>
        </w:rPr>
        <w:t>,</w:t>
      </w:r>
    </w:p>
    <w:p w14:paraId="6E4597FB" w14:textId="7712378C" w:rsidR="004D4664" w:rsidRDefault="00F51797" w:rsidP="004D4664">
      <w:pPr>
        <w:pStyle w:val="TSNumberedParagraph1"/>
        <w:numPr>
          <w:ilvl w:val="0"/>
          <w:numId w:val="10"/>
        </w:numPr>
        <w:spacing w:after="0"/>
        <w:jc w:val="both"/>
        <w:rPr>
          <w:iCs/>
        </w:rPr>
      </w:pPr>
      <w:r>
        <w:rPr>
          <w:iCs/>
        </w:rPr>
        <w:t>TAG 17 Annex 4</w:t>
      </w:r>
      <w:r w:rsidR="004409B0">
        <w:rPr>
          <w:iCs/>
        </w:rPr>
        <w:t>,</w:t>
      </w:r>
      <w:r>
        <w:rPr>
          <w:iCs/>
        </w:rPr>
        <w:t xml:space="preserve"> “Civil Engineering – Construction </w:t>
      </w:r>
      <w:r w:rsidRPr="00CC3C3B">
        <w:t>Assurance</w:t>
      </w:r>
      <w:r w:rsidR="00470166">
        <w:rPr>
          <w:iCs/>
        </w:rPr>
        <w:t>’</w:t>
      </w:r>
      <w:r w:rsidR="002C2717">
        <w:rPr>
          <w:iCs/>
        </w:rPr>
        <w:t>.</w:t>
      </w:r>
    </w:p>
    <w:p w14:paraId="13808D71" w14:textId="4BE04BE3" w:rsidR="00011F2B" w:rsidRDefault="00011F2B" w:rsidP="00011F2B">
      <w:pPr>
        <w:pStyle w:val="TSNumberedParagraph1"/>
        <w:numPr>
          <w:ilvl w:val="0"/>
          <w:numId w:val="12"/>
        </w:numPr>
        <w:spacing w:before="220"/>
        <w:rPr>
          <w:iCs/>
        </w:rPr>
      </w:pPr>
      <w:r>
        <w:rPr>
          <w:iCs/>
        </w:rPr>
        <w:t xml:space="preserve">For wider guidance on Design Authority and Intelligent Customer responsibilities, see </w:t>
      </w:r>
    </w:p>
    <w:p w14:paraId="7D305EB3" w14:textId="4EC8D5E2" w:rsidR="00B25A11" w:rsidRPr="00B25A11" w:rsidRDefault="00EE520B" w:rsidP="004D4664">
      <w:pPr>
        <w:pStyle w:val="TSNumberedParagraph1"/>
        <w:numPr>
          <w:ilvl w:val="0"/>
          <w:numId w:val="10"/>
        </w:numPr>
        <w:spacing w:after="0"/>
        <w:jc w:val="both"/>
        <w:rPr>
          <w:iCs/>
        </w:rPr>
      </w:pPr>
      <w:r>
        <w:rPr>
          <w:lang w:eastAsia="en-GB"/>
        </w:rPr>
        <w:t>ONR-</w:t>
      </w:r>
      <w:r w:rsidR="004F5127" w:rsidRPr="009B38C7">
        <w:t>NS-TAST-GD-079 ‘Licensee Design Authority Capability’</w:t>
      </w:r>
      <w:r w:rsidR="004737B9">
        <w:t>,</w:t>
      </w:r>
    </w:p>
    <w:p w14:paraId="11A6ADAE" w14:textId="2652DABD" w:rsidR="00B25A11" w:rsidRDefault="00EE520B" w:rsidP="00B25A11">
      <w:pPr>
        <w:pStyle w:val="TSBullet1Square"/>
        <w:numPr>
          <w:ilvl w:val="0"/>
          <w:numId w:val="10"/>
        </w:numPr>
      </w:pPr>
      <w:r>
        <w:rPr>
          <w:lang w:eastAsia="en-GB"/>
        </w:rPr>
        <w:t>ONR-</w:t>
      </w:r>
      <w:r w:rsidR="00B25A11" w:rsidRPr="009B38C7">
        <w:t>NS-TAST-GD-049 ‘Licensee Core Safety and Intelligent Customer Capabilities’</w:t>
      </w:r>
      <w:r w:rsidR="004737B9">
        <w:t>,</w:t>
      </w:r>
    </w:p>
    <w:p w14:paraId="1E2CBEA3" w14:textId="384B840E" w:rsidR="00B25A11" w:rsidRPr="009B38C7" w:rsidRDefault="00EE520B" w:rsidP="0063756E">
      <w:pPr>
        <w:pStyle w:val="TSBullet1Square"/>
        <w:numPr>
          <w:ilvl w:val="0"/>
          <w:numId w:val="10"/>
        </w:numPr>
        <w:tabs>
          <w:tab w:val="num" w:pos="-31680"/>
        </w:tabs>
      </w:pPr>
      <w:r>
        <w:rPr>
          <w:lang w:eastAsia="en-GB"/>
        </w:rPr>
        <w:t>ONR-</w:t>
      </w:r>
      <w:r w:rsidR="00633482" w:rsidRPr="009B38C7">
        <w:t>NS-TAST-GD-077 ‘Supply Chain Management Arrangements for the Procurement of Nuclear Safety Related Items or Services’</w:t>
      </w:r>
      <w:r w:rsidR="004737B9">
        <w:t>.</w:t>
      </w:r>
    </w:p>
    <w:p w14:paraId="3A6B7251" w14:textId="60EEA034" w:rsidR="005352D2" w:rsidRDefault="005352D2" w:rsidP="005352D2">
      <w:pPr>
        <w:pStyle w:val="TSNumberedParagraph1"/>
        <w:numPr>
          <w:ilvl w:val="0"/>
          <w:numId w:val="12"/>
        </w:numPr>
        <w:spacing w:before="220"/>
        <w:rPr>
          <w:iCs/>
        </w:rPr>
      </w:pPr>
      <w:r>
        <w:rPr>
          <w:iCs/>
        </w:rPr>
        <w:t xml:space="preserve">For guidance on </w:t>
      </w:r>
      <w:r w:rsidR="00F51797">
        <w:rPr>
          <w:iCs/>
        </w:rPr>
        <w:t xml:space="preserve">management of </w:t>
      </w:r>
      <w:r>
        <w:rPr>
          <w:iCs/>
        </w:rPr>
        <w:t>change</w:t>
      </w:r>
      <w:r w:rsidR="00F51797">
        <w:rPr>
          <w:iCs/>
        </w:rPr>
        <w:t xml:space="preserve"> when transitioning through</w:t>
      </w:r>
      <w:r>
        <w:rPr>
          <w:iCs/>
        </w:rPr>
        <w:t xml:space="preserve"> </w:t>
      </w:r>
      <w:r w:rsidR="00F51797">
        <w:rPr>
          <w:iCs/>
        </w:rPr>
        <w:t xml:space="preserve">phases, </w:t>
      </w:r>
      <w:r>
        <w:rPr>
          <w:iCs/>
        </w:rPr>
        <w:t>see:</w:t>
      </w:r>
    </w:p>
    <w:p w14:paraId="548C6289" w14:textId="429244BA" w:rsidR="005352D2" w:rsidRDefault="00EE520B" w:rsidP="005352D2">
      <w:pPr>
        <w:pStyle w:val="TSBullet1Square"/>
        <w:numPr>
          <w:ilvl w:val="0"/>
          <w:numId w:val="10"/>
        </w:numPr>
      </w:pPr>
      <w:r>
        <w:rPr>
          <w:lang w:eastAsia="en-GB"/>
        </w:rPr>
        <w:t>ONR-</w:t>
      </w:r>
      <w:r w:rsidR="005352D2" w:rsidRPr="009B38C7">
        <w:t>NS-TAST-GD-048 ‘Organisational Change’</w:t>
      </w:r>
      <w:r w:rsidR="005352D2">
        <w:t>,</w:t>
      </w:r>
    </w:p>
    <w:p w14:paraId="28AD0E1E" w14:textId="1489CBEE" w:rsidR="005352D2" w:rsidRDefault="00EE520B" w:rsidP="005352D2">
      <w:pPr>
        <w:pStyle w:val="TSBullet1Square"/>
        <w:numPr>
          <w:ilvl w:val="0"/>
          <w:numId w:val="10"/>
        </w:numPr>
      </w:pPr>
      <w:r>
        <w:rPr>
          <w:lang w:eastAsia="en-GB"/>
        </w:rPr>
        <w:t>ONR-</w:t>
      </w:r>
      <w:r w:rsidR="005352D2">
        <w:t>NS-TINS-GD-011 ‘LC 11 – Training’,</w:t>
      </w:r>
    </w:p>
    <w:p w14:paraId="12036167" w14:textId="2C15F6C5" w:rsidR="005352D2" w:rsidRPr="009B38C7" w:rsidRDefault="00EE520B" w:rsidP="005352D2">
      <w:pPr>
        <w:pStyle w:val="TSBullet1Square"/>
        <w:numPr>
          <w:ilvl w:val="0"/>
          <w:numId w:val="10"/>
        </w:numPr>
      </w:pPr>
      <w:r>
        <w:rPr>
          <w:lang w:eastAsia="en-GB"/>
        </w:rPr>
        <w:t>ONR-</w:t>
      </w:r>
      <w:r w:rsidR="005352D2">
        <w:t>NS-TINS-GD-036 ‘LC 36 – Organisational Capability’.</w:t>
      </w:r>
    </w:p>
    <w:p w14:paraId="12A327E3" w14:textId="549A9C4F" w:rsidR="003C140B" w:rsidRPr="00D9314A" w:rsidRDefault="003C140B" w:rsidP="003C140B">
      <w:pPr>
        <w:pStyle w:val="TSHeadingNumbered1"/>
        <w:numPr>
          <w:ilvl w:val="2"/>
          <w:numId w:val="11"/>
        </w:numPr>
        <w:tabs>
          <w:tab w:val="clear" w:pos="-31680"/>
        </w:tabs>
        <w:spacing w:before="240"/>
        <w:rPr>
          <w:caps w:val="0"/>
        </w:rPr>
      </w:pPr>
      <w:bookmarkStart w:id="46" w:name="_Toc57895881"/>
      <w:r w:rsidRPr="00D9314A">
        <w:rPr>
          <w:caps w:val="0"/>
        </w:rPr>
        <w:t>Design</w:t>
      </w:r>
      <w:bookmarkEnd w:id="46"/>
    </w:p>
    <w:p w14:paraId="183DF560" w14:textId="523A8357" w:rsidR="003C140B" w:rsidRDefault="003C140B" w:rsidP="003C140B">
      <w:pPr>
        <w:pStyle w:val="TSNumberedParagraph1"/>
        <w:numPr>
          <w:ilvl w:val="0"/>
          <w:numId w:val="12"/>
        </w:numPr>
        <w:spacing w:before="220"/>
      </w:pPr>
      <w:r>
        <w:t xml:space="preserve">SAPs DC.1 and ECE.26 </w:t>
      </w:r>
      <w:r w:rsidR="004737B9">
        <w:t>establishes the expectation</w:t>
      </w:r>
      <w:r>
        <w:t xml:space="preserve"> that </w:t>
      </w:r>
      <w:r w:rsidRPr="00132704">
        <w:t xml:space="preserve">consideration should be given at the </w:t>
      </w:r>
      <w:r>
        <w:t xml:space="preserve">civil engineering </w:t>
      </w:r>
      <w:r w:rsidRPr="00132704">
        <w:t xml:space="preserve">design stage of a nuclear facility to the incorporation of features to facilitate radioactive </w:t>
      </w:r>
      <w:r w:rsidR="00A11D60">
        <w:t xml:space="preserve">materials and </w:t>
      </w:r>
      <w:r w:rsidRPr="00132704">
        <w:t>waste management and the future decommissioning</w:t>
      </w:r>
      <w:r w:rsidR="004737B9">
        <w:t xml:space="preserve"> and dismantling of the plant. S</w:t>
      </w:r>
      <w:r w:rsidRPr="00132704">
        <w:t xml:space="preserve">tructural layout, designs and construction should </w:t>
      </w:r>
      <w:r>
        <w:t xml:space="preserve">enable </w:t>
      </w:r>
      <w:r w:rsidRPr="00132704">
        <w:t xml:space="preserve">dismantling </w:t>
      </w:r>
      <w:r>
        <w:t xml:space="preserve">to </w:t>
      </w:r>
      <w:r w:rsidRPr="00132704">
        <w:t xml:space="preserve">be </w:t>
      </w:r>
      <w:r w:rsidR="004737B9">
        <w:t>undertaken</w:t>
      </w:r>
      <w:r w:rsidRPr="00132704">
        <w:t xml:space="preserve"> using prove</w:t>
      </w:r>
      <w:r>
        <w:t xml:space="preserve">n and simple working practices. When assessing design or modifications, the Inspector </w:t>
      </w:r>
      <w:r w:rsidR="00A639D9">
        <w:t>may wish to</w:t>
      </w:r>
      <w:r>
        <w:t xml:space="preserve"> consider:</w:t>
      </w:r>
    </w:p>
    <w:p w14:paraId="1BFB2969" w14:textId="3251A324" w:rsidR="003C140B" w:rsidRDefault="004737B9" w:rsidP="003C140B">
      <w:pPr>
        <w:pStyle w:val="TSNumberedParagraph1"/>
        <w:numPr>
          <w:ilvl w:val="0"/>
          <w:numId w:val="10"/>
        </w:numPr>
        <w:spacing w:after="0"/>
        <w:jc w:val="both"/>
      </w:pPr>
      <w:r>
        <w:t>provision of space and facilities for characterisation, decontamination and disassembly,</w:t>
      </w:r>
    </w:p>
    <w:p w14:paraId="0D706A34" w14:textId="00EC5B3F" w:rsidR="003C140B" w:rsidRDefault="004737B9" w:rsidP="003C140B">
      <w:pPr>
        <w:pStyle w:val="TSNumberedParagraph1"/>
        <w:numPr>
          <w:ilvl w:val="0"/>
          <w:numId w:val="10"/>
        </w:numPr>
        <w:spacing w:after="0"/>
        <w:jc w:val="both"/>
      </w:pPr>
      <w:r>
        <w:t>provision of suitable access to allow intact removal of large plant items such as steam generators and large pumps,</w:t>
      </w:r>
    </w:p>
    <w:p w14:paraId="2CA70430" w14:textId="06753816" w:rsidR="003C140B" w:rsidRDefault="004737B9" w:rsidP="003C140B">
      <w:pPr>
        <w:pStyle w:val="TSNumberedParagraph1"/>
        <w:numPr>
          <w:ilvl w:val="0"/>
          <w:numId w:val="10"/>
        </w:numPr>
        <w:spacing w:after="0"/>
        <w:jc w:val="both"/>
      </w:pPr>
      <w:r>
        <w:lastRenderedPageBreak/>
        <w:t>minimising penetrations, crevices, joints or cracks that trap contaminants or 90</w:t>
      </w:r>
      <w:r>
        <w:rPr>
          <w:vertAlign w:val="superscript"/>
        </w:rPr>
        <w:t>o</w:t>
      </w:r>
      <w:r>
        <w:t xml:space="preserve"> angles by using chamfers, bevels or long radius bends,</w:t>
      </w:r>
    </w:p>
    <w:p w14:paraId="1E58813A" w14:textId="09BFAF60" w:rsidR="003C140B" w:rsidRDefault="004737B9" w:rsidP="003C140B">
      <w:pPr>
        <w:pStyle w:val="TSNumberedParagraph1"/>
        <w:numPr>
          <w:ilvl w:val="0"/>
          <w:numId w:val="10"/>
        </w:numPr>
        <w:spacing w:after="0"/>
        <w:jc w:val="both"/>
      </w:pPr>
      <w:r>
        <w:t>considering how porous surfaces will be sealed against ingress of activity, with the use of special surface finishes or treatments to prevent contamination from adhering to or penetrating surface of materials,</w:t>
      </w:r>
    </w:p>
    <w:p w14:paraId="4462551A" w14:textId="1F9FA274" w:rsidR="003C140B" w:rsidRPr="00132704" w:rsidRDefault="004737B9" w:rsidP="003C140B">
      <w:pPr>
        <w:pStyle w:val="TSNumberedParagraph1"/>
        <w:numPr>
          <w:ilvl w:val="0"/>
          <w:numId w:val="10"/>
        </w:numPr>
        <w:spacing w:after="0"/>
        <w:jc w:val="both"/>
      </w:pPr>
      <w:r>
        <w:t>avoiding the inappropriate specification of</w:t>
      </w:r>
      <w:r w:rsidR="003C140B">
        <w:t xml:space="preserve"> shielding</w:t>
      </w:r>
      <w:r>
        <w:t>,</w:t>
      </w:r>
      <w:r w:rsidR="003C140B">
        <w:t xml:space="preserve"> bearing in mind that the design of a biological shield involves a balance between structural aspects and minimising activation</w:t>
      </w:r>
      <w:r>
        <w:t>.</w:t>
      </w:r>
    </w:p>
    <w:p w14:paraId="0B67A7C8" w14:textId="7637EB0E" w:rsidR="003C140B" w:rsidRDefault="003C140B" w:rsidP="003C140B">
      <w:pPr>
        <w:pStyle w:val="TSNumberedParagraph1"/>
        <w:numPr>
          <w:ilvl w:val="0"/>
          <w:numId w:val="12"/>
        </w:numPr>
        <w:spacing w:before="220"/>
      </w:pPr>
      <w:r w:rsidRPr="00132704">
        <w:t>Facilities should be designed to minimise infiltration, contain spills and releases and at</w:t>
      </w:r>
      <w:r w:rsidR="004737B9">
        <w:t xml:space="preserve">tenuate contaminant transport. </w:t>
      </w:r>
      <w:r w:rsidR="009E261C">
        <w:t>Active leak detection is paramount. Where</w:t>
      </w:r>
      <w:r w:rsidRPr="00132704">
        <w:t xml:space="preserve"> drainage pipework has to be embedded into a concrete structure</w:t>
      </w:r>
      <w:r w:rsidR="009E261C">
        <w:t xml:space="preserve"> or if containment structures are buried or supported directly upon the ground, l</w:t>
      </w:r>
      <w:r w:rsidRPr="00132704">
        <w:t>eakage detect</w:t>
      </w:r>
      <w:r w:rsidR="009E261C">
        <w:t xml:space="preserve">ion system should be provided. </w:t>
      </w:r>
      <w:r w:rsidRPr="00132704">
        <w:t>Details must avoid potential traps for contamination.</w:t>
      </w:r>
      <w:r>
        <w:t xml:space="preserve"> Designers should consider:</w:t>
      </w:r>
    </w:p>
    <w:p w14:paraId="229C5543" w14:textId="00365BF9" w:rsidR="003C140B" w:rsidRDefault="009E261C" w:rsidP="003C140B">
      <w:pPr>
        <w:pStyle w:val="TSNumberedParagraph1"/>
        <w:numPr>
          <w:ilvl w:val="0"/>
          <w:numId w:val="10"/>
        </w:numPr>
        <w:spacing w:after="0"/>
        <w:jc w:val="both"/>
      </w:pPr>
      <w:r>
        <w:t>minimising embedded pipework, ducts and equipment in floors and walls,</w:t>
      </w:r>
    </w:p>
    <w:p w14:paraId="627FA841" w14:textId="4073037F" w:rsidR="003C140B" w:rsidRDefault="009E261C" w:rsidP="003C140B">
      <w:pPr>
        <w:pStyle w:val="TSNumberedParagraph1"/>
        <w:numPr>
          <w:ilvl w:val="0"/>
          <w:numId w:val="10"/>
        </w:numPr>
        <w:spacing w:after="0"/>
        <w:jc w:val="both"/>
      </w:pPr>
      <w:r>
        <w:t>minimising the use of potentially radioactive underground tanks, sumps, ducts and drains,</w:t>
      </w:r>
    </w:p>
    <w:p w14:paraId="5666B94D" w14:textId="35C1287D" w:rsidR="003C140B" w:rsidRDefault="009E261C" w:rsidP="003C140B">
      <w:pPr>
        <w:pStyle w:val="TSNumberedParagraph1"/>
        <w:numPr>
          <w:ilvl w:val="0"/>
          <w:numId w:val="10"/>
        </w:numPr>
        <w:spacing w:after="0"/>
        <w:jc w:val="both"/>
      </w:pPr>
      <w:r>
        <w:t>lining sumps and trenches to concrete floors with impermeable corrosion resistant material, to protect from contamination and facilitate clean up e.g. by providing corrosion resistant liners,</w:t>
      </w:r>
    </w:p>
    <w:p w14:paraId="3DDFAA32" w14:textId="73D0B66F" w:rsidR="003C140B" w:rsidRDefault="009E261C" w:rsidP="003C140B">
      <w:pPr>
        <w:pStyle w:val="TSNumberedParagraph1"/>
        <w:numPr>
          <w:ilvl w:val="0"/>
          <w:numId w:val="10"/>
        </w:numPr>
        <w:spacing w:after="0"/>
        <w:jc w:val="both"/>
      </w:pPr>
      <w:r>
        <w:t>separation of radioactive and non-radioactive systems and areas (drainage systems should keep liquids separated according to their potential radioactivity),</w:t>
      </w:r>
    </w:p>
    <w:p w14:paraId="4E3B2617" w14:textId="4E3122A9" w:rsidR="009E261C" w:rsidRDefault="009E261C" w:rsidP="003C140B">
      <w:pPr>
        <w:pStyle w:val="TSNumberedParagraph1"/>
        <w:numPr>
          <w:ilvl w:val="0"/>
          <w:numId w:val="10"/>
        </w:numPr>
        <w:spacing w:after="0"/>
        <w:jc w:val="both"/>
      </w:pPr>
      <w:r>
        <w:t>avoiding unmonitored voids and sub-spaces within structures,</w:t>
      </w:r>
    </w:p>
    <w:p w14:paraId="4891173B" w14:textId="652CBC08" w:rsidR="003C140B" w:rsidRPr="00132704" w:rsidRDefault="009E261C" w:rsidP="003C140B">
      <w:pPr>
        <w:pStyle w:val="TSNumberedParagraph1"/>
        <w:numPr>
          <w:ilvl w:val="0"/>
          <w:numId w:val="10"/>
        </w:numPr>
        <w:spacing w:after="0"/>
        <w:jc w:val="both"/>
      </w:pPr>
      <w:r>
        <w:t>designing and insta</w:t>
      </w:r>
      <w:r w:rsidR="003C140B">
        <w:t>lling pipes and ductwork to minimise the holdup and deposition of potentially active dust particulates.</w:t>
      </w:r>
    </w:p>
    <w:p w14:paraId="01350ED3" w14:textId="7369DD19" w:rsidR="003C140B" w:rsidRPr="00132704" w:rsidRDefault="003C140B" w:rsidP="003C140B">
      <w:pPr>
        <w:pStyle w:val="TSNumberedParagraph1"/>
        <w:numPr>
          <w:ilvl w:val="0"/>
          <w:numId w:val="12"/>
        </w:numPr>
        <w:spacing w:before="220"/>
      </w:pPr>
      <w:r>
        <w:t xml:space="preserve">In line with the expectations of </w:t>
      </w:r>
      <w:r w:rsidR="009E261C">
        <w:t xml:space="preserve">SAP </w:t>
      </w:r>
      <w:r>
        <w:t xml:space="preserve">DC.1 and ECE.26, </w:t>
      </w:r>
      <w:r w:rsidRPr="00132704">
        <w:t xml:space="preserve">the </w:t>
      </w:r>
      <w:r w:rsidR="009E261C">
        <w:t xml:space="preserve">original </w:t>
      </w:r>
      <w:r w:rsidRPr="00132704">
        <w:t xml:space="preserve">design and </w:t>
      </w:r>
      <w:r w:rsidR="009E261C">
        <w:t xml:space="preserve">subsequent </w:t>
      </w:r>
      <w:r w:rsidRPr="00132704">
        <w:t>plant modifications should incorporate provision for decommissioning which should be incl</w:t>
      </w:r>
      <w:r w:rsidR="009E261C">
        <w:t>uded in decommissioning plans.</w:t>
      </w:r>
    </w:p>
    <w:p w14:paraId="6B8666B4" w14:textId="6CB63D6A" w:rsidR="003C140B" w:rsidRDefault="003C140B" w:rsidP="003C140B">
      <w:pPr>
        <w:pStyle w:val="TSNumberedParagraph1"/>
        <w:numPr>
          <w:ilvl w:val="0"/>
          <w:numId w:val="12"/>
        </w:numPr>
        <w:spacing w:before="220"/>
        <w:rPr>
          <w:iCs/>
        </w:rPr>
      </w:pPr>
      <w:r w:rsidRPr="0067073F">
        <w:rPr>
          <w:iCs/>
        </w:rPr>
        <w:t xml:space="preserve">Progressive and disproportionate collapse </w:t>
      </w:r>
      <w:r w:rsidR="009E261C">
        <w:rPr>
          <w:iCs/>
        </w:rPr>
        <w:t xml:space="preserve">during demolition </w:t>
      </w:r>
      <w:r w:rsidRPr="0067073F">
        <w:rPr>
          <w:iCs/>
        </w:rPr>
        <w:t>must be avoided in design</w:t>
      </w:r>
      <w:r>
        <w:rPr>
          <w:iCs/>
        </w:rPr>
        <w:t>.</w:t>
      </w:r>
    </w:p>
    <w:p w14:paraId="1E1EEE1F" w14:textId="62AC1E37" w:rsidR="003C140B" w:rsidRDefault="003C140B" w:rsidP="003C140B">
      <w:pPr>
        <w:pStyle w:val="TSNumberedParagraph1"/>
        <w:numPr>
          <w:ilvl w:val="0"/>
          <w:numId w:val="12"/>
        </w:numPr>
        <w:spacing w:before="220"/>
        <w:rPr>
          <w:iCs/>
        </w:rPr>
      </w:pPr>
      <w:r>
        <w:rPr>
          <w:iCs/>
        </w:rPr>
        <w:t xml:space="preserve">The Inspector </w:t>
      </w:r>
      <w:r w:rsidR="00A639D9">
        <w:rPr>
          <w:iCs/>
        </w:rPr>
        <w:t>may</w:t>
      </w:r>
      <w:r>
        <w:rPr>
          <w:iCs/>
        </w:rPr>
        <w:t xml:space="preserve"> judge whether the design facilitates dismantling, considering:</w:t>
      </w:r>
    </w:p>
    <w:p w14:paraId="23A1DB54" w14:textId="78B25DC9" w:rsidR="003C140B" w:rsidRDefault="009E261C" w:rsidP="003C140B">
      <w:pPr>
        <w:pStyle w:val="TSNumberedParagraph1"/>
        <w:numPr>
          <w:ilvl w:val="0"/>
          <w:numId w:val="10"/>
        </w:numPr>
        <w:spacing w:after="0"/>
        <w:jc w:val="both"/>
        <w:rPr>
          <w:iCs/>
        </w:rPr>
      </w:pPr>
      <w:r>
        <w:rPr>
          <w:iCs/>
        </w:rPr>
        <w:t>developing designs that will facilitate construction as well as dismantling (often by reversing the construction sequence),</w:t>
      </w:r>
    </w:p>
    <w:p w14:paraId="1367E49C" w14:textId="3B346721" w:rsidR="003C140B" w:rsidRDefault="002644C0" w:rsidP="003C140B">
      <w:pPr>
        <w:pStyle w:val="TSNumberedParagraph1"/>
        <w:numPr>
          <w:ilvl w:val="0"/>
          <w:numId w:val="10"/>
        </w:numPr>
        <w:spacing w:after="0"/>
        <w:jc w:val="both"/>
        <w:rPr>
          <w:iCs/>
        </w:rPr>
      </w:pPr>
      <w:r>
        <w:rPr>
          <w:iCs/>
        </w:rPr>
        <w:t>minimising the use of materials which could become activated during the operational stage,</w:t>
      </w:r>
    </w:p>
    <w:p w14:paraId="7229732D" w14:textId="74352736" w:rsidR="002644C0" w:rsidRDefault="002644C0" w:rsidP="003C140B">
      <w:pPr>
        <w:pStyle w:val="TSNumberedParagraph1"/>
        <w:numPr>
          <w:ilvl w:val="0"/>
          <w:numId w:val="10"/>
        </w:numPr>
        <w:spacing w:after="0"/>
        <w:jc w:val="both"/>
        <w:rPr>
          <w:iCs/>
        </w:rPr>
      </w:pPr>
      <w:r>
        <w:rPr>
          <w:iCs/>
        </w:rPr>
        <w:t>specifying surface finishes which aid decontamination and minimise absorption of contaminants,</w:t>
      </w:r>
    </w:p>
    <w:p w14:paraId="13B9E5E7" w14:textId="6DC4E167" w:rsidR="003C140B" w:rsidRDefault="009E261C" w:rsidP="003C140B">
      <w:pPr>
        <w:pStyle w:val="TSNumberedParagraph1"/>
        <w:numPr>
          <w:ilvl w:val="0"/>
          <w:numId w:val="10"/>
        </w:numPr>
        <w:spacing w:after="0"/>
        <w:jc w:val="both"/>
        <w:rPr>
          <w:iCs/>
        </w:rPr>
      </w:pPr>
      <w:r>
        <w:rPr>
          <w:iCs/>
        </w:rPr>
        <w:t>considering (where necessary) the use of advanced techniques to remove active items,</w:t>
      </w:r>
    </w:p>
    <w:p w14:paraId="5DB58F5B" w14:textId="60CA4CA5" w:rsidR="003C140B" w:rsidRPr="002B1AA5" w:rsidRDefault="009E261C" w:rsidP="003C140B">
      <w:pPr>
        <w:pStyle w:val="TSNumberedParagraph1"/>
        <w:numPr>
          <w:ilvl w:val="0"/>
          <w:numId w:val="10"/>
        </w:numPr>
        <w:spacing w:after="0"/>
        <w:jc w:val="both"/>
        <w:rPr>
          <w:iCs/>
        </w:rPr>
      </w:pPr>
      <w:r>
        <w:rPr>
          <w:iCs/>
        </w:rPr>
        <w:t xml:space="preserve">where irreversible </w:t>
      </w:r>
      <w:r w:rsidR="003C140B">
        <w:rPr>
          <w:iCs/>
        </w:rPr>
        <w:t xml:space="preserve">construction </w:t>
      </w:r>
      <w:r w:rsidR="003C140B" w:rsidRPr="002B1AA5">
        <w:rPr>
          <w:iCs/>
        </w:rPr>
        <w:t xml:space="preserve">sequences are used, this should be </w:t>
      </w:r>
      <w:r w:rsidR="00C81AD3" w:rsidRPr="002B1AA5">
        <w:rPr>
          <w:iCs/>
        </w:rPr>
        <w:t>justified,</w:t>
      </w:r>
      <w:r w:rsidR="003C140B" w:rsidRPr="002B1AA5">
        <w:rPr>
          <w:iCs/>
        </w:rPr>
        <w:t xml:space="preserve"> and the decommissioning consequences presented.</w:t>
      </w:r>
    </w:p>
    <w:p w14:paraId="194977FE" w14:textId="77777777" w:rsidR="003C140B" w:rsidRPr="002B1AA5" w:rsidRDefault="003C140B" w:rsidP="003C140B">
      <w:pPr>
        <w:pStyle w:val="TSNumberedParagraph1"/>
        <w:numPr>
          <w:ilvl w:val="0"/>
          <w:numId w:val="12"/>
        </w:numPr>
        <w:spacing w:before="220"/>
        <w:rPr>
          <w:iCs/>
        </w:rPr>
      </w:pPr>
      <w:r w:rsidRPr="002B1AA5">
        <w:rPr>
          <w:iCs/>
        </w:rPr>
        <w:t>For further guidance on civil engineering design, see:</w:t>
      </w:r>
    </w:p>
    <w:p w14:paraId="328D0E43" w14:textId="7E3DB264" w:rsidR="003C140B" w:rsidRPr="002B1AA5" w:rsidRDefault="002644C0" w:rsidP="003C140B">
      <w:pPr>
        <w:pStyle w:val="TSNumberedParagraph1"/>
        <w:numPr>
          <w:ilvl w:val="0"/>
          <w:numId w:val="10"/>
        </w:numPr>
        <w:spacing w:after="0"/>
        <w:jc w:val="both"/>
        <w:rPr>
          <w:iCs/>
        </w:rPr>
      </w:pPr>
      <w:r w:rsidRPr="002B1AA5">
        <w:rPr>
          <w:iCs/>
        </w:rPr>
        <w:t>TAG 17 A</w:t>
      </w:r>
      <w:r w:rsidR="003C140B" w:rsidRPr="002B1AA5">
        <w:rPr>
          <w:iCs/>
        </w:rPr>
        <w:t>nnex 1 ‘Civil Engineering – Design’</w:t>
      </w:r>
      <w:r w:rsidRPr="002B1AA5">
        <w:rPr>
          <w:iCs/>
        </w:rPr>
        <w:t>,</w:t>
      </w:r>
    </w:p>
    <w:p w14:paraId="6868E2A6" w14:textId="67449A8E" w:rsidR="003C140B" w:rsidRPr="002B1AA5" w:rsidRDefault="003C140B" w:rsidP="003C140B">
      <w:pPr>
        <w:pStyle w:val="TSNumberedParagraph1"/>
        <w:numPr>
          <w:ilvl w:val="0"/>
          <w:numId w:val="10"/>
        </w:numPr>
        <w:spacing w:after="0"/>
        <w:jc w:val="both"/>
        <w:rPr>
          <w:iCs/>
        </w:rPr>
      </w:pPr>
      <w:r w:rsidRPr="002B1AA5">
        <w:rPr>
          <w:iCs/>
        </w:rPr>
        <w:t>TAG 17 head document</w:t>
      </w:r>
      <w:r w:rsidR="00010AEF" w:rsidRPr="002B1AA5">
        <w:rPr>
          <w:iCs/>
        </w:rPr>
        <w:t>, section 5.9.5</w:t>
      </w:r>
      <w:r w:rsidRPr="002B1AA5">
        <w:rPr>
          <w:iCs/>
        </w:rPr>
        <w:t xml:space="preserve"> ‘Modifications’</w:t>
      </w:r>
      <w:r w:rsidR="002644C0" w:rsidRPr="002B1AA5">
        <w:rPr>
          <w:iCs/>
        </w:rPr>
        <w:t>.</w:t>
      </w:r>
    </w:p>
    <w:p w14:paraId="6754737C" w14:textId="77777777" w:rsidR="00842781" w:rsidRDefault="00842781">
      <w:pPr>
        <w:rPr>
          <w:rFonts w:ascii="Arial Bold" w:hAnsi="Arial Bold"/>
          <w:b/>
        </w:rPr>
      </w:pPr>
      <w:r>
        <w:rPr>
          <w:caps/>
        </w:rPr>
        <w:br w:type="page"/>
      </w:r>
    </w:p>
    <w:p w14:paraId="0B304A1E" w14:textId="05ECC529" w:rsidR="007E7594" w:rsidRPr="002B1AA5" w:rsidRDefault="007E7594" w:rsidP="003C140B">
      <w:pPr>
        <w:pStyle w:val="TSHeadingNumbered1"/>
        <w:numPr>
          <w:ilvl w:val="2"/>
          <w:numId w:val="11"/>
        </w:numPr>
        <w:tabs>
          <w:tab w:val="clear" w:pos="-31680"/>
        </w:tabs>
        <w:spacing w:before="240"/>
        <w:rPr>
          <w:caps w:val="0"/>
        </w:rPr>
      </w:pPr>
      <w:bookmarkStart w:id="47" w:name="_Toc57895882"/>
      <w:r w:rsidRPr="002B1AA5">
        <w:rPr>
          <w:caps w:val="0"/>
        </w:rPr>
        <w:lastRenderedPageBreak/>
        <w:t>Risk assessment</w:t>
      </w:r>
      <w:bookmarkEnd w:id="47"/>
    </w:p>
    <w:p w14:paraId="55ED5E76" w14:textId="3D8E4F4C" w:rsidR="003C140B" w:rsidRPr="002B1AA5" w:rsidRDefault="0067073F" w:rsidP="0067073F">
      <w:pPr>
        <w:pStyle w:val="TSNumberedParagraph1"/>
        <w:numPr>
          <w:ilvl w:val="0"/>
          <w:numId w:val="12"/>
        </w:numPr>
        <w:spacing w:before="220"/>
      </w:pPr>
      <w:r w:rsidRPr="002B1AA5">
        <w:t xml:space="preserve">The </w:t>
      </w:r>
      <w:r w:rsidR="003C140B" w:rsidRPr="002B1AA5">
        <w:t>I</w:t>
      </w:r>
      <w:r w:rsidRPr="002B1AA5">
        <w:t xml:space="preserve">nspector </w:t>
      </w:r>
      <w:r w:rsidR="00A639D9" w:rsidRPr="002B1AA5">
        <w:t>may wish to</w:t>
      </w:r>
      <w:r w:rsidRPr="002B1AA5">
        <w:t xml:space="preserve"> consider whether hazards and resultant risks have been </w:t>
      </w:r>
      <w:r w:rsidR="003C140B" w:rsidRPr="002B1AA5">
        <w:t xml:space="preserve">considered when assessing activities after cessation of operations. The Inspector </w:t>
      </w:r>
      <w:r w:rsidR="00A639D9" w:rsidRPr="002B1AA5">
        <w:t>may</w:t>
      </w:r>
      <w:r w:rsidR="003C140B" w:rsidRPr="002B1AA5">
        <w:t xml:space="preserve"> consider the:</w:t>
      </w:r>
    </w:p>
    <w:p w14:paraId="394B8B18" w14:textId="6D203C84" w:rsidR="003C140B" w:rsidRDefault="002644C0" w:rsidP="003C140B">
      <w:pPr>
        <w:pStyle w:val="TSBullet1Square"/>
        <w:numPr>
          <w:ilvl w:val="0"/>
          <w:numId w:val="10"/>
        </w:numPr>
      </w:pPr>
      <w:r>
        <w:t xml:space="preserve">accuracy and adequacy of information in the </w:t>
      </w:r>
      <w:r w:rsidRPr="003C140B">
        <w:t xml:space="preserve">health and safety file for the identification of hazards and resultant risks, </w:t>
      </w:r>
    </w:p>
    <w:p w14:paraId="23FFE17B" w14:textId="4ED9153C" w:rsidR="003C140B" w:rsidRDefault="002644C0" w:rsidP="003C140B">
      <w:pPr>
        <w:pStyle w:val="TSBullet1Square"/>
        <w:numPr>
          <w:ilvl w:val="0"/>
          <w:numId w:val="10"/>
        </w:numPr>
      </w:pPr>
      <w:r>
        <w:t xml:space="preserve">adequacy of the </w:t>
      </w:r>
      <w:r w:rsidRPr="003C140B">
        <w:t xml:space="preserve">arrangements in place to manage the risks associated with the </w:t>
      </w:r>
      <w:r>
        <w:t xml:space="preserve">proposed </w:t>
      </w:r>
      <w:r w:rsidR="0067073F" w:rsidRPr="003C140B">
        <w:t xml:space="preserve">civil engineering works, </w:t>
      </w:r>
    </w:p>
    <w:p w14:paraId="3D011B15" w14:textId="1C20E4A3" w:rsidR="003C140B" w:rsidRDefault="002644C0" w:rsidP="003C140B">
      <w:pPr>
        <w:pStyle w:val="TSBullet1Square"/>
        <w:numPr>
          <w:ilvl w:val="0"/>
          <w:numId w:val="10"/>
        </w:numPr>
      </w:pPr>
      <w:r>
        <w:t>load</w:t>
      </w:r>
      <w:r w:rsidR="0067073F" w:rsidRPr="003C140B">
        <w:t xml:space="preserve"> paths or transient and temporary conditions </w:t>
      </w:r>
      <w:r>
        <w:t xml:space="preserve">that </w:t>
      </w:r>
      <w:r w:rsidR="0067073F" w:rsidRPr="003C140B">
        <w:t>may have not been ne</w:t>
      </w:r>
      <w:r>
        <w:t>cessary to have been considered</w:t>
      </w:r>
      <w:r w:rsidR="0067073F" w:rsidRPr="003C140B">
        <w:t xml:space="preserve"> during the operational phase of the structure, </w:t>
      </w:r>
    </w:p>
    <w:p w14:paraId="609BFB3F" w14:textId="1CD0A78B" w:rsidR="003C140B" w:rsidRDefault="003C140B" w:rsidP="003C140B">
      <w:pPr>
        <w:pStyle w:val="TSBullet1Square"/>
        <w:numPr>
          <w:ilvl w:val="0"/>
          <w:numId w:val="10"/>
        </w:numPr>
      </w:pPr>
      <w:r>
        <w:t xml:space="preserve">potential impact on </w:t>
      </w:r>
      <w:r w:rsidR="0067073F" w:rsidRPr="003C140B">
        <w:t xml:space="preserve">adjacent facilities, especially referring to health and safety files and designers risk assessments of adjacent facilities that may have </w:t>
      </w:r>
      <w:r w:rsidR="00C81AD3" w:rsidRPr="003C140B">
        <w:t>been built</w:t>
      </w:r>
      <w:r w:rsidR="0067073F" w:rsidRPr="003C140B">
        <w:t xml:space="preserve"> </w:t>
      </w:r>
      <w:r w:rsidR="00C81AD3" w:rsidRPr="003C140B">
        <w:t>later</w:t>
      </w:r>
      <w:r w:rsidR="0067073F" w:rsidRPr="003C140B">
        <w:t xml:space="preserve"> in the site life, </w:t>
      </w:r>
    </w:p>
    <w:p w14:paraId="3E0D02B6" w14:textId="77777777" w:rsidR="003C140B" w:rsidRDefault="0067073F" w:rsidP="003C140B">
      <w:pPr>
        <w:pStyle w:val="TSBullet1Square"/>
        <w:numPr>
          <w:ilvl w:val="0"/>
          <w:numId w:val="10"/>
        </w:numPr>
      </w:pPr>
      <w:r w:rsidRPr="003C140B">
        <w:t xml:space="preserve">construction sequence </w:t>
      </w:r>
      <w:r w:rsidR="003C140B">
        <w:t xml:space="preserve">risks </w:t>
      </w:r>
      <w:r w:rsidRPr="003C140B">
        <w:t xml:space="preserve">for decommissioning and demolition and how this information is recorded, </w:t>
      </w:r>
    </w:p>
    <w:p w14:paraId="1B45A383" w14:textId="0B5F3718" w:rsidR="003C140B" w:rsidRDefault="003C140B" w:rsidP="003C140B">
      <w:pPr>
        <w:pStyle w:val="TSBullet1Square"/>
        <w:numPr>
          <w:ilvl w:val="0"/>
          <w:numId w:val="10"/>
        </w:numPr>
      </w:pPr>
      <w:r>
        <w:t xml:space="preserve">whether civil engineering design decisions </w:t>
      </w:r>
      <w:r w:rsidR="0067073F" w:rsidRPr="003C140B">
        <w:t xml:space="preserve">facilitate </w:t>
      </w:r>
      <w:r>
        <w:t xml:space="preserve">and not preclude options for </w:t>
      </w:r>
      <w:r w:rsidR="0067073F" w:rsidRPr="003C140B">
        <w:t xml:space="preserve">radioactive </w:t>
      </w:r>
      <w:r w:rsidR="00A11D60">
        <w:t xml:space="preserve">materials and </w:t>
      </w:r>
      <w:r w:rsidR="0067073F" w:rsidRPr="003C140B">
        <w:t xml:space="preserve">waste management, </w:t>
      </w:r>
      <w:r>
        <w:t>including design decisions around material</w:t>
      </w:r>
      <w:r w:rsidR="0067073F" w:rsidRPr="003C140B">
        <w:t xml:space="preserve"> </w:t>
      </w:r>
      <w:r>
        <w:t>selection, considering ease of dismantling and disposal</w:t>
      </w:r>
      <w:r w:rsidR="0067073F" w:rsidRPr="003C140B">
        <w:t xml:space="preserve"> in the safest manner, </w:t>
      </w:r>
    </w:p>
    <w:p w14:paraId="57253048" w14:textId="77777777" w:rsidR="003C140B" w:rsidRDefault="0067073F" w:rsidP="003C140B">
      <w:pPr>
        <w:pStyle w:val="TSBullet1Square"/>
        <w:numPr>
          <w:ilvl w:val="0"/>
          <w:numId w:val="10"/>
        </w:numPr>
      </w:pPr>
      <w:r w:rsidRPr="003C140B">
        <w:t xml:space="preserve">whether the structure has been designed and detailed so that it can be easily decontaminated and dismantled, </w:t>
      </w:r>
    </w:p>
    <w:p w14:paraId="67D632D1" w14:textId="34F00B18" w:rsidR="0067073F" w:rsidRPr="003C140B" w:rsidRDefault="0067073F" w:rsidP="003C140B">
      <w:pPr>
        <w:pStyle w:val="TSBullet1Square"/>
        <w:numPr>
          <w:ilvl w:val="0"/>
          <w:numId w:val="10"/>
        </w:numPr>
      </w:pPr>
      <w:r w:rsidRPr="003C140B">
        <w:t xml:space="preserve">specific health and safety control measures identified and documented in the health and safety file for use at the decommissioning and dismantling phase, </w:t>
      </w:r>
      <w:r w:rsidR="003C140B">
        <w:t xml:space="preserve">adequacy of information for </w:t>
      </w:r>
      <w:r w:rsidRPr="003C140B">
        <w:t>advising constructors and future owners of assumptions associated with the design detail adopted and the as</w:t>
      </w:r>
      <w:r w:rsidR="003C140B">
        <w:t>-built status of the structure.</w:t>
      </w:r>
    </w:p>
    <w:p w14:paraId="3830BDFE" w14:textId="62B8958F" w:rsidR="000D7D35" w:rsidRPr="003C140B" w:rsidRDefault="003C140B" w:rsidP="002833AC">
      <w:pPr>
        <w:pStyle w:val="TSNumberedParagraph1"/>
        <w:numPr>
          <w:ilvl w:val="0"/>
          <w:numId w:val="12"/>
        </w:numPr>
        <w:spacing w:before="220"/>
      </w:pPr>
      <w:r>
        <w:t>T</w:t>
      </w:r>
      <w:r w:rsidR="00ED70EA" w:rsidRPr="003C140B">
        <w:t xml:space="preserve">he Inspector </w:t>
      </w:r>
      <w:r w:rsidR="00A639D9">
        <w:t>may wish to</w:t>
      </w:r>
      <w:r>
        <w:t xml:space="preserve"> </w:t>
      </w:r>
      <w:r w:rsidR="00ED70EA" w:rsidRPr="003C140B">
        <w:t>consider</w:t>
      </w:r>
      <w:r>
        <w:t xml:space="preserve"> whether</w:t>
      </w:r>
      <w:r w:rsidR="00ED70EA" w:rsidRPr="003C140B">
        <w:t xml:space="preserve"> on-going risks associated with the facility </w:t>
      </w:r>
      <w:r w:rsidR="002644C0">
        <w:t xml:space="preserve">have </w:t>
      </w:r>
      <w:r w:rsidR="00ED70EA" w:rsidRPr="003C140B">
        <w:t>been reduced to a level that can be demonstrated to be as</w:t>
      </w:r>
      <w:r>
        <w:t xml:space="preserve"> low as reasonably practicable. </w:t>
      </w:r>
      <w:r w:rsidR="000D7D35" w:rsidRPr="003C140B">
        <w:t xml:space="preserve">Where the potential consequences of an incident are significant, consideration of margins against failure due to extreme events and accidents should continue post operation. </w:t>
      </w:r>
    </w:p>
    <w:p w14:paraId="0C017DD2" w14:textId="74A8AD0D" w:rsidR="0067073F" w:rsidRDefault="0067073F" w:rsidP="0067073F">
      <w:pPr>
        <w:pStyle w:val="TSNumberedParagraph1"/>
        <w:numPr>
          <w:ilvl w:val="0"/>
          <w:numId w:val="12"/>
        </w:numPr>
        <w:spacing w:before="220"/>
      </w:pPr>
      <w:r w:rsidRPr="003C140B">
        <w:t>All relevant sections of the civil engineering construction principles should be applie</w:t>
      </w:r>
      <w:r w:rsidR="003C140B">
        <w:t xml:space="preserve">d to the demolition activities. </w:t>
      </w:r>
      <w:r w:rsidRPr="003C140B">
        <w:t>The temporary safety and stability of partly demolished structures shall be ensured.</w:t>
      </w:r>
      <w:r w:rsidR="00C23A33">
        <w:t xml:space="preserve"> The Inspector is reminded </w:t>
      </w:r>
      <w:r w:rsidR="00B4250B">
        <w:t>to consider areas</w:t>
      </w:r>
      <w:r w:rsidRPr="003C140B">
        <w:t xml:space="preserve"> where embedded energy (</w:t>
      </w:r>
      <w:r w:rsidR="00ED70EA" w:rsidRPr="003C140B">
        <w:t>e.g.</w:t>
      </w:r>
      <w:r w:rsidRPr="003C140B">
        <w:t xml:space="preserve"> pre-stress) </w:t>
      </w:r>
      <w:r w:rsidR="00B4250B">
        <w:t xml:space="preserve">may </w:t>
      </w:r>
      <w:r w:rsidRPr="003C140B">
        <w:t xml:space="preserve">need to be relieved. </w:t>
      </w:r>
    </w:p>
    <w:p w14:paraId="63BA67C0" w14:textId="6BDA6DAC" w:rsidR="003C140B" w:rsidRDefault="003C140B" w:rsidP="0067073F">
      <w:pPr>
        <w:pStyle w:val="TSNumberedParagraph1"/>
        <w:numPr>
          <w:ilvl w:val="0"/>
          <w:numId w:val="12"/>
        </w:numPr>
        <w:spacing w:before="220"/>
      </w:pPr>
      <w:r>
        <w:t>For guidance on deconstruction considerations, see also:</w:t>
      </w:r>
    </w:p>
    <w:p w14:paraId="012B0E90" w14:textId="1B0BAC1A" w:rsidR="003C140B" w:rsidRPr="003C140B" w:rsidRDefault="003C140B" w:rsidP="003C140B">
      <w:pPr>
        <w:pStyle w:val="TSBullet1Square"/>
        <w:numPr>
          <w:ilvl w:val="0"/>
          <w:numId w:val="10"/>
        </w:numPr>
      </w:pPr>
      <w:r>
        <w:t>TAG 17 A</w:t>
      </w:r>
      <w:r w:rsidR="00502424">
        <w:t>nnex 4</w:t>
      </w:r>
      <w:r w:rsidRPr="003C140B">
        <w:t xml:space="preserve"> “Civil Engineering – Construction Assurance”.</w:t>
      </w:r>
    </w:p>
    <w:p w14:paraId="3EC04C75" w14:textId="10FC8436" w:rsidR="0067073F" w:rsidRDefault="008F1520" w:rsidP="0067073F">
      <w:pPr>
        <w:pStyle w:val="TSNumberedParagraph1"/>
        <w:numPr>
          <w:ilvl w:val="0"/>
          <w:numId w:val="12"/>
        </w:numPr>
        <w:spacing w:before="220"/>
      </w:pPr>
      <w:r>
        <w:t>The Inspector may wish to consider how t</w:t>
      </w:r>
      <w:r w:rsidR="0067073F" w:rsidRPr="003C140B">
        <w:t xml:space="preserve">he effects of ageing and degradation </w:t>
      </w:r>
      <w:r>
        <w:t xml:space="preserve">have </w:t>
      </w:r>
      <w:r w:rsidR="0067073F" w:rsidRPr="003C140B">
        <w:t>be</w:t>
      </w:r>
      <w:r>
        <w:t>en</w:t>
      </w:r>
      <w:r w:rsidR="0067073F" w:rsidRPr="003C140B">
        <w:t xml:space="preserve"> adequately considered in the development of the demolition proposals, </w:t>
      </w:r>
      <w:r>
        <w:t xml:space="preserve">e.g. </w:t>
      </w:r>
      <w:r w:rsidR="0067073F" w:rsidRPr="003C140B">
        <w:t>with reference to the evidence held in historical</w:t>
      </w:r>
      <w:r w:rsidR="0066170C" w:rsidRPr="003C140B">
        <w:t xml:space="preserve"> examination, inspection, maintenance and testing (EIMT) </w:t>
      </w:r>
      <w:r w:rsidR="0067073F" w:rsidRPr="003C140B">
        <w:t xml:space="preserve">records, maintenance schedule records and </w:t>
      </w:r>
      <w:r w:rsidR="00B43BB1">
        <w:t xml:space="preserve">the </w:t>
      </w:r>
      <w:r w:rsidR="0067073F" w:rsidRPr="003C140B">
        <w:t>Health and Safety File.</w:t>
      </w:r>
      <w:r w:rsidR="00C54186">
        <w:t xml:space="preserve"> Th</w:t>
      </w:r>
      <w:r w:rsidR="002540BC">
        <w:t xml:space="preserve">e Inspector is reminded of the </w:t>
      </w:r>
      <w:r w:rsidR="00C54186">
        <w:t>expectations of ECE.</w:t>
      </w:r>
      <w:r w:rsidR="00EF42AE">
        <w:t xml:space="preserve">18 (considering that </w:t>
      </w:r>
      <w:r w:rsidR="001947F8">
        <w:t>‘construction’ includes decommissioning activities)</w:t>
      </w:r>
      <w:r w:rsidR="00D553FD">
        <w:t>, ECE.20</w:t>
      </w:r>
      <w:r w:rsidR="001947F8">
        <w:t xml:space="preserve"> and ECE.26 (see also WENRA </w:t>
      </w:r>
      <w:r w:rsidR="00275E6E">
        <w:t>Safety Reference Level DE-43</w:t>
      </w:r>
      <w:r w:rsidR="00D11433">
        <w:t xml:space="preserve"> and </w:t>
      </w:r>
      <w:r w:rsidR="00AC3934">
        <w:t>DE-4</w:t>
      </w:r>
      <w:r w:rsidR="00D11433">
        <w:t>4</w:t>
      </w:r>
      <w:r w:rsidR="002540BC">
        <w:t>)</w:t>
      </w:r>
      <w:r w:rsidR="00AC3934">
        <w:t>.</w:t>
      </w:r>
    </w:p>
    <w:p w14:paraId="18B29DC6" w14:textId="6C63C77A" w:rsidR="00502424" w:rsidRDefault="00502424" w:rsidP="00502424">
      <w:pPr>
        <w:pStyle w:val="TSNumberedParagraph1"/>
        <w:numPr>
          <w:ilvl w:val="0"/>
          <w:numId w:val="12"/>
        </w:numPr>
        <w:spacing w:before="220"/>
      </w:pPr>
      <w:r>
        <w:t>For guidance on ageing and damaged structures, see also:</w:t>
      </w:r>
    </w:p>
    <w:p w14:paraId="175B7DB0" w14:textId="7AC61914" w:rsidR="00502424" w:rsidRPr="003C140B" w:rsidRDefault="00502424" w:rsidP="00502424">
      <w:pPr>
        <w:pStyle w:val="TSBullet1Square"/>
        <w:numPr>
          <w:ilvl w:val="0"/>
          <w:numId w:val="10"/>
        </w:numPr>
      </w:pPr>
      <w:r>
        <w:t>TAG 17 A</w:t>
      </w:r>
      <w:r w:rsidRPr="003C140B">
        <w:t xml:space="preserve">nnex </w:t>
      </w:r>
      <w:r>
        <w:t>5</w:t>
      </w:r>
      <w:r w:rsidRPr="003C140B">
        <w:t xml:space="preserve"> </w:t>
      </w:r>
      <w:r w:rsidR="009524E8">
        <w:t>‘</w:t>
      </w:r>
      <w:r w:rsidR="009524E8" w:rsidRPr="000F2702">
        <w:t xml:space="preserve">Civil Engineering – </w:t>
      </w:r>
      <w:r w:rsidR="009524E8">
        <w:t>Ageing Management and Damaged Structures’</w:t>
      </w:r>
      <w:r w:rsidRPr="003C140B">
        <w:t>.</w:t>
      </w:r>
    </w:p>
    <w:p w14:paraId="68E942B3" w14:textId="77777777" w:rsidR="00842781" w:rsidRDefault="00842781">
      <w:pPr>
        <w:rPr>
          <w:rFonts w:ascii="Arial Bold" w:hAnsi="Arial Bold"/>
          <w:b/>
        </w:rPr>
      </w:pPr>
      <w:r>
        <w:rPr>
          <w:caps/>
        </w:rPr>
        <w:br w:type="page"/>
      </w:r>
    </w:p>
    <w:p w14:paraId="09ED66C6" w14:textId="2DDF41BA" w:rsidR="003C140B" w:rsidRPr="00133AEF" w:rsidRDefault="003C140B" w:rsidP="003C140B">
      <w:pPr>
        <w:pStyle w:val="TSHeadingNumbered1"/>
        <w:numPr>
          <w:ilvl w:val="2"/>
          <w:numId w:val="11"/>
        </w:numPr>
        <w:tabs>
          <w:tab w:val="clear" w:pos="-31680"/>
        </w:tabs>
        <w:spacing w:before="240"/>
        <w:rPr>
          <w:caps w:val="0"/>
        </w:rPr>
      </w:pPr>
      <w:bookmarkStart w:id="48" w:name="_Toc57895883"/>
      <w:r>
        <w:rPr>
          <w:caps w:val="0"/>
        </w:rPr>
        <w:lastRenderedPageBreak/>
        <w:t xml:space="preserve">Duty holder </w:t>
      </w:r>
      <w:r w:rsidRPr="00133AEF">
        <w:rPr>
          <w:caps w:val="0"/>
        </w:rPr>
        <w:t>Decision making</w:t>
      </w:r>
      <w:bookmarkEnd w:id="48"/>
    </w:p>
    <w:p w14:paraId="08251DFC" w14:textId="4E467344" w:rsidR="00FC530F" w:rsidRDefault="003C140B" w:rsidP="003C140B">
      <w:pPr>
        <w:pStyle w:val="TSNumberedParagraph1"/>
        <w:numPr>
          <w:ilvl w:val="0"/>
          <w:numId w:val="12"/>
        </w:numPr>
        <w:spacing w:before="220"/>
      </w:pPr>
      <w:r>
        <w:t xml:space="preserve">When an inventory of nuclear material is present on a site, the most significant risk that is considered during decision making (be it optioneering or ALARP arguments) is usually the radiological risk and the possible doses to employees and the public. If this inventory is reduced (by removing the fuel from a power reactor, for example) then it may not be appropriate to make decisions based on dose alone. On a de-fuelled power reactor site, asbestos might be the most significant hazard. The Inspector should consider </w:t>
      </w:r>
      <w:r w:rsidR="00B43BB1">
        <w:t xml:space="preserve">SAP </w:t>
      </w:r>
      <w:r>
        <w:t xml:space="preserve">MS.3 when assessing decision making, which expects safety to be given a high priority which should be evident in all </w:t>
      </w:r>
      <w:r w:rsidR="00674547">
        <w:t>decision-making</w:t>
      </w:r>
      <w:r>
        <w:t xml:space="preserve"> processes. For all phases after </w:t>
      </w:r>
      <w:r w:rsidR="00B43BB1">
        <w:t>the facility</w:t>
      </w:r>
      <w:r>
        <w:t xml:space="preserve"> has ceased operating, there </w:t>
      </w:r>
      <w:r w:rsidR="00B43BB1">
        <w:t>should</w:t>
      </w:r>
      <w:r>
        <w:t xml:space="preserve"> be an increase in optioneering and </w:t>
      </w:r>
      <w:r w:rsidR="00674547">
        <w:t>decision-making</w:t>
      </w:r>
      <w:r>
        <w:t xml:space="preserve"> activities around civil engineering works that will impact safety. </w:t>
      </w:r>
    </w:p>
    <w:p w14:paraId="5EC43704" w14:textId="5565AB6F" w:rsidR="00375427" w:rsidRDefault="00882A86" w:rsidP="009027DF">
      <w:pPr>
        <w:pStyle w:val="TSNumberedParagraph1"/>
        <w:numPr>
          <w:ilvl w:val="0"/>
          <w:numId w:val="12"/>
        </w:numPr>
        <w:spacing w:before="220"/>
      </w:pPr>
      <w:r>
        <w:t xml:space="preserve">The Inspector may wish to consider the decisions made </w:t>
      </w:r>
      <w:r w:rsidR="00A90B48">
        <w:t xml:space="preserve">regarding assessment </w:t>
      </w:r>
      <w:r w:rsidR="00375427">
        <w:t xml:space="preserve">and categorisation </w:t>
      </w:r>
      <w:r w:rsidR="00E30F0A">
        <w:t xml:space="preserve">(SC.1) </w:t>
      </w:r>
      <w:r w:rsidR="00A90B48">
        <w:t xml:space="preserve">of decommissioning activities </w:t>
      </w:r>
      <w:r w:rsidR="00E30F0A">
        <w:t xml:space="preserve">and the impact on </w:t>
      </w:r>
      <w:r w:rsidR="00A90B48">
        <w:t xml:space="preserve">safety e.g. </w:t>
      </w:r>
      <w:r w:rsidR="00FC530F">
        <w:t xml:space="preserve">timing of </w:t>
      </w:r>
      <w:r w:rsidR="00A90B48">
        <w:t xml:space="preserve">decommissioning activities </w:t>
      </w:r>
      <w:r w:rsidR="00FC530F">
        <w:t>which might adversely affect the safety of each other if undertaken in parallel</w:t>
      </w:r>
      <w:r w:rsidR="00E30F0A">
        <w:t xml:space="preserve">. The Inspector may wish to seek assurance that </w:t>
      </w:r>
      <w:r w:rsidR="00A8084B">
        <w:t xml:space="preserve">assessment of faults or events that are </w:t>
      </w:r>
      <w:r w:rsidR="00375427">
        <w:t>included in the safety case</w:t>
      </w:r>
      <w:r w:rsidR="00E30F0A">
        <w:t xml:space="preserve"> were considered in the assessment</w:t>
      </w:r>
      <w:r w:rsidR="00FC530F">
        <w:t>.</w:t>
      </w:r>
      <w:r w:rsidR="00375427">
        <w:t xml:space="preserve"> (see also WENRA Safety Reference Level DE-46</w:t>
      </w:r>
      <w:r w:rsidR="000F440F">
        <w:t xml:space="preserve"> and 47</w:t>
      </w:r>
      <w:r w:rsidR="00375427">
        <w:t>)</w:t>
      </w:r>
      <w:r w:rsidR="004269C2">
        <w:t>. See also Section 2.7 regarding timing of decommissioning activities and considerations for deferment of activities.</w:t>
      </w:r>
    </w:p>
    <w:p w14:paraId="738C7EF0" w14:textId="7916122D" w:rsidR="003C140B" w:rsidRDefault="003C140B">
      <w:pPr>
        <w:pStyle w:val="TSNumberedParagraph1"/>
        <w:numPr>
          <w:ilvl w:val="0"/>
          <w:numId w:val="12"/>
        </w:numPr>
        <w:spacing w:before="220"/>
      </w:pPr>
      <w:r>
        <w:t xml:space="preserve">The Inspector </w:t>
      </w:r>
      <w:r w:rsidR="00A639D9">
        <w:t>may wish to</w:t>
      </w:r>
      <w:r>
        <w:t xml:space="preserve"> </w:t>
      </w:r>
      <w:r w:rsidR="00507C0C">
        <w:t>seek assurance that</w:t>
      </w:r>
      <w:r>
        <w:t xml:space="preserve"> the </w:t>
      </w:r>
      <w:proofErr w:type="spellStart"/>
      <w:r>
        <w:t>dutyholder</w:t>
      </w:r>
      <w:proofErr w:type="spellEnd"/>
      <w:r>
        <w:t xml:space="preserve"> has included wider consequences of failure, </w:t>
      </w:r>
      <w:r w:rsidR="00B43BB1">
        <w:t>beyond</w:t>
      </w:r>
      <w:r>
        <w:t xml:space="preserve"> radiological dose, such as conventional health and safety factors, and the strategic factors of reputational risk, and remediation costs.</w:t>
      </w:r>
      <w:r w:rsidR="003C2342" w:rsidRPr="003C2342">
        <w:t xml:space="preserve"> </w:t>
      </w:r>
      <w:r w:rsidR="003C2342">
        <w:t xml:space="preserve">The Inspector </w:t>
      </w:r>
      <w:r w:rsidR="00A639D9">
        <w:t>may wish to</w:t>
      </w:r>
      <w:r w:rsidR="003C2342">
        <w:t xml:space="preserve"> </w:t>
      </w:r>
      <w:r w:rsidR="00101203">
        <w:t>seek assurance</w:t>
      </w:r>
      <w:r w:rsidR="003C2342">
        <w:t xml:space="preserve"> that particular factors are not unduly weighted when considering options.</w:t>
      </w:r>
    </w:p>
    <w:p w14:paraId="6FEEA230" w14:textId="070F2C9B" w:rsidR="003C140B" w:rsidRPr="002B1AA5" w:rsidRDefault="003C140B" w:rsidP="003C140B">
      <w:pPr>
        <w:pStyle w:val="TSNumberedParagraph1"/>
        <w:numPr>
          <w:ilvl w:val="0"/>
          <w:numId w:val="12"/>
        </w:numPr>
        <w:spacing w:before="220"/>
        <w:rPr>
          <w:iCs/>
        </w:rPr>
      </w:pPr>
      <w:r w:rsidRPr="002B1AA5">
        <w:rPr>
          <w:iCs/>
        </w:rPr>
        <w:t xml:space="preserve">For further guidance </w:t>
      </w:r>
      <w:r w:rsidR="007405B1" w:rsidRPr="002B1AA5">
        <w:rPr>
          <w:iCs/>
        </w:rPr>
        <w:t xml:space="preserve">on </w:t>
      </w:r>
      <w:r w:rsidRPr="002B1AA5">
        <w:rPr>
          <w:iCs/>
        </w:rPr>
        <w:t>ALARP and ri</w:t>
      </w:r>
      <w:r w:rsidR="00B43BB1" w:rsidRPr="002B1AA5">
        <w:rPr>
          <w:iCs/>
        </w:rPr>
        <w:t>sks in design optioneering, see</w:t>
      </w:r>
      <w:r w:rsidRPr="002B1AA5">
        <w:rPr>
          <w:iCs/>
        </w:rPr>
        <w:t>:</w:t>
      </w:r>
      <w:r w:rsidRPr="002B1AA5">
        <w:t xml:space="preserve"> </w:t>
      </w:r>
    </w:p>
    <w:p w14:paraId="30D105F2" w14:textId="2CE1B423" w:rsidR="003C140B" w:rsidRPr="002B1AA5" w:rsidRDefault="003C140B" w:rsidP="003C140B">
      <w:pPr>
        <w:pStyle w:val="TSNumberedParagraph1"/>
        <w:numPr>
          <w:ilvl w:val="0"/>
          <w:numId w:val="10"/>
        </w:numPr>
        <w:spacing w:after="0"/>
        <w:jc w:val="both"/>
        <w:rPr>
          <w:iCs/>
        </w:rPr>
      </w:pPr>
      <w:r w:rsidRPr="002B1AA5">
        <w:rPr>
          <w:iCs/>
        </w:rPr>
        <w:t>TAG 17 Annex 1 ‘Civil Engineering – Design’</w:t>
      </w:r>
      <w:r w:rsidR="007405B1" w:rsidRPr="002B1AA5">
        <w:rPr>
          <w:iCs/>
        </w:rPr>
        <w:t>,</w:t>
      </w:r>
    </w:p>
    <w:p w14:paraId="5DDDEE27" w14:textId="2552DABA" w:rsidR="003C140B" w:rsidRPr="002B1AA5" w:rsidRDefault="00EE520B" w:rsidP="003C140B">
      <w:pPr>
        <w:pStyle w:val="TSBullet1Square"/>
        <w:numPr>
          <w:ilvl w:val="0"/>
          <w:numId w:val="10"/>
        </w:numPr>
      </w:pPr>
      <w:r>
        <w:rPr>
          <w:lang w:eastAsia="en-GB"/>
        </w:rPr>
        <w:t>ONR-</w:t>
      </w:r>
      <w:r w:rsidR="003C140B" w:rsidRPr="002B1AA5">
        <w:t xml:space="preserve">NS-TAST-GD-005 ‘Demonstration of ALARP (As Low </w:t>
      </w:r>
      <w:r w:rsidR="00674547" w:rsidRPr="002B1AA5">
        <w:t>as</w:t>
      </w:r>
      <w:r w:rsidR="003C140B" w:rsidRPr="002B1AA5">
        <w:t xml:space="preserve"> Reasonably Practicable)’</w:t>
      </w:r>
      <w:r w:rsidR="007405B1" w:rsidRPr="002B1AA5">
        <w:t>.</w:t>
      </w:r>
    </w:p>
    <w:p w14:paraId="2E103645" w14:textId="77777777" w:rsidR="00281713" w:rsidRPr="002B1AA5" w:rsidRDefault="00281713" w:rsidP="00281713">
      <w:pPr>
        <w:pStyle w:val="TSHeadingNumbered1"/>
        <w:numPr>
          <w:ilvl w:val="1"/>
          <w:numId w:val="11"/>
        </w:numPr>
        <w:tabs>
          <w:tab w:val="clear" w:pos="-31680"/>
        </w:tabs>
        <w:spacing w:before="240"/>
        <w:rPr>
          <w:caps w:val="0"/>
        </w:rPr>
      </w:pPr>
      <w:bookmarkStart w:id="49" w:name="_Toc57895884"/>
      <w:r w:rsidRPr="002B1AA5">
        <w:rPr>
          <w:caps w:val="0"/>
        </w:rPr>
        <w:t>Management Arrangements and Systems</w:t>
      </w:r>
      <w:bookmarkEnd w:id="49"/>
    </w:p>
    <w:p w14:paraId="3B7956BC" w14:textId="71E9E428" w:rsidR="00150A69" w:rsidRPr="007405B1" w:rsidRDefault="00281713" w:rsidP="00281713">
      <w:pPr>
        <w:pStyle w:val="TSNumberedParagraph1"/>
        <w:numPr>
          <w:ilvl w:val="0"/>
          <w:numId w:val="12"/>
        </w:numPr>
        <w:spacing w:before="220"/>
        <w:rPr>
          <w:iCs/>
        </w:rPr>
      </w:pPr>
      <w:r w:rsidRPr="002B1AA5">
        <w:rPr>
          <w:iCs/>
        </w:rPr>
        <w:t>WENRA Safety Reference Level DE-13 states the requirement of management systems to achieve goals, with work being performed under controlled</w:t>
      </w:r>
      <w:r>
        <w:rPr>
          <w:iCs/>
        </w:rPr>
        <w:t xml:space="preserve"> conditions, using approved current procedures, instructions, drawings or other appropriate means that are periodically reviewed to ensure their adequacy and effectiveness. </w:t>
      </w:r>
      <w:r w:rsidR="00502424">
        <w:rPr>
          <w:iCs/>
        </w:rPr>
        <w:t xml:space="preserve">WENRA Safety Reference Level DE-14 states the types of documentation a management system should include. </w:t>
      </w:r>
      <w:r w:rsidR="007405B1">
        <w:rPr>
          <w:iCs/>
        </w:rPr>
        <w:t>SAP DC.8 expects</w:t>
      </w:r>
      <w:r w:rsidR="00150A69">
        <w:rPr>
          <w:iCs/>
        </w:rPr>
        <w:t xml:space="preserve"> a management system to be in place for decommissioning, reviewed periodically and modified as necessary prior to an</w:t>
      </w:r>
      <w:r w:rsidR="00502424">
        <w:rPr>
          <w:iCs/>
        </w:rPr>
        <w:t>d</w:t>
      </w:r>
      <w:r w:rsidR="00150A69">
        <w:rPr>
          <w:iCs/>
        </w:rPr>
        <w:t xml:space="preserve"> during decomm</w:t>
      </w:r>
      <w:r w:rsidR="00101203">
        <w:rPr>
          <w:iCs/>
        </w:rPr>
        <w:t>issioning. The Inspector</w:t>
      </w:r>
      <w:r w:rsidR="00150A69">
        <w:rPr>
          <w:iCs/>
        </w:rPr>
        <w:t xml:space="preserve"> </w:t>
      </w:r>
      <w:r w:rsidR="00101203">
        <w:rPr>
          <w:iCs/>
        </w:rPr>
        <w:t xml:space="preserve">may wish to seek assurance with the adequacy of </w:t>
      </w:r>
      <w:r w:rsidR="00150A69">
        <w:rPr>
          <w:iCs/>
        </w:rPr>
        <w:t xml:space="preserve">the management of safety functions categorisation of </w:t>
      </w:r>
      <w:r w:rsidR="007405B1">
        <w:t>SSCs</w:t>
      </w:r>
      <w:r w:rsidR="00DF303A">
        <w:t xml:space="preserve"> </w:t>
      </w:r>
      <w:r w:rsidR="00150A69">
        <w:rPr>
          <w:iCs/>
        </w:rPr>
        <w:t xml:space="preserve">and </w:t>
      </w:r>
      <w:r w:rsidR="00DF303A">
        <w:rPr>
          <w:iCs/>
        </w:rPr>
        <w:t>examination, inspection, maintenance and testing (</w:t>
      </w:r>
      <w:r w:rsidR="00150A69">
        <w:rPr>
          <w:iCs/>
        </w:rPr>
        <w:t>EIMT</w:t>
      </w:r>
      <w:r w:rsidR="00DF303A">
        <w:rPr>
          <w:iCs/>
        </w:rPr>
        <w:t>)</w:t>
      </w:r>
      <w:r w:rsidR="00150A69">
        <w:rPr>
          <w:iCs/>
        </w:rPr>
        <w:t xml:space="preserve"> activities in particular</w:t>
      </w:r>
      <w:r w:rsidR="002D7EFA">
        <w:rPr>
          <w:iCs/>
        </w:rPr>
        <w:t xml:space="preserve"> </w:t>
      </w:r>
      <w:r w:rsidR="000A3ED2">
        <w:rPr>
          <w:iCs/>
        </w:rPr>
        <w:t>SAP</w:t>
      </w:r>
      <w:r w:rsidR="00150A69">
        <w:rPr>
          <w:iCs/>
        </w:rPr>
        <w:t xml:space="preserve"> </w:t>
      </w:r>
      <w:r w:rsidR="00502424">
        <w:rPr>
          <w:iCs/>
        </w:rPr>
        <w:t xml:space="preserve">ECE.17 </w:t>
      </w:r>
      <w:r w:rsidR="007405B1">
        <w:rPr>
          <w:iCs/>
        </w:rPr>
        <w:t>establishes</w:t>
      </w:r>
      <w:r w:rsidR="00502424">
        <w:rPr>
          <w:iCs/>
        </w:rPr>
        <w:t xml:space="preserve"> the expectation that a quality management system will be in place for construction </w:t>
      </w:r>
      <w:r w:rsidR="00502424" w:rsidRPr="007405B1">
        <w:rPr>
          <w:iCs/>
        </w:rPr>
        <w:t>activities.</w:t>
      </w:r>
      <w:r w:rsidR="007405B1" w:rsidRPr="007405B1">
        <w:rPr>
          <w:iCs/>
        </w:rPr>
        <w:t xml:space="preserve"> </w:t>
      </w:r>
      <w:r w:rsidR="00DF7A1A">
        <w:rPr>
          <w:iCs/>
        </w:rPr>
        <w:t>In this context, ‘construction’ includes</w:t>
      </w:r>
      <w:r w:rsidR="007405B1" w:rsidRPr="007405B1">
        <w:rPr>
          <w:iCs/>
        </w:rPr>
        <w:t xml:space="preserve"> decommissioning activities.</w:t>
      </w:r>
    </w:p>
    <w:p w14:paraId="63E05DAD" w14:textId="62F2A810" w:rsidR="00502424" w:rsidRDefault="00531EAE" w:rsidP="00281713">
      <w:pPr>
        <w:pStyle w:val="TSNumberedParagraph1"/>
        <w:numPr>
          <w:ilvl w:val="0"/>
          <w:numId w:val="12"/>
        </w:numPr>
        <w:spacing w:before="220"/>
        <w:rPr>
          <w:iCs/>
        </w:rPr>
      </w:pPr>
      <w:r>
        <w:rPr>
          <w:iCs/>
        </w:rPr>
        <w:t xml:space="preserve">Requirement 6 of </w:t>
      </w:r>
      <w:r w:rsidR="00502424" w:rsidRPr="007405B1">
        <w:rPr>
          <w:iCs/>
        </w:rPr>
        <w:t>IAEA GS</w:t>
      </w:r>
      <w:r w:rsidR="00281713" w:rsidRPr="007405B1">
        <w:rPr>
          <w:iCs/>
        </w:rPr>
        <w:t>R</w:t>
      </w:r>
      <w:r w:rsidR="00502424" w:rsidRPr="007405B1">
        <w:rPr>
          <w:iCs/>
        </w:rPr>
        <w:t xml:space="preserve"> Part</w:t>
      </w:r>
      <w:r w:rsidR="00716A23">
        <w:rPr>
          <w:iCs/>
        </w:rPr>
        <w:t xml:space="preserve"> 2</w:t>
      </w:r>
      <w:r w:rsidR="00281713" w:rsidRPr="007405B1">
        <w:rPr>
          <w:iCs/>
        </w:rPr>
        <w:t xml:space="preserve"> </w:t>
      </w:r>
      <w:r>
        <w:rPr>
          <w:iCs/>
        </w:rPr>
        <w:t>(</w:t>
      </w:r>
      <w:r w:rsidR="00281713" w:rsidRPr="007405B1">
        <w:rPr>
          <w:iCs/>
        </w:rPr>
        <w:t>para</w:t>
      </w:r>
      <w:r w:rsidR="00DE0D56">
        <w:rPr>
          <w:iCs/>
        </w:rPr>
        <w:t>graph</w:t>
      </w:r>
      <w:r w:rsidR="00281713" w:rsidRPr="007405B1">
        <w:rPr>
          <w:iCs/>
        </w:rPr>
        <w:t xml:space="preserve"> </w:t>
      </w:r>
      <w:r w:rsidR="00D4739B">
        <w:rPr>
          <w:iCs/>
        </w:rPr>
        <w:t>4.8</w:t>
      </w:r>
      <w:r>
        <w:rPr>
          <w:iCs/>
        </w:rPr>
        <w:t>)</w:t>
      </w:r>
      <w:r w:rsidR="002D7EFA">
        <w:rPr>
          <w:iCs/>
        </w:rPr>
        <w:t xml:space="preserve"> [</w:t>
      </w:r>
      <w:r w:rsidR="00EE02E8">
        <w:rPr>
          <w:iCs/>
        </w:rPr>
        <w:t>4]</w:t>
      </w:r>
      <w:r w:rsidR="00281713" w:rsidRPr="007405B1">
        <w:rPr>
          <w:iCs/>
        </w:rPr>
        <w:t xml:space="preserve"> goes further</w:t>
      </w:r>
      <w:r w:rsidR="00150A69" w:rsidRPr="007405B1">
        <w:rPr>
          <w:iCs/>
        </w:rPr>
        <w:t xml:space="preserve"> still</w:t>
      </w:r>
      <w:r w:rsidR="00281713" w:rsidRPr="007405B1">
        <w:rPr>
          <w:iCs/>
        </w:rPr>
        <w:t xml:space="preserve">, by stating that processes of the management system will be </w:t>
      </w:r>
      <w:r w:rsidR="00150A69" w:rsidRPr="007405B1">
        <w:rPr>
          <w:iCs/>
        </w:rPr>
        <w:t>“</w:t>
      </w:r>
      <w:r w:rsidR="00281713" w:rsidRPr="007405B1">
        <w:rPr>
          <w:iCs/>
        </w:rPr>
        <w:t>continu</w:t>
      </w:r>
      <w:r w:rsidR="00D4739B">
        <w:rPr>
          <w:iCs/>
        </w:rPr>
        <w:t>ously</w:t>
      </w:r>
      <w:r w:rsidR="00281713" w:rsidRPr="007405B1">
        <w:rPr>
          <w:iCs/>
        </w:rPr>
        <w:t xml:space="preserve"> improved</w:t>
      </w:r>
      <w:r w:rsidR="00150A69" w:rsidRPr="007405B1">
        <w:rPr>
          <w:iCs/>
        </w:rPr>
        <w:t xml:space="preserve">”, which is captured in </w:t>
      </w:r>
      <w:r w:rsidR="007405B1" w:rsidRPr="007405B1">
        <w:rPr>
          <w:iCs/>
        </w:rPr>
        <w:t xml:space="preserve">SAP </w:t>
      </w:r>
      <w:r w:rsidR="00150A69" w:rsidRPr="007405B1">
        <w:rPr>
          <w:iCs/>
        </w:rPr>
        <w:t>MS.4 regarding lessons learnt to continually improve the management system</w:t>
      </w:r>
      <w:r w:rsidR="00281713" w:rsidRPr="007405B1">
        <w:rPr>
          <w:iCs/>
        </w:rPr>
        <w:t>.</w:t>
      </w:r>
      <w:r w:rsidR="00150A69" w:rsidRPr="007405B1">
        <w:rPr>
          <w:iCs/>
        </w:rPr>
        <w:t xml:space="preserve"> The Inspector </w:t>
      </w:r>
      <w:r w:rsidR="00A639D9">
        <w:t>may wish to</w:t>
      </w:r>
      <w:r w:rsidR="00150A69" w:rsidRPr="007405B1">
        <w:rPr>
          <w:iCs/>
        </w:rPr>
        <w:t xml:space="preserve"> </w:t>
      </w:r>
      <w:r w:rsidR="00507C0C">
        <w:rPr>
          <w:iCs/>
        </w:rPr>
        <w:t>seek assurance that</w:t>
      </w:r>
      <w:r w:rsidR="00150A69" w:rsidRPr="007405B1">
        <w:rPr>
          <w:iCs/>
        </w:rPr>
        <w:t xml:space="preserve"> the duty holder seeks learning, through collation of learning from a range of sources internal to the duty holder, active and systematic collation of information from external sources, and with suitable analysis to identify trends or issues. </w:t>
      </w:r>
      <w:r w:rsidR="00755555">
        <w:rPr>
          <w:iCs/>
        </w:rPr>
        <w:t xml:space="preserve">The Inspector may wish to seek assurance that the </w:t>
      </w:r>
      <w:proofErr w:type="spellStart"/>
      <w:r w:rsidR="00755555">
        <w:rPr>
          <w:iCs/>
        </w:rPr>
        <w:t>dutyholder</w:t>
      </w:r>
      <w:proofErr w:type="spellEnd"/>
      <w:r w:rsidR="00755555">
        <w:rPr>
          <w:iCs/>
        </w:rPr>
        <w:t xml:space="preserve"> is demonstrating l</w:t>
      </w:r>
      <w:r w:rsidR="00150A69" w:rsidRPr="007405B1">
        <w:rPr>
          <w:iCs/>
        </w:rPr>
        <w:t>earning</w:t>
      </w:r>
      <w:r w:rsidR="00150A69">
        <w:rPr>
          <w:iCs/>
        </w:rPr>
        <w:t xml:space="preserve"> lessons from the nuclear </w:t>
      </w:r>
      <w:r w:rsidR="00150A69">
        <w:rPr>
          <w:iCs/>
        </w:rPr>
        <w:lastRenderedPageBreak/>
        <w:t xml:space="preserve">industry and the wider civil engineering industry in </w:t>
      </w:r>
      <w:r w:rsidR="00555C16">
        <w:rPr>
          <w:iCs/>
        </w:rPr>
        <w:t xml:space="preserve">all </w:t>
      </w:r>
      <w:r w:rsidR="00B4250B">
        <w:rPr>
          <w:iCs/>
        </w:rPr>
        <w:t xml:space="preserve">construction activities including </w:t>
      </w:r>
      <w:r w:rsidR="00150A69">
        <w:rPr>
          <w:iCs/>
        </w:rPr>
        <w:t xml:space="preserve">decommissioning. </w:t>
      </w:r>
    </w:p>
    <w:p w14:paraId="6313B2C8" w14:textId="1AEB9BA6" w:rsidR="00502424" w:rsidRDefault="00150A69" w:rsidP="00281713">
      <w:pPr>
        <w:pStyle w:val="TSNumberedParagraph1"/>
        <w:numPr>
          <w:ilvl w:val="0"/>
          <w:numId w:val="12"/>
        </w:numPr>
        <w:spacing w:before="220"/>
        <w:rPr>
          <w:iCs/>
        </w:rPr>
      </w:pPr>
      <w:r>
        <w:rPr>
          <w:iCs/>
        </w:rPr>
        <w:t xml:space="preserve">Decommissioning tasks can be standard practice in the wider industry, but it is the associated </w:t>
      </w:r>
      <w:r w:rsidR="007405B1">
        <w:rPr>
          <w:iCs/>
        </w:rPr>
        <w:t>nuclear hazards</w:t>
      </w:r>
      <w:r>
        <w:rPr>
          <w:iCs/>
        </w:rPr>
        <w:t xml:space="preserve"> that are unique to the nuclear industry. </w:t>
      </w:r>
      <w:r w:rsidR="00DF303A">
        <w:rPr>
          <w:iCs/>
        </w:rPr>
        <w:t>The Inspector</w:t>
      </w:r>
      <w:r w:rsidR="007743E7">
        <w:rPr>
          <w:iCs/>
        </w:rPr>
        <w:t xml:space="preserve"> may wish to seek assurance as to </w:t>
      </w:r>
      <w:r w:rsidR="00502424">
        <w:rPr>
          <w:iCs/>
        </w:rPr>
        <w:t xml:space="preserve">how </w:t>
      </w:r>
      <w:r w:rsidR="00DF303A">
        <w:rPr>
          <w:iCs/>
        </w:rPr>
        <w:t xml:space="preserve">relevant operational experience (OPEX) </w:t>
      </w:r>
      <w:r w:rsidR="00502424">
        <w:rPr>
          <w:iCs/>
        </w:rPr>
        <w:t xml:space="preserve">is used on the site, as </w:t>
      </w:r>
      <w:r w:rsidR="00DF303A">
        <w:rPr>
          <w:iCs/>
        </w:rPr>
        <w:t>l</w:t>
      </w:r>
      <w:r>
        <w:rPr>
          <w:iCs/>
        </w:rPr>
        <w:t>earning from others can reduce risks if the relevant learning is implemented appropriately. There is limited industry experience in certain tasks associated with nuclear safety after sites have ceased operation, so the Inspector</w:t>
      </w:r>
      <w:r w:rsidR="001E0CC6">
        <w:rPr>
          <w:iCs/>
        </w:rPr>
        <w:t xml:space="preserve"> may wish to</w:t>
      </w:r>
      <w:r>
        <w:rPr>
          <w:iCs/>
        </w:rPr>
        <w:t xml:space="preserve"> consider the risks and the ALARP principle when assessing works that are novel.</w:t>
      </w:r>
      <w:r w:rsidR="00502424">
        <w:rPr>
          <w:iCs/>
        </w:rPr>
        <w:t xml:space="preserve"> </w:t>
      </w:r>
    </w:p>
    <w:p w14:paraId="35219B71" w14:textId="053406B5" w:rsidR="00502424" w:rsidRDefault="00502424" w:rsidP="00502424">
      <w:pPr>
        <w:pStyle w:val="TSNumberedParagraph1"/>
        <w:numPr>
          <w:ilvl w:val="0"/>
          <w:numId w:val="12"/>
        </w:numPr>
        <w:spacing w:before="220"/>
        <w:rPr>
          <w:iCs/>
        </w:rPr>
      </w:pPr>
      <w:r>
        <w:rPr>
          <w:iCs/>
        </w:rPr>
        <w:t>Further to this, the Inspector should expect a ‘challenge culture’ on the site, where the management arrangements facilitate a questioning attitude, i</w:t>
      </w:r>
      <w:r w:rsidR="00A63F05">
        <w:rPr>
          <w:iCs/>
        </w:rPr>
        <w:t>n line with the expectations of</w:t>
      </w:r>
      <w:r>
        <w:rPr>
          <w:iCs/>
        </w:rPr>
        <w:t>:</w:t>
      </w:r>
    </w:p>
    <w:p w14:paraId="543F52DE" w14:textId="7D767400" w:rsidR="00502424" w:rsidRPr="00124EE9" w:rsidRDefault="00EE520B" w:rsidP="00124EE9">
      <w:pPr>
        <w:pStyle w:val="TSNumberedParagraph1"/>
        <w:numPr>
          <w:ilvl w:val="0"/>
          <w:numId w:val="10"/>
        </w:numPr>
        <w:spacing w:after="0"/>
        <w:jc w:val="both"/>
        <w:rPr>
          <w:iCs/>
        </w:rPr>
      </w:pPr>
      <w:r>
        <w:rPr>
          <w:lang w:eastAsia="en-GB"/>
        </w:rPr>
        <w:t>ONR-</w:t>
      </w:r>
      <w:r w:rsidR="00502424" w:rsidRPr="00124EE9">
        <w:rPr>
          <w:iCs/>
        </w:rPr>
        <w:t>NS-TAST-GD-080 ‘Challenge Culture Capability (including an Internal Regulation function), and the provision of Nuclear Safety Advice’</w:t>
      </w:r>
      <w:r w:rsidR="00A63F05">
        <w:rPr>
          <w:iCs/>
        </w:rPr>
        <w:t>.</w:t>
      </w:r>
    </w:p>
    <w:p w14:paraId="571248F8" w14:textId="69825D59" w:rsidR="00D248A6" w:rsidRPr="00133AEF" w:rsidRDefault="00D248A6" w:rsidP="00502424">
      <w:pPr>
        <w:pStyle w:val="TSHeadingNumbered1"/>
        <w:numPr>
          <w:ilvl w:val="1"/>
          <w:numId w:val="11"/>
        </w:numPr>
        <w:tabs>
          <w:tab w:val="clear" w:pos="-31680"/>
        </w:tabs>
        <w:spacing w:before="240"/>
        <w:rPr>
          <w:caps w:val="0"/>
        </w:rPr>
      </w:pPr>
      <w:bookmarkStart w:id="50" w:name="_Toc57895885"/>
      <w:r w:rsidRPr="00133AEF">
        <w:rPr>
          <w:caps w:val="0"/>
        </w:rPr>
        <w:t>Record</w:t>
      </w:r>
      <w:r w:rsidR="00DC4D54">
        <w:rPr>
          <w:caps w:val="0"/>
        </w:rPr>
        <w:t>s</w:t>
      </w:r>
      <w:r w:rsidRPr="00133AEF">
        <w:rPr>
          <w:caps w:val="0"/>
        </w:rPr>
        <w:t xml:space="preserve"> </w:t>
      </w:r>
      <w:r w:rsidR="00DC4D54">
        <w:rPr>
          <w:caps w:val="0"/>
        </w:rPr>
        <w:t>for use in decommissioning</w:t>
      </w:r>
      <w:bookmarkEnd w:id="50"/>
    </w:p>
    <w:p w14:paraId="62BE986E" w14:textId="4AED09A1" w:rsidR="000C204B" w:rsidRDefault="005F21EB" w:rsidP="00597F44">
      <w:pPr>
        <w:pStyle w:val="TSNumberedParagraph1"/>
        <w:numPr>
          <w:ilvl w:val="0"/>
          <w:numId w:val="12"/>
        </w:numPr>
        <w:spacing w:before="220"/>
      </w:pPr>
      <w:r>
        <w:t xml:space="preserve">WENRA </w:t>
      </w:r>
      <w:r w:rsidR="00502424">
        <w:t>Safety R</w:t>
      </w:r>
      <w:r>
        <w:t xml:space="preserve">eference </w:t>
      </w:r>
      <w:r w:rsidR="00502424">
        <w:t>L</w:t>
      </w:r>
      <w:r>
        <w:t xml:space="preserve">evel DE-09, </w:t>
      </w:r>
      <w:r w:rsidR="00ED70EA">
        <w:t>Licence Condition 6 and SAP DC.6 set an expectation that adequate arrangements will be implemented for the acquisition, retention</w:t>
      </w:r>
      <w:r>
        <w:t>,</w:t>
      </w:r>
      <w:r w:rsidR="00ED70EA">
        <w:t xml:space="preserve"> storage </w:t>
      </w:r>
      <w:r>
        <w:t>and access to</w:t>
      </w:r>
      <w:r w:rsidR="00ED70EA">
        <w:t xml:space="preserve"> relevant information and records,</w:t>
      </w:r>
      <w:r>
        <w:t xml:space="preserve"> with sufficient knowledge of the facility and technical expertise maintained for the life of the facility. Information is</w:t>
      </w:r>
      <w:r w:rsidR="00ED70EA">
        <w:t xml:space="preserve"> produced in the design </w:t>
      </w:r>
      <w:r>
        <w:t xml:space="preserve">phases as well as through construction and operational </w:t>
      </w:r>
      <w:r w:rsidR="00ED70EA">
        <w:t>phases.</w:t>
      </w:r>
      <w:r w:rsidR="00E439AC">
        <w:t xml:space="preserve"> T</w:t>
      </w:r>
      <w:r w:rsidR="00DC4D54">
        <w:t>he Inspector</w:t>
      </w:r>
      <w:r w:rsidR="001E0CC6">
        <w:t xml:space="preserve"> may wish to</w:t>
      </w:r>
      <w:r w:rsidR="00DC4D54">
        <w:t xml:space="preserve"> </w:t>
      </w:r>
      <w:r w:rsidR="001E0CC6">
        <w:t>seek assurance of</w:t>
      </w:r>
      <w:r w:rsidR="00DC4D54">
        <w:t xml:space="preserve"> whether</w:t>
      </w:r>
      <w:r>
        <w:t xml:space="preserve"> the design and modifications of the facility and its operating history </w:t>
      </w:r>
      <w:r w:rsidR="00DC4D54">
        <w:t xml:space="preserve">are </w:t>
      </w:r>
      <w:r>
        <w:t>identified and incorporated into the decommissioning plan.</w:t>
      </w:r>
      <w:r w:rsidR="00502424">
        <w:t xml:space="preserve"> </w:t>
      </w:r>
    </w:p>
    <w:p w14:paraId="5833DEEF" w14:textId="32AD5C07" w:rsidR="00597F44" w:rsidRDefault="000C204B" w:rsidP="00597F44">
      <w:pPr>
        <w:pStyle w:val="TSNumberedParagraph1"/>
        <w:numPr>
          <w:ilvl w:val="0"/>
          <w:numId w:val="12"/>
        </w:numPr>
        <w:spacing w:before="220"/>
      </w:pPr>
      <w:r>
        <w:t>The</w:t>
      </w:r>
      <w:r w:rsidR="00597F44">
        <w:t xml:space="preserve"> </w:t>
      </w:r>
      <w:r>
        <w:t xml:space="preserve">Inspector should expect the following </w:t>
      </w:r>
      <w:r w:rsidR="00597F44">
        <w:t xml:space="preserve">records </w:t>
      </w:r>
      <w:r>
        <w:t>are available for decommissioning</w:t>
      </w:r>
      <w:r w:rsidR="00597F44">
        <w:t>:</w:t>
      </w:r>
    </w:p>
    <w:p w14:paraId="5DAB4FA3" w14:textId="7A46882C" w:rsidR="00597F44" w:rsidRDefault="00E439AC" w:rsidP="00597F44">
      <w:pPr>
        <w:pStyle w:val="TSNumberedParagraph1"/>
        <w:numPr>
          <w:ilvl w:val="0"/>
          <w:numId w:val="10"/>
        </w:numPr>
        <w:spacing w:after="0"/>
        <w:jc w:val="both"/>
      </w:pPr>
      <w:r>
        <w:t>design basis,</w:t>
      </w:r>
    </w:p>
    <w:p w14:paraId="5D535F20" w14:textId="7EE2F59E" w:rsidR="00597F44" w:rsidRDefault="00E439AC" w:rsidP="00597F44">
      <w:pPr>
        <w:pStyle w:val="TSNumberedParagraph1"/>
        <w:numPr>
          <w:ilvl w:val="0"/>
          <w:numId w:val="10"/>
        </w:numPr>
        <w:spacing w:after="0"/>
        <w:jc w:val="both"/>
      </w:pPr>
      <w:r>
        <w:t>original design concept for decommissioning,</w:t>
      </w:r>
    </w:p>
    <w:p w14:paraId="7AC20100" w14:textId="63F5B57E" w:rsidR="00597F44" w:rsidRDefault="00E439AC" w:rsidP="00597F44">
      <w:pPr>
        <w:pStyle w:val="TSNumberedParagraph1"/>
        <w:numPr>
          <w:ilvl w:val="0"/>
          <w:numId w:val="10"/>
        </w:numPr>
        <w:spacing w:after="0"/>
        <w:jc w:val="both"/>
      </w:pPr>
      <w:r>
        <w:t>design details and drawings,</w:t>
      </w:r>
    </w:p>
    <w:p w14:paraId="2B7DC72F" w14:textId="64408FCB" w:rsidR="00597F44" w:rsidRDefault="00E439AC" w:rsidP="00597F44">
      <w:pPr>
        <w:pStyle w:val="TSNumberedParagraph1"/>
        <w:numPr>
          <w:ilvl w:val="0"/>
          <w:numId w:val="10"/>
        </w:numPr>
        <w:spacing w:after="0"/>
        <w:jc w:val="both"/>
      </w:pPr>
      <w:r>
        <w:t>specifications,</w:t>
      </w:r>
    </w:p>
    <w:p w14:paraId="134F299F" w14:textId="1BD9439A" w:rsidR="00597F44" w:rsidRDefault="00E439AC" w:rsidP="00597F44">
      <w:pPr>
        <w:pStyle w:val="TSNumberedParagraph1"/>
        <w:numPr>
          <w:ilvl w:val="0"/>
          <w:numId w:val="10"/>
        </w:numPr>
        <w:spacing w:after="0"/>
        <w:jc w:val="both"/>
      </w:pPr>
      <w:r>
        <w:t>form, method and sequence of construction (and therefore deconstruction),</w:t>
      </w:r>
    </w:p>
    <w:p w14:paraId="1B5CDDD3" w14:textId="79033126" w:rsidR="00597F44" w:rsidRDefault="00E439AC" w:rsidP="00597F44">
      <w:pPr>
        <w:pStyle w:val="TSNumberedParagraph1"/>
        <w:numPr>
          <w:ilvl w:val="0"/>
          <w:numId w:val="10"/>
        </w:numPr>
        <w:spacing w:after="0"/>
        <w:jc w:val="both"/>
      </w:pPr>
      <w:r>
        <w:t>construction materials and properties,</w:t>
      </w:r>
    </w:p>
    <w:p w14:paraId="54595118" w14:textId="7E8B8666" w:rsidR="00597F44" w:rsidRDefault="00E439AC" w:rsidP="00597F44">
      <w:pPr>
        <w:pStyle w:val="TSNumberedParagraph1"/>
        <w:numPr>
          <w:ilvl w:val="0"/>
          <w:numId w:val="10"/>
        </w:numPr>
        <w:spacing w:after="0"/>
        <w:jc w:val="both"/>
      </w:pPr>
      <w:r>
        <w:t>design changes and concessions,</w:t>
      </w:r>
    </w:p>
    <w:p w14:paraId="0B6FA7C3" w14:textId="49AFEB1E" w:rsidR="00597F44" w:rsidRDefault="00E439AC" w:rsidP="00597F44">
      <w:pPr>
        <w:pStyle w:val="TSNumberedParagraph1"/>
        <w:numPr>
          <w:ilvl w:val="0"/>
          <w:numId w:val="10"/>
        </w:numPr>
        <w:spacing w:after="0"/>
        <w:jc w:val="both"/>
      </w:pPr>
      <w:r>
        <w:t>construction records and photographs,</w:t>
      </w:r>
    </w:p>
    <w:p w14:paraId="4AFC0523" w14:textId="7CDBC5AC" w:rsidR="00597F44" w:rsidRDefault="00E439AC" w:rsidP="00597F44">
      <w:pPr>
        <w:pStyle w:val="TSNumberedParagraph1"/>
        <w:numPr>
          <w:ilvl w:val="0"/>
          <w:numId w:val="10"/>
        </w:numPr>
        <w:spacing w:after="0"/>
        <w:jc w:val="both"/>
      </w:pPr>
      <w:r>
        <w:t>as-built records</w:t>
      </w:r>
      <w:r w:rsidR="00DF303A">
        <w:t>;</w:t>
      </w:r>
      <w:r w:rsidR="00597F44">
        <w:t xml:space="preserve"> </w:t>
      </w:r>
      <w:r w:rsidR="00DF303A">
        <w:t>including</w:t>
      </w:r>
      <w:r w:rsidR="00597F44">
        <w:t xml:space="preserve"> non-conformance reports</w:t>
      </w:r>
      <w:r w:rsidR="00DF303A">
        <w:t>,</w:t>
      </w:r>
      <w:r w:rsidR="00597F44">
        <w:t xml:space="preserve"> </w:t>
      </w:r>
      <w:r w:rsidR="00DF303A">
        <w:t xml:space="preserve">especially </w:t>
      </w:r>
      <w:r w:rsidR="00597F44">
        <w:t xml:space="preserve">where </w:t>
      </w:r>
      <w:r w:rsidR="00DF303A">
        <w:t xml:space="preserve">original </w:t>
      </w:r>
      <w:r w:rsidR="00597F44">
        <w:t xml:space="preserve">design intent is </w:t>
      </w:r>
      <w:r w:rsidR="00DF303A">
        <w:t>challenged</w:t>
      </w:r>
      <w:r>
        <w:t>,</w:t>
      </w:r>
    </w:p>
    <w:p w14:paraId="41EFF7E3" w14:textId="00DD5A34" w:rsidR="00597F44" w:rsidRDefault="00E439AC" w:rsidP="00597F44">
      <w:pPr>
        <w:pStyle w:val="TSNumberedParagraph1"/>
        <w:numPr>
          <w:ilvl w:val="0"/>
          <w:numId w:val="10"/>
        </w:numPr>
        <w:spacing w:after="0"/>
        <w:jc w:val="both"/>
      </w:pPr>
      <w:r>
        <w:t>inspection and testing records,</w:t>
      </w:r>
    </w:p>
    <w:p w14:paraId="4875BE93" w14:textId="46DA39CF" w:rsidR="00597F44" w:rsidRDefault="00E439AC" w:rsidP="00597F44">
      <w:pPr>
        <w:pStyle w:val="TSNumberedParagraph1"/>
        <w:numPr>
          <w:ilvl w:val="0"/>
          <w:numId w:val="10"/>
        </w:numPr>
        <w:spacing w:after="0"/>
        <w:jc w:val="both"/>
      </w:pPr>
      <w:r>
        <w:t>modifications,</w:t>
      </w:r>
    </w:p>
    <w:p w14:paraId="3678B75D" w14:textId="3CE88787" w:rsidR="00597F44" w:rsidRDefault="00E439AC" w:rsidP="00597F44">
      <w:pPr>
        <w:pStyle w:val="TSNumberedParagraph1"/>
        <w:numPr>
          <w:ilvl w:val="0"/>
          <w:numId w:val="10"/>
        </w:numPr>
        <w:spacing w:after="0"/>
        <w:jc w:val="both"/>
      </w:pPr>
      <w:r>
        <w:t>ageing management programme records,</w:t>
      </w:r>
    </w:p>
    <w:p w14:paraId="074A04A8" w14:textId="3FA4165E" w:rsidR="00597F44" w:rsidRDefault="00E439AC" w:rsidP="00597F44">
      <w:pPr>
        <w:pStyle w:val="TSNumberedParagraph1"/>
        <w:numPr>
          <w:ilvl w:val="0"/>
          <w:numId w:val="10"/>
        </w:numPr>
        <w:spacing w:after="0"/>
        <w:jc w:val="both"/>
      </w:pPr>
      <w:r>
        <w:t xml:space="preserve">change of use </w:t>
      </w:r>
      <w:r w:rsidR="00597F44">
        <w:t>and configuration management records</w:t>
      </w:r>
      <w:r>
        <w:t>.</w:t>
      </w:r>
    </w:p>
    <w:p w14:paraId="0FA92269" w14:textId="7A742E07" w:rsidR="0043195A" w:rsidRPr="0043195A" w:rsidRDefault="0043195A" w:rsidP="0043195A">
      <w:pPr>
        <w:pStyle w:val="TSNumberedParagraph1"/>
        <w:numPr>
          <w:ilvl w:val="0"/>
          <w:numId w:val="12"/>
        </w:numPr>
        <w:spacing w:before="220"/>
      </w:pPr>
      <w:r>
        <w:t xml:space="preserve">For end of life activities, the Inspector </w:t>
      </w:r>
      <w:r w:rsidR="00A639D9">
        <w:t>may wish to</w:t>
      </w:r>
      <w:r>
        <w:t xml:space="preserve"> consider ‘corporate memory’ in line with the expectations of</w:t>
      </w:r>
      <w:r w:rsidRPr="00502424">
        <w:rPr>
          <w:rFonts w:cs="Arial"/>
          <w:szCs w:val="22"/>
        </w:rPr>
        <w:t xml:space="preserve"> </w:t>
      </w:r>
      <w:r w:rsidR="00E439AC">
        <w:rPr>
          <w:rFonts w:cs="Arial"/>
          <w:szCs w:val="22"/>
        </w:rPr>
        <w:t xml:space="preserve">SAPs </w:t>
      </w:r>
      <w:r>
        <w:rPr>
          <w:rFonts w:cs="Arial"/>
          <w:szCs w:val="22"/>
        </w:rPr>
        <w:t>DC.6, DC.3 para</w:t>
      </w:r>
      <w:r w:rsidR="00DE0D56">
        <w:rPr>
          <w:rFonts w:cs="Arial"/>
          <w:szCs w:val="22"/>
        </w:rPr>
        <w:t>graph</w:t>
      </w:r>
      <w:r>
        <w:rPr>
          <w:rFonts w:cs="Arial"/>
          <w:szCs w:val="22"/>
        </w:rPr>
        <w:t xml:space="preserve"> 841 (l), EMC.2, ENM.4, RL.1, RL.7, MS.2, RW.6</w:t>
      </w:r>
      <w:r w:rsidR="00CC47EE">
        <w:rPr>
          <w:rFonts w:cs="Arial"/>
          <w:szCs w:val="22"/>
        </w:rPr>
        <w:t xml:space="preserve">, </w:t>
      </w:r>
      <w:r w:rsidR="00CC47EE">
        <w:t>(see also WENRA Safety Reference Level DE-59)</w:t>
      </w:r>
      <w:r>
        <w:rPr>
          <w:rFonts w:cs="Arial"/>
          <w:szCs w:val="22"/>
        </w:rPr>
        <w:t xml:space="preserve">. Whilst the Inspector may consider that the consideration of these SAPs stray outside civil engineering assessment regarding the corporate memory of nuclear waste inventory, the post-operational </w:t>
      </w:r>
      <w:r w:rsidR="00CC47EE">
        <w:rPr>
          <w:rFonts w:cs="Arial"/>
          <w:szCs w:val="22"/>
        </w:rPr>
        <w:t xml:space="preserve">civil engineering SSCs </w:t>
      </w:r>
      <w:r w:rsidR="00B55188">
        <w:rPr>
          <w:rFonts w:cs="Arial"/>
          <w:szCs w:val="22"/>
        </w:rPr>
        <w:t xml:space="preserve">that </w:t>
      </w:r>
      <w:r w:rsidR="00CC47EE">
        <w:rPr>
          <w:rFonts w:cs="Arial"/>
          <w:szCs w:val="22"/>
        </w:rPr>
        <w:t xml:space="preserve">need to </w:t>
      </w:r>
      <w:r>
        <w:rPr>
          <w:rFonts w:cs="Arial"/>
          <w:szCs w:val="22"/>
        </w:rPr>
        <w:t xml:space="preserve">maintain their safety function are those that contain and protect residual nuclear inventory on site. Corporate memory regarding the location of wastes is </w:t>
      </w:r>
      <w:r w:rsidR="00555C16">
        <w:rPr>
          <w:rFonts w:cs="Arial"/>
          <w:szCs w:val="22"/>
        </w:rPr>
        <w:t xml:space="preserve">a key consideration when considering </w:t>
      </w:r>
      <w:r>
        <w:rPr>
          <w:rFonts w:cs="Arial"/>
          <w:szCs w:val="22"/>
        </w:rPr>
        <w:t>continued safe storage of wastes on site</w:t>
      </w:r>
      <w:r w:rsidR="00F53CB0">
        <w:rPr>
          <w:rFonts w:cs="Arial"/>
          <w:szCs w:val="22"/>
        </w:rPr>
        <w:t>, which</w:t>
      </w:r>
      <w:r w:rsidR="001D7B91">
        <w:rPr>
          <w:rFonts w:cs="Arial"/>
          <w:szCs w:val="22"/>
        </w:rPr>
        <w:t xml:space="preserve"> can be in an existing structure that has a history of condition assessments</w:t>
      </w:r>
      <w:r>
        <w:rPr>
          <w:rFonts w:cs="Arial"/>
          <w:szCs w:val="22"/>
        </w:rPr>
        <w:t>.</w:t>
      </w:r>
      <w:r w:rsidR="00F53CB0">
        <w:rPr>
          <w:rFonts w:cs="Arial"/>
          <w:szCs w:val="22"/>
        </w:rPr>
        <w:t xml:space="preserve"> </w:t>
      </w:r>
      <w:r w:rsidR="001D7B91">
        <w:rPr>
          <w:rFonts w:cs="Arial"/>
          <w:szCs w:val="22"/>
        </w:rPr>
        <w:t>The Inspector is reminded of the expectations for</w:t>
      </w:r>
      <w:r w:rsidR="00623D76">
        <w:rPr>
          <w:rFonts w:cs="Arial"/>
          <w:szCs w:val="22"/>
        </w:rPr>
        <w:t xml:space="preserve"> adequately </w:t>
      </w:r>
      <w:r w:rsidR="001D7B91">
        <w:rPr>
          <w:rFonts w:cs="Arial"/>
          <w:szCs w:val="22"/>
        </w:rPr>
        <w:t>recording relevant information regarding</w:t>
      </w:r>
      <w:r w:rsidR="00623D76">
        <w:rPr>
          <w:rFonts w:cs="Arial"/>
          <w:szCs w:val="22"/>
        </w:rPr>
        <w:t xml:space="preserve"> EIMT and</w:t>
      </w:r>
      <w:r w:rsidR="001D7B91">
        <w:rPr>
          <w:rFonts w:cs="Arial"/>
          <w:szCs w:val="22"/>
        </w:rPr>
        <w:t xml:space="preserve"> condition of structures </w:t>
      </w:r>
      <w:r w:rsidR="001D7B91">
        <w:rPr>
          <w:rFonts w:cs="Arial"/>
          <w:szCs w:val="22"/>
        </w:rPr>
        <w:lastRenderedPageBreak/>
        <w:t xml:space="preserve">in line with ECE.20 </w:t>
      </w:r>
      <w:r w:rsidR="001D7B91">
        <w:t>(see also WENRA Safety Reference Level DE-</w:t>
      </w:r>
      <w:r w:rsidR="00930CB8">
        <w:t>44</w:t>
      </w:r>
      <w:r w:rsidR="00623D76">
        <w:t>)</w:t>
      </w:r>
      <w:r w:rsidR="00BC4BA9">
        <w:t>, which applies proportionally to phases that are during operation and post-operation</w:t>
      </w:r>
      <w:r w:rsidR="00623D76">
        <w:t>.</w:t>
      </w:r>
      <w:r w:rsidR="004A63B5">
        <w:t xml:space="preserve"> </w:t>
      </w:r>
    </w:p>
    <w:p w14:paraId="579E3E20" w14:textId="327ADD57" w:rsidR="00597F44" w:rsidRPr="000D7D35" w:rsidRDefault="00597F44" w:rsidP="00597F44">
      <w:pPr>
        <w:pStyle w:val="TSNumberedParagraph1"/>
        <w:numPr>
          <w:ilvl w:val="0"/>
          <w:numId w:val="12"/>
        </w:numPr>
        <w:spacing w:before="220"/>
      </w:pPr>
      <w:r>
        <w:t xml:space="preserve">In accordance with </w:t>
      </w:r>
      <w:r w:rsidR="001F6166">
        <w:t xml:space="preserve">SAP </w:t>
      </w:r>
      <w:r>
        <w:t>MS.2 (para</w:t>
      </w:r>
      <w:r w:rsidR="00DE0D56">
        <w:t>graph</w:t>
      </w:r>
      <w:r>
        <w:t xml:space="preserve"> 60), specific attention should be paid to the retention of information during handover between lifecycle phases that involve changes in the responsibility for records and information management. Key information transfer points include those between design and construction, construction and commissioning, commissioning to operation and operation to defueling and decommissioning.</w:t>
      </w:r>
      <w:r w:rsidR="0043195A">
        <w:t xml:space="preserve"> </w:t>
      </w:r>
      <w:r w:rsidR="005F4C3F">
        <w:t>T</w:t>
      </w:r>
      <w:r w:rsidR="0043195A">
        <w:t>he Inspector should expect:</w:t>
      </w:r>
    </w:p>
    <w:p w14:paraId="73862423" w14:textId="343A3EA1" w:rsidR="00D248A6" w:rsidRPr="003C3CDC" w:rsidRDefault="005F4C3F" w:rsidP="0043195A">
      <w:pPr>
        <w:pStyle w:val="TSNumberedParagraph1"/>
        <w:numPr>
          <w:ilvl w:val="0"/>
          <w:numId w:val="10"/>
        </w:numPr>
        <w:spacing w:after="0"/>
        <w:jc w:val="both"/>
      </w:pPr>
      <w:r w:rsidRPr="00AC3E6E">
        <w:t>detail</w:t>
      </w:r>
      <w:r w:rsidR="00D248A6" w:rsidRPr="00AC3E6E">
        <w:t xml:space="preserve">ed records define the extent, location and nature of all </w:t>
      </w:r>
      <w:r w:rsidR="00D248A6" w:rsidRPr="003C3CDC">
        <w:t xml:space="preserve">remaining civil engineering elements post </w:t>
      </w:r>
      <w:r w:rsidR="00D248A6">
        <w:t>operation</w:t>
      </w:r>
      <w:r w:rsidR="0043195A">
        <w:t>, with a</w:t>
      </w:r>
      <w:r w:rsidR="00D248A6" w:rsidRPr="003C3CDC">
        <w:t>ll maintenance or inspection requirements for these rem</w:t>
      </w:r>
      <w:r>
        <w:t>aining elements clearly defined,</w:t>
      </w:r>
    </w:p>
    <w:p w14:paraId="7C254EF1" w14:textId="0AECEB56" w:rsidR="00D248A6" w:rsidRDefault="005F4C3F" w:rsidP="0043195A">
      <w:pPr>
        <w:pStyle w:val="TSNumberedParagraph1"/>
        <w:numPr>
          <w:ilvl w:val="0"/>
          <w:numId w:val="10"/>
        </w:numPr>
        <w:spacing w:after="0"/>
        <w:jc w:val="both"/>
      </w:pPr>
      <w:r w:rsidRPr="003C3CDC">
        <w:t>recor</w:t>
      </w:r>
      <w:r w:rsidR="00ED70EA" w:rsidRPr="003C3CDC">
        <w:t xml:space="preserve">ds </w:t>
      </w:r>
      <w:r>
        <w:t xml:space="preserve">are </w:t>
      </w:r>
      <w:r w:rsidR="0043195A">
        <w:t xml:space="preserve">readily </w:t>
      </w:r>
      <w:r w:rsidR="00ED70EA" w:rsidRPr="003C3CDC">
        <w:t xml:space="preserve">available for all potential </w:t>
      </w:r>
      <w:r w:rsidR="00ED70EA">
        <w:t xml:space="preserve">future </w:t>
      </w:r>
      <w:r w:rsidR="00ED70EA" w:rsidRPr="003C3CDC">
        <w:t>users of the site</w:t>
      </w:r>
      <w:r w:rsidR="00ED70EA">
        <w:t>, with due consideration of the durability of such information management and storage for the full duration of Care and Maintenance and final site clearance timescales</w:t>
      </w:r>
      <w:r>
        <w:t>,</w:t>
      </w:r>
    </w:p>
    <w:p w14:paraId="7840C812" w14:textId="74632D25" w:rsidR="00761D92" w:rsidRDefault="005F4C3F" w:rsidP="0043195A">
      <w:pPr>
        <w:pStyle w:val="TSNumberedParagraph1"/>
        <w:numPr>
          <w:ilvl w:val="0"/>
          <w:numId w:val="10"/>
        </w:numPr>
        <w:spacing w:after="0"/>
        <w:jc w:val="both"/>
      </w:pPr>
      <w:r>
        <w:t xml:space="preserve">awareness that </w:t>
      </w:r>
      <w:r w:rsidRPr="000D7D35">
        <w:t>rec</w:t>
      </w:r>
      <w:r w:rsidR="00761D92" w:rsidRPr="000D7D35">
        <w:t xml:space="preserve">ords relating to the design, construction and maintenance of civil </w:t>
      </w:r>
      <w:r>
        <w:t>SSC</w:t>
      </w:r>
      <w:r w:rsidR="00DF303A">
        <w:t xml:space="preserve"> </w:t>
      </w:r>
      <w:r w:rsidR="00761D92" w:rsidRPr="000D7D35">
        <w:t xml:space="preserve">may be lost or destroyed after operations have ceased, and loss of operator knowledge may lead to increased risks during post operational inspection, maintenance, </w:t>
      </w:r>
      <w:r>
        <w:t>and deconstruction of civil SSC</w:t>
      </w:r>
      <w:r w:rsidR="00761D92" w:rsidRPr="000D7D35">
        <w:t xml:space="preserve">. The </w:t>
      </w:r>
      <w:r w:rsidR="0043195A">
        <w:t xml:space="preserve">Inspector should expect </w:t>
      </w:r>
      <w:r w:rsidR="00761D92" w:rsidRPr="000D7D35">
        <w:t>suitable provision to collect and safeguard information as is necessary for the safe implementation of the follo</w:t>
      </w:r>
      <w:r w:rsidR="0043195A">
        <w:t>wing</w:t>
      </w:r>
      <w:r>
        <w:t xml:space="preserve"> phases,</w:t>
      </w:r>
    </w:p>
    <w:p w14:paraId="0D9BFC60" w14:textId="31F85217" w:rsidR="00132704" w:rsidRDefault="005F4C3F" w:rsidP="0043195A">
      <w:pPr>
        <w:pStyle w:val="TSNumberedParagraph1"/>
        <w:numPr>
          <w:ilvl w:val="0"/>
          <w:numId w:val="10"/>
        </w:numPr>
        <w:spacing w:after="0"/>
        <w:jc w:val="both"/>
      </w:pPr>
      <w:r>
        <w:t>r</w:t>
      </w:r>
      <w:r w:rsidR="00132704">
        <w:t>ecords of all structures and materials</w:t>
      </w:r>
      <w:r w:rsidR="00132704" w:rsidRPr="00107A87">
        <w:t xml:space="preserve"> </w:t>
      </w:r>
      <w:r w:rsidR="00132704">
        <w:t xml:space="preserve">remaining on site, especially those not visible from the </w:t>
      </w:r>
      <w:r w:rsidR="00597F44">
        <w:t>surface</w:t>
      </w:r>
      <w:r>
        <w:t>,</w:t>
      </w:r>
      <w:r w:rsidR="00132704">
        <w:t xml:space="preserve"> must be collated and provided to the relevant authority at the end of demolition and site clearance</w:t>
      </w:r>
      <w:r w:rsidR="00936E78">
        <w:t>.</w:t>
      </w:r>
    </w:p>
    <w:p w14:paraId="7D42E9AD" w14:textId="4ECA4181" w:rsidR="00637223" w:rsidRPr="00936E78" w:rsidRDefault="00FE0D0D" w:rsidP="00936E78">
      <w:pPr>
        <w:pStyle w:val="TSNumberedParagraph1"/>
        <w:numPr>
          <w:ilvl w:val="0"/>
          <w:numId w:val="12"/>
        </w:numPr>
        <w:spacing w:before="220"/>
        <w:rPr>
          <w:rFonts w:cs="Arial"/>
          <w:szCs w:val="22"/>
        </w:rPr>
      </w:pPr>
      <w:r w:rsidRPr="00936E78">
        <w:rPr>
          <w:rFonts w:cs="Arial"/>
          <w:szCs w:val="22"/>
        </w:rPr>
        <w:t xml:space="preserve">There may be civil engineering SSCs, such as discharge pipelines, that extend beyond the boundary of the nuclear licensed site but are captured in the area of the environmental permit. The Inspector may wish to consider the interfaces with the relevant environmental regulator to ensure that inspection of the relevant arrangements is co-ordinated. </w:t>
      </w:r>
    </w:p>
    <w:p w14:paraId="5655D441" w14:textId="02D6031D" w:rsidR="0043195A" w:rsidRPr="000C204B" w:rsidRDefault="0043195A" w:rsidP="0043195A">
      <w:pPr>
        <w:pStyle w:val="TSNumberedParagraph1"/>
        <w:numPr>
          <w:ilvl w:val="0"/>
          <w:numId w:val="12"/>
        </w:numPr>
        <w:spacing w:before="220"/>
      </w:pPr>
      <w:r>
        <w:rPr>
          <w:rFonts w:cs="Arial"/>
          <w:szCs w:val="22"/>
        </w:rPr>
        <w:t xml:space="preserve">During the scope of a civil engineering assessment of structures that hold waste which has previously been undisturbed, the Inspector </w:t>
      </w:r>
      <w:r w:rsidR="00A639D9">
        <w:t>may wish to</w:t>
      </w:r>
      <w:r>
        <w:rPr>
          <w:rFonts w:cs="Arial"/>
          <w:szCs w:val="22"/>
        </w:rPr>
        <w:t xml:space="preserve"> consider the processing of wastes for decommissioning in the activities of decommissioning and clear-out. For this assessment, the Inspector </w:t>
      </w:r>
      <w:r w:rsidR="00A639D9">
        <w:t>may wish to</w:t>
      </w:r>
      <w:r>
        <w:rPr>
          <w:rFonts w:cs="Arial"/>
          <w:szCs w:val="22"/>
        </w:rPr>
        <w:t xml:space="preserve"> consider the potential for decomposition of wastes and / or different chemical processes which may have a detrimental impact on the ability to inspect the structure that is providing the containment, e.g. storage ponds or vaults.</w:t>
      </w:r>
    </w:p>
    <w:p w14:paraId="35BC9C0D" w14:textId="77777777" w:rsidR="0043195A" w:rsidRPr="000C204B" w:rsidRDefault="0043195A" w:rsidP="0043195A">
      <w:pPr>
        <w:pStyle w:val="TSNumberedParagraph1"/>
        <w:numPr>
          <w:ilvl w:val="0"/>
          <w:numId w:val="12"/>
        </w:numPr>
        <w:spacing w:before="220"/>
      </w:pPr>
      <w:r>
        <w:rPr>
          <w:rFonts w:cs="Arial"/>
          <w:szCs w:val="22"/>
        </w:rPr>
        <w:t>For more information on civil engineering containment assessment, see:</w:t>
      </w:r>
    </w:p>
    <w:p w14:paraId="1FBB81C8" w14:textId="444D22C7" w:rsidR="0043195A" w:rsidRDefault="00EE520B" w:rsidP="0043195A">
      <w:pPr>
        <w:pStyle w:val="TSNumberedParagraph1"/>
        <w:numPr>
          <w:ilvl w:val="0"/>
          <w:numId w:val="10"/>
        </w:numPr>
        <w:spacing w:after="0"/>
        <w:jc w:val="both"/>
      </w:pPr>
      <w:r>
        <w:rPr>
          <w:lang w:eastAsia="en-GB"/>
        </w:rPr>
        <w:t>ONR-</w:t>
      </w:r>
      <w:r w:rsidR="0043195A" w:rsidRPr="009B38C7">
        <w:t>NS-TAST-GD-020 ‘Civil Engineering Containments for Reactor Plants’</w:t>
      </w:r>
      <w:r w:rsidR="005F4C3F">
        <w:t>.</w:t>
      </w:r>
    </w:p>
    <w:p w14:paraId="1EBBB450" w14:textId="77777777" w:rsidR="002C2A17" w:rsidRPr="002C2A17" w:rsidRDefault="002C2A17" w:rsidP="002C2A17">
      <w:pPr>
        <w:pStyle w:val="TSNumberedParagraph1"/>
        <w:numPr>
          <w:ilvl w:val="0"/>
          <w:numId w:val="12"/>
        </w:numPr>
        <w:spacing w:before="220"/>
        <w:rPr>
          <w:rFonts w:cs="Arial"/>
          <w:szCs w:val="22"/>
        </w:rPr>
      </w:pPr>
      <w:r w:rsidRPr="002C2A17">
        <w:rPr>
          <w:rFonts w:cs="Arial"/>
          <w:szCs w:val="22"/>
        </w:rPr>
        <w:t>For more information on record keeping, see:</w:t>
      </w:r>
    </w:p>
    <w:p w14:paraId="5A022113" w14:textId="78299CC3" w:rsidR="002C2A17" w:rsidRDefault="00EE520B" w:rsidP="002C2A17">
      <w:pPr>
        <w:pStyle w:val="TSBullet1Square"/>
        <w:numPr>
          <w:ilvl w:val="0"/>
          <w:numId w:val="10"/>
        </w:numPr>
        <w:rPr>
          <w:lang w:eastAsia="en-GB"/>
        </w:rPr>
      </w:pPr>
      <w:r>
        <w:rPr>
          <w:lang w:eastAsia="en-GB"/>
        </w:rPr>
        <w:t>ONR-</w:t>
      </w:r>
      <w:r w:rsidR="002C2A17" w:rsidRPr="001150C1">
        <w:rPr>
          <w:lang w:eastAsia="en-GB"/>
        </w:rPr>
        <w:t>NS-TAST-GD-033 ‘</w:t>
      </w:r>
      <w:proofErr w:type="spellStart"/>
      <w:r w:rsidR="002C2A17" w:rsidRPr="001150C1">
        <w:rPr>
          <w:lang w:eastAsia="en-GB"/>
        </w:rPr>
        <w:t>Dutyholder</w:t>
      </w:r>
      <w:proofErr w:type="spellEnd"/>
      <w:r w:rsidR="002C2A17" w:rsidRPr="001150C1">
        <w:rPr>
          <w:lang w:eastAsia="en-GB"/>
        </w:rPr>
        <w:t xml:space="preserve"> Management of Records’.</w:t>
      </w:r>
    </w:p>
    <w:p w14:paraId="024A1F63" w14:textId="2E64D56D" w:rsidR="0067073F" w:rsidRDefault="0067073F" w:rsidP="0043195A">
      <w:pPr>
        <w:pStyle w:val="TSHeadingNumbered1"/>
        <w:numPr>
          <w:ilvl w:val="1"/>
          <w:numId w:val="11"/>
        </w:numPr>
        <w:tabs>
          <w:tab w:val="clear" w:pos="-31680"/>
        </w:tabs>
        <w:spacing w:before="240"/>
        <w:rPr>
          <w:caps w:val="0"/>
        </w:rPr>
      </w:pPr>
      <w:bookmarkStart w:id="51" w:name="_Toc57895886"/>
      <w:bookmarkStart w:id="52" w:name="_Ref36653536"/>
      <w:r>
        <w:rPr>
          <w:caps w:val="0"/>
        </w:rPr>
        <w:t>Decommissioning in stages across sites</w:t>
      </w:r>
      <w:bookmarkEnd w:id="51"/>
    </w:p>
    <w:p w14:paraId="0FFEC4E7" w14:textId="5E17CB6D" w:rsidR="006A6E06" w:rsidRPr="0067073F" w:rsidRDefault="006A6E06" w:rsidP="006A6E06">
      <w:pPr>
        <w:pStyle w:val="TSNumberedParagraph1"/>
        <w:numPr>
          <w:ilvl w:val="0"/>
          <w:numId w:val="12"/>
        </w:numPr>
        <w:spacing w:before="220"/>
      </w:pPr>
      <w:r w:rsidRPr="002627B2">
        <w:rPr>
          <w:iCs/>
        </w:rPr>
        <w:t xml:space="preserve">If civil engineering works and structures have an ongoing role in the decommissioning of a nuclear facility, then the safety case should demonstrate their continuing safety for the periods required, in line with the principle </w:t>
      </w:r>
      <w:r w:rsidR="005F4C3F">
        <w:rPr>
          <w:iCs/>
        </w:rPr>
        <w:t xml:space="preserve">SAP </w:t>
      </w:r>
      <w:r w:rsidRPr="002627B2">
        <w:rPr>
          <w:iCs/>
        </w:rPr>
        <w:t>DC.5 for passive safe storage of radioactive material and waste</w:t>
      </w:r>
      <w:r>
        <w:rPr>
          <w:iCs/>
        </w:rPr>
        <w:t>, and DC.9 for an adequate decommissioning safety case</w:t>
      </w:r>
      <w:r w:rsidR="00B32059">
        <w:rPr>
          <w:iCs/>
        </w:rPr>
        <w:t xml:space="preserve">. </w:t>
      </w:r>
      <w:r w:rsidRPr="002627B2">
        <w:rPr>
          <w:iCs/>
        </w:rPr>
        <w:t xml:space="preserve">An assessment of the continuing safety of the nuclear facility involves </w:t>
      </w:r>
      <w:r w:rsidRPr="002627B2">
        <w:rPr>
          <w:iCs/>
        </w:rPr>
        <w:lastRenderedPageBreak/>
        <w:t>determining the current physical condition and establishing how it</w:t>
      </w:r>
      <w:r w:rsidR="00B32059">
        <w:rPr>
          <w:iCs/>
        </w:rPr>
        <w:t xml:space="preserve"> will change in the future.</w:t>
      </w:r>
    </w:p>
    <w:p w14:paraId="1D44A226" w14:textId="419A0780" w:rsidR="000415D6" w:rsidRDefault="000415D6" w:rsidP="000415D6">
      <w:pPr>
        <w:pStyle w:val="TSNumberedParagraph1"/>
        <w:numPr>
          <w:ilvl w:val="0"/>
          <w:numId w:val="12"/>
        </w:numPr>
        <w:spacing w:before="220"/>
      </w:pPr>
      <w:r>
        <w:t xml:space="preserve">As decommissioning progresses across a site, residual nuclear safety demands may be required of civil engineering </w:t>
      </w:r>
      <w:r w:rsidR="00B32059">
        <w:t>SSC</w:t>
      </w:r>
      <w:r>
        <w:t xml:space="preserve"> for many years after the end of operations. These demands may extend beyond</w:t>
      </w:r>
      <w:r w:rsidRPr="004C5980">
        <w:t xml:space="preserve"> the originally envisaged design life. </w:t>
      </w:r>
      <w:r>
        <w:t>During the post-operation phases, the residual nuclear safety functions usually include structural support to, and c</w:t>
      </w:r>
      <w:r w:rsidRPr="004C5980">
        <w:t xml:space="preserve">ontainment and shielding </w:t>
      </w:r>
      <w:r>
        <w:t>of, any remaining nuclear inventory, including contaminated or activated components</w:t>
      </w:r>
      <w:r w:rsidRPr="004C5980">
        <w:t xml:space="preserve">. </w:t>
      </w:r>
      <w:r>
        <w:t xml:space="preserve">Structural integrity and a weatherproof envelope are </w:t>
      </w:r>
      <w:r w:rsidR="00B32059">
        <w:t xml:space="preserve">examples of </w:t>
      </w:r>
      <w:r>
        <w:t xml:space="preserve">nuclear safety functions for </w:t>
      </w:r>
      <w:r w:rsidR="00B32059">
        <w:t>nuclear waste store</w:t>
      </w:r>
      <w:r w:rsidR="00B32059" w:rsidRPr="00B32059">
        <w:t xml:space="preserve"> </w:t>
      </w:r>
      <w:r w:rsidR="00B32059">
        <w:t>structures</w:t>
      </w:r>
      <w:r>
        <w:t xml:space="preserve">, which </w:t>
      </w:r>
      <w:r w:rsidR="00B32059">
        <w:t xml:space="preserve">are </w:t>
      </w:r>
      <w:r>
        <w:t>often required in the post-operational phase.</w:t>
      </w:r>
    </w:p>
    <w:p w14:paraId="6D0D4C04" w14:textId="166DB5D2" w:rsidR="000415D6" w:rsidRDefault="000415D6" w:rsidP="000415D6">
      <w:pPr>
        <w:pStyle w:val="TSNumberedParagraph1"/>
        <w:numPr>
          <w:ilvl w:val="0"/>
          <w:numId w:val="12"/>
        </w:numPr>
        <w:spacing w:before="220"/>
      </w:pPr>
      <w:r>
        <w:t>For consideration of management of ageing and damaged SSCs, see:</w:t>
      </w:r>
    </w:p>
    <w:p w14:paraId="322A28D8" w14:textId="71AA4D28" w:rsidR="000415D6" w:rsidRPr="002B1AA5" w:rsidRDefault="000415D6" w:rsidP="000415D6">
      <w:pPr>
        <w:pStyle w:val="TSNumberedParagraph1"/>
        <w:numPr>
          <w:ilvl w:val="0"/>
          <w:numId w:val="10"/>
        </w:numPr>
        <w:spacing w:after="0"/>
        <w:jc w:val="both"/>
      </w:pPr>
      <w:r>
        <w:t xml:space="preserve">TAG 17 Annex </w:t>
      </w:r>
      <w:r w:rsidR="00B32059">
        <w:t>5</w:t>
      </w:r>
      <w:r w:rsidR="009524E8">
        <w:t>,</w:t>
      </w:r>
      <w:r>
        <w:t xml:space="preserve"> </w:t>
      </w:r>
      <w:r w:rsidR="009524E8">
        <w:t>‘</w:t>
      </w:r>
      <w:r w:rsidR="009524E8" w:rsidRPr="000F2702">
        <w:t xml:space="preserve">Civil Engineering – </w:t>
      </w:r>
      <w:r w:rsidR="009524E8">
        <w:t xml:space="preserve">Ageing </w:t>
      </w:r>
      <w:r w:rsidR="009524E8" w:rsidRPr="002B1AA5">
        <w:t>Management and Damaged Structures’</w:t>
      </w:r>
      <w:r w:rsidR="00CA2CE8">
        <w:t>.</w:t>
      </w:r>
    </w:p>
    <w:p w14:paraId="2EDCD4F7" w14:textId="160FE6DE" w:rsidR="006A6E06" w:rsidRPr="002B1AA5" w:rsidRDefault="006A6E06" w:rsidP="006A6E06">
      <w:pPr>
        <w:pStyle w:val="TSNumberedParagraph1"/>
        <w:numPr>
          <w:ilvl w:val="0"/>
          <w:numId w:val="12"/>
        </w:numPr>
        <w:spacing w:before="220"/>
      </w:pPr>
      <w:r w:rsidRPr="002B1AA5">
        <w:t xml:space="preserve">Where structures are </w:t>
      </w:r>
      <w:r w:rsidR="00B32059" w:rsidRPr="002B1AA5">
        <w:t xml:space="preserve">repurposed to become </w:t>
      </w:r>
      <w:r w:rsidRPr="002B1AA5">
        <w:t>nuclear waste store</w:t>
      </w:r>
      <w:r w:rsidR="00B32059" w:rsidRPr="002B1AA5">
        <w:t>s</w:t>
      </w:r>
      <w:r w:rsidRPr="002B1AA5">
        <w:t>, see:</w:t>
      </w:r>
    </w:p>
    <w:p w14:paraId="7DE1FD48" w14:textId="28962729" w:rsidR="006A6E06" w:rsidRPr="002B1AA5" w:rsidRDefault="006A6E06" w:rsidP="006A6E06">
      <w:pPr>
        <w:pStyle w:val="TSNumberedParagraph1"/>
        <w:numPr>
          <w:ilvl w:val="0"/>
          <w:numId w:val="10"/>
        </w:numPr>
        <w:spacing w:after="0"/>
        <w:jc w:val="both"/>
      </w:pPr>
      <w:r w:rsidRPr="002B1AA5">
        <w:t>TAG 17 head document</w:t>
      </w:r>
      <w:r w:rsidR="008436AC" w:rsidRPr="002B1AA5">
        <w:t xml:space="preserve"> section 5.9.5</w:t>
      </w:r>
      <w:r w:rsidRPr="002B1AA5">
        <w:t xml:space="preserve"> ‘Modifications’ .</w:t>
      </w:r>
    </w:p>
    <w:p w14:paraId="4A3E2E21" w14:textId="5698FFE7" w:rsidR="000415D6" w:rsidRDefault="00F26824" w:rsidP="000415D6">
      <w:pPr>
        <w:pStyle w:val="TSNumberedParagraph1"/>
        <w:numPr>
          <w:ilvl w:val="0"/>
          <w:numId w:val="12"/>
        </w:numPr>
        <w:spacing w:before="220"/>
      </w:pPr>
      <w:r w:rsidRPr="002B1AA5">
        <w:t>When decommissioning has progressed and there are no longer nuclear safety functions required of a structure, civil SSCs may be re-classified as they change in importance to safety over the course of decommissioning activities.</w:t>
      </w:r>
      <w:r w:rsidR="006A6E06" w:rsidRPr="002B1AA5">
        <w:t xml:space="preserve"> </w:t>
      </w:r>
      <w:r w:rsidR="006372CE" w:rsidRPr="002B1AA5">
        <w:t xml:space="preserve">SAP </w:t>
      </w:r>
      <w:r w:rsidR="006A6E06" w:rsidRPr="002B1AA5">
        <w:t xml:space="preserve">DC.9 </w:t>
      </w:r>
      <w:r w:rsidR="006372CE" w:rsidRPr="002B1AA5">
        <w:t>establishes</w:t>
      </w:r>
      <w:r w:rsidR="006A6E06" w:rsidRPr="002B1AA5">
        <w:t xml:space="preserve"> the expectation that safety</w:t>
      </w:r>
      <w:r w:rsidRPr="002B1AA5">
        <w:t xml:space="preserve"> funct</w:t>
      </w:r>
      <w:r w:rsidR="006A6E06" w:rsidRPr="002B1AA5">
        <w:t>ions required to be fulfilled are</w:t>
      </w:r>
      <w:r>
        <w:t xml:space="preserve"> to be captured in the decommissioning safety case. The SSCs may still be required to </w:t>
      </w:r>
      <w:r w:rsidRPr="004C5980">
        <w:t xml:space="preserve">provide residual </w:t>
      </w:r>
      <w:r>
        <w:t xml:space="preserve">environmental or </w:t>
      </w:r>
      <w:r w:rsidRPr="004C5980">
        <w:t>conventional safety functions, such as maintaining weatherproof envelope</w:t>
      </w:r>
      <w:r>
        <w:t xml:space="preserve">, confine hazardous substances such as asbestos or irradiated materials, </w:t>
      </w:r>
      <w:r w:rsidRPr="004C5980">
        <w:t>or provide support for access and egress</w:t>
      </w:r>
      <w:r>
        <w:t xml:space="preserve"> pathways</w:t>
      </w:r>
      <w:r w:rsidRPr="004C5980">
        <w:t>.</w:t>
      </w:r>
      <w:r>
        <w:t xml:space="preserve"> This is in line with the requirements of WENRA Safety Reference Level DE-30</w:t>
      </w:r>
      <w:r w:rsidR="001A04BE">
        <w:t>, following the expectations of SAP ECS.1</w:t>
      </w:r>
      <w:r>
        <w:t>.</w:t>
      </w:r>
    </w:p>
    <w:p w14:paraId="0683EBA2" w14:textId="7114C6F1" w:rsidR="000415D6" w:rsidRDefault="006372CE" w:rsidP="000415D6">
      <w:pPr>
        <w:pStyle w:val="TSNumberedParagraph1"/>
        <w:numPr>
          <w:ilvl w:val="0"/>
          <w:numId w:val="12"/>
        </w:numPr>
        <w:spacing w:before="220"/>
      </w:pPr>
      <w:r>
        <w:t xml:space="preserve">SAP </w:t>
      </w:r>
      <w:r w:rsidR="000415D6">
        <w:t xml:space="preserve">DC.3 requires the consideration of timing of decommissioning, including the interactions with and dependencies on other facilities or services and the technical practicability of activities. The Inspector </w:t>
      </w:r>
      <w:r w:rsidR="00A639D9">
        <w:t>may wish to</w:t>
      </w:r>
      <w:r w:rsidR="000415D6">
        <w:t xml:space="preserve"> consider the interactions between adjacent facilities, both for interdependencies and potential impact on adjacent facilities. This is discussed in WENRA Safety Reference Level DE-22.</w:t>
      </w:r>
    </w:p>
    <w:p w14:paraId="3E5279E6" w14:textId="20B2B08C" w:rsidR="00D248A6" w:rsidRPr="00133AEF" w:rsidRDefault="006372CE" w:rsidP="00F925B6">
      <w:pPr>
        <w:pStyle w:val="TSHeadingNumbered1"/>
        <w:numPr>
          <w:ilvl w:val="1"/>
          <w:numId w:val="11"/>
        </w:numPr>
        <w:tabs>
          <w:tab w:val="clear" w:pos="-31680"/>
        </w:tabs>
        <w:rPr>
          <w:caps w:val="0"/>
        </w:rPr>
      </w:pPr>
      <w:bookmarkStart w:id="53" w:name="_Toc57895887"/>
      <w:r>
        <w:rPr>
          <w:caps w:val="0"/>
        </w:rPr>
        <w:t>Deferred decommissioning or d</w:t>
      </w:r>
      <w:r w:rsidR="00D248A6" w:rsidRPr="00133AEF">
        <w:rPr>
          <w:caps w:val="0"/>
        </w:rPr>
        <w:t>emolition</w:t>
      </w:r>
      <w:bookmarkEnd w:id="52"/>
      <w:bookmarkEnd w:id="53"/>
    </w:p>
    <w:p w14:paraId="75607514" w14:textId="2B0FB2A2" w:rsidR="00995D96" w:rsidRDefault="006372CE" w:rsidP="00995D96">
      <w:pPr>
        <w:pStyle w:val="TSNumberedParagraph1"/>
        <w:numPr>
          <w:ilvl w:val="0"/>
          <w:numId w:val="12"/>
        </w:numPr>
        <w:spacing w:before="220"/>
      </w:pPr>
      <w:r>
        <w:t xml:space="preserve">SAP </w:t>
      </w:r>
      <w:r w:rsidR="00995D96">
        <w:t xml:space="preserve">DC.3 </w:t>
      </w:r>
      <w:r>
        <w:t>establishes</w:t>
      </w:r>
      <w:r w:rsidR="00995D96">
        <w:t xml:space="preserve"> the expectation that facilities are decommissioned and demolished as soon as reasonably practicable after end of operations, so that risks can be reduced so far as is reasonably practicable. There may be valid reasons</w:t>
      </w:r>
      <w:r w:rsidR="00AF50D7">
        <w:t xml:space="preserve"> for the </w:t>
      </w:r>
      <w:proofErr w:type="spellStart"/>
      <w:r w:rsidR="00AF50D7">
        <w:t>dutyholder</w:t>
      </w:r>
      <w:proofErr w:type="spellEnd"/>
      <w:r w:rsidR="00995D96">
        <w:t xml:space="preserve"> to defer these actions, including, but not limited to:</w:t>
      </w:r>
    </w:p>
    <w:p w14:paraId="107883FE" w14:textId="32382B97" w:rsidR="00995D96" w:rsidRDefault="006372CE" w:rsidP="00124EE9">
      <w:pPr>
        <w:pStyle w:val="TSBullet1Square"/>
        <w:numPr>
          <w:ilvl w:val="0"/>
          <w:numId w:val="10"/>
        </w:numPr>
        <w:tabs>
          <w:tab w:val="num" w:pos="-31680"/>
        </w:tabs>
      </w:pPr>
      <w:r>
        <w:t>awaiting decay of radiological risk,</w:t>
      </w:r>
    </w:p>
    <w:p w14:paraId="7A6C672F" w14:textId="1AD855A7" w:rsidR="00995D96" w:rsidRDefault="006372CE" w:rsidP="00124EE9">
      <w:pPr>
        <w:pStyle w:val="TSBullet1Square"/>
        <w:numPr>
          <w:ilvl w:val="0"/>
          <w:numId w:val="10"/>
        </w:numPr>
        <w:tabs>
          <w:tab w:val="num" w:pos="-31680"/>
        </w:tabs>
      </w:pPr>
      <w:r>
        <w:t>to allow for development of lower risk methods (e.g. remote demolition),</w:t>
      </w:r>
    </w:p>
    <w:p w14:paraId="2BBF73F5" w14:textId="495A50F4" w:rsidR="00995D96" w:rsidRDefault="006372CE" w:rsidP="00124EE9">
      <w:pPr>
        <w:pStyle w:val="TSBullet1Square"/>
        <w:numPr>
          <w:ilvl w:val="0"/>
          <w:numId w:val="10"/>
        </w:numPr>
        <w:tabs>
          <w:tab w:val="num" w:pos="-31680"/>
        </w:tabs>
      </w:pPr>
      <w:r>
        <w:t>to allow for specialist resource to become available,</w:t>
      </w:r>
    </w:p>
    <w:p w14:paraId="6AD03779" w14:textId="74280F4D" w:rsidR="00995D96" w:rsidRDefault="006372CE" w:rsidP="00124EE9">
      <w:pPr>
        <w:pStyle w:val="TSBullet1Square"/>
        <w:numPr>
          <w:ilvl w:val="0"/>
          <w:numId w:val="10"/>
        </w:numPr>
        <w:tabs>
          <w:tab w:val="num" w:pos="-31680"/>
        </w:tabs>
      </w:pPr>
      <w:r>
        <w:t>waste route availability,</w:t>
      </w:r>
    </w:p>
    <w:p w14:paraId="50ED0302" w14:textId="719423B0" w:rsidR="00995D96" w:rsidRDefault="006372CE" w:rsidP="00124EE9">
      <w:pPr>
        <w:pStyle w:val="TSBullet1Square"/>
        <w:numPr>
          <w:ilvl w:val="0"/>
          <w:numId w:val="10"/>
        </w:numPr>
        <w:tabs>
          <w:tab w:val="num" w:pos="-31680"/>
        </w:tabs>
      </w:pPr>
      <w:r>
        <w:t>to learn from pilot or experimental works on comparable facilities,</w:t>
      </w:r>
    </w:p>
    <w:p w14:paraId="2F994CB4" w14:textId="5B29F99E" w:rsidR="00995D96" w:rsidRDefault="006372CE" w:rsidP="00124EE9">
      <w:pPr>
        <w:pStyle w:val="TSBullet1Square"/>
        <w:numPr>
          <w:ilvl w:val="0"/>
          <w:numId w:val="10"/>
        </w:numPr>
        <w:tabs>
          <w:tab w:val="num" w:pos="-31680"/>
        </w:tabs>
      </w:pPr>
      <w:r>
        <w:t xml:space="preserve">resources </w:t>
      </w:r>
      <w:r w:rsidR="00995D96">
        <w:t>required could achieve a greater benefit by attending to risks and hazards to other facilities. Note it would be inappropriate to defer actions simply for financial reasons.</w:t>
      </w:r>
    </w:p>
    <w:p w14:paraId="27205B3A" w14:textId="77777777" w:rsidR="00995D96" w:rsidRDefault="00995D96" w:rsidP="00995D96">
      <w:pPr>
        <w:pStyle w:val="TSNumberedParagraph1"/>
        <w:numPr>
          <w:ilvl w:val="0"/>
          <w:numId w:val="12"/>
        </w:numPr>
        <w:spacing w:before="220"/>
      </w:pPr>
      <w:r>
        <w:t xml:space="preserve">The </w:t>
      </w:r>
      <w:proofErr w:type="spellStart"/>
      <w:r>
        <w:rPr>
          <w:iCs/>
        </w:rPr>
        <w:t>dutyholder</w:t>
      </w:r>
      <w:proofErr w:type="spellEnd"/>
      <w:r>
        <w:t xml:space="preserve"> should be able to justify decisions to defer actions on the basis that overall site risks have been reduced as low as reasonably practicable</w:t>
      </w:r>
      <w:r w:rsidRPr="003C3CDC">
        <w:t>.</w:t>
      </w:r>
      <w:r>
        <w:t xml:space="preserve"> The reasons must be balanced against the risks of deferred action, such as ongoing ageing and degradation effects, and the loss of knowledge and </w:t>
      </w:r>
      <w:r>
        <w:rPr>
          <w:lang w:eastAsia="en-GB"/>
        </w:rPr>
        <w:t xml:space="preserve">suitably qualified and experienced personnel (SQEP) </w:t>
      </w:r>
      <w:r>
        <w:t>resource.</w:t>
      </w:r>
    </w:p>
    <w:p w14:paraId="6972C5EB" w14:textId="4AA8356B" w:rsidR="006E44E0" w:rsidRDefault="006372CE" w:rsidP="006372CE">
      <w:pPr>
        <w:pStyle w:val="TSNumberedParagraph1"/>
        <w:numPr>
          <w:ilvl w:val="0"/>
          <w:numId w:val="12"/>
        </w:numPr>
        <w:spacing w:before="220"/>
      </w:pPr>
      <w:r>
        <w:rPr>
          <w:rStyle w:val="TSExampleText"/>
          <w:i w:val="0"/>
          <w:color w:val="auto"/>
        </w:rPr>
        <w:lastRenderedPageBreak/>
        <w:t xml:space="preserve">SAP </w:t>
      </w:r>
      <w:r w:rsidR="00F3652C" w:rsidRPr="006372CE">
        <w:rPr>
          <w:rStyle w:val="TSExampleText"/>
          <w:i w:val="0"/>
          <w:color w:val="auto"/>
        </w:rPr>
        <w:t xml:space="preserve">EMC.11 </w:t>
      </w:r>
      <w:r>
        <w:rPr>
          <w:rStyle w:val="TSExampleText"/>
          <w:i w:val="0"/>
          <w:color w:val="auto"/>
        </w:rPr>
        <w:t>establishes</w:t>
      </w:r>
      <w:r w:rsidR="006E44E0" w:rsidRPr="006372CE">
        <w:rPr>
          <w:rStyle w:val="TSExampleText"/>
          <w:i w:val="0"/>
          <w:color w:val="auto"/>
        </w:rPr>
        <w:t xml:space="preserve"> the expectation that failure modes</w:t>
      </w:r>
      <w:r w:rsidR="00F3652C" w:rsidRPr="006372CE">
        <w:rPr>
          <w:rStyle w:val="TSExampleText"/>
          <w:i w:val="0"/>
          <w:color w:val="auto"/>
        </w:rPr>
        <w:t xml:space="preserve"> should be gradual and predictable</w:t>
      </w:r>
      <w:r w:rsidR="006E44E0" w:rsidRPr="006372CE">
        <w:rPr>
          <w:rStyle w:val="TSExampleText"/>
          <w:i w:val="0"/>
          <w:color w:val="auto"/>
        </w:rPr>
        <w:t xml:space="preserve">, EAD.2 </w:t>
      </w:r>
      <w:r>
        <w:rPr>
          <w:rStyle w:val="TSExampleText"/>
          <w:i w:val="0"/>
          <w:color w:val="auto"/>
        </w:rPr>
        <w:t>that</w:t>
      </w:r>
      <w:r w:rsidR="006E44E0" w:rsidRPr="006372CE">
        <w:rPr>
          <w:rStyle w:val="TSExampleText"/>
          <w:i w:val="0"/>
          <w:color w:val="auto"/>
        </w:rPr>
        <w:t xml:space="preserve"> there should be sufficient margin for the remaining life and EMT.6 that provision should be made for EIMT throughout the life of the structure, commensurate with the reliability required of each SSC</w:t>
      </w:r>
      <w:r w:rsidR="00F3652C" w:rsidRPr="006372CE">
        <w:rPr>
          <w:rStyle w:val="TSExampleText"/>
          <w:i w:val="0"/>
          <w:color w:val="auto"/>
        </w:rPr>
        <w:t xml:space="preserve">. </w:t>
      </w:r>
      <w:r w:rsidR="006E44E0" w:rsidRPr="006372CE">
        <w:rPr>
          <w:rStyle w:val="TSExampleText"/>
          <w:i w:val="0"/>
          <w:color w:val="auto"/>
        </w:rPr>
        <w:t xml:space="preserve">The Inspector </w:t>
      </w:r>
      <w:r w:rsidR="00A639D9">
        <w:t>may wish to</w:t>
      </w:r>
      <w:r w:rsidR="006E44E0" w:rsidRPr="006372CE">
        <w:rPr>
          <w:rStyle w:val="TSExampleText"/>
          <w:i w:val="0"/>
          <w:color w:val="auto"/>
        </w:rPr>
        <w:t xml:space="preserve"> consider the condition of the structure in line with the expectations of these SAPs as a means to avoid a situation where a </w:t>
      </w:r>
      <w:r w:rsidR="0067073F">
        <w:t>structure has become unsafe to access, unstable or unacceptably vulnerable to external hazards events.</w:t>
      </w:r>
      <w:r w:rsidR="006E44E0">
        <w:t xml:space="preserve"> When considering external hazard events for structures that are undergoing deferral, the Inspector </w:t>
      </w:r>
      <w:r w:rsidR="007743E7">
        <w:t xml:space="preserve">may wish to seek assurance that </w:t>
      </w:r>
      <w:r w:rsidR="006E44E0">
        <w:t xml:space="preserve">the </w:t>
      </w:r>
      <w:r w:rsidR="00A639D9">
        <w:t xml:space="preserve">implication </w:t>
      </w:r>
      <w:r w:rsidR="006E44E0">
        <w:t xml:space="preserve">extended life </w:t>
      </w:r>
      <w:r w:rsidR="00A639D9">
        <w:t xml:space="preserve">may </w:t>
      </w:r>
      <w:r w:rsidR="006E44E0">
        <w:t xml:space="preserve">have on the consideration of loadings, </w:t>
      </w:r>
      <w:r w:rsidR="007743E7">
        <w:t xml:space="preserve">is </w:t>
      </w:r>
      <w:r w:rsidR="006E44E0">
        <w:t>in li</w:t>
      </w:r>
      <w:r>
        <w:t>ne with the expectations of SAPs</w:t>
      </w:r>
      <w:r w:rsidR="00A639D9">
        <w:t xml:space="preserve"> EHA.7, EHA.18 and ECE.6</w:t>
      </w:r>
      <w:r w:rsidR="00193BC8">
        <w:t>.</w:t>
      </w:r>
    </w:p>
    <w:p w14:paraId="0479F92B" w14:textId="37A5407F" w:rsidR="0067073F" w:rsidRDefault="0067073F" w:rsidP="002833AC">
      <w:pPr>
        <w:pStyle w:val="TSNumberedParagraph1"/>
        <w:numPr>
          <w:ilvl w:val="0"/>
          <w:numId w:val="12"/>
        </w:numPr>
        <w:spacing w:before="220"/>
      </w:pPr>
      <w:r>
        <w:t xml:space="preserve">Risks created to adjacent facilities should be considered when considering </w:t>
      </w:r>
      <w:r w:rsidR="006E44E0">
        <w:t xml:space="preserve">deferral of demolition, in line with </w:t>
      </w:r>
      <w:r w:rsidR="00D16F43">
        <w:t xml:space="preserve">the expectations of </w:t>
      </w:r>
      <w:r w:rsidR="006E44E0">
        <w:t>SAP DC.3</w:t>
      </w:r>
      <w:r w:rsidR="00D16F43">
        <w:t xml:space="preserve"> and DC.5 where civil engineering SSCs are expected to act in a passively safe way</w:t>
      </w:r>
      <w:r w:rsidR="006E44E0">
        <w:t xml:space="preserve"> </w:t>
      </w:r>
      <w:r w:rsidR="0078797A">
        <w:t xml:space="preserve">(see also </w:t>
      </w:r>
      <w:r w:rsidR="006E44E0">
        <w:t>WENR</w:t>
      </w:r>
      <w:r w:rsidR="00A639D9">
        <w:t>A Safety Reference Level DE-22</w:t>
      </w:r>
      <w:r w:rsidR="001D637F">
        <w:t xml:space="preserve"> and DE-48</w:t>
      </w:r>
      <w:r w:rsidR="0078797A">
        <w:t>)</w:t>
      </w:r>
      <w:r w:rsidR="00A639D9">
        <w:t>.</w:t>
      </w:r>
      <w:r w:rsidR="00B70E8E">
        <w:t xml:space="preserve"> Further to this, </w:t>
      </w:r>
      <w:r w:rsidR="006E5102">
        <w:t xml:space="preserve">when considering deferment, the Inspector may wish to consider whether </w:t>
      </w:r>
      <w:r w:rsidR="00AF6849">
        <w:t xml:space="preserve">the appropriate categorisation </w:t>
      </w:r>
      <w:r w:rsidR="00B15601">
        <w:t xml:space="preserve">has been applied </w:t>
      </w:r>
      <w:r w:rsidR="00AF6849">
        <w:t xml:space="preserve">to </w:t>
      </w:r>
      <w:r w:rsidR="004C3E05">
        <w:t>any modifications to the plan</w:t>
      </w:r>
      <w:r w:rsidR="00B427AA">
        <w:t xml:space="preserve">ned decommissioning activities </w:t>
      </w:r>
      <w:r w:rsidR="00B15601">
        <w:t>to reflect whether the deferment could compromise the safety of the activities on site</w:t>
      </w:r>
      <w:r w:rsidR="002225CA">
        <w:t xml:space="preserve">, </w:t>
      </w:r>
      <w:r w:rsidR="00B93743">
        <w:t>(see also WENRA Safety Reference Level DE-</w:t>
      </w:r>
      <w:r w:rsidR="002225CA">
        <w:t>47)</w:t>
      </w:r>
      <w:r w:rsidR="007E5EA8">
        <w:t>.</w:t>
      </w:r>
    </w:p>
    <w:p w14:paraId="742EB6B6" w14:textId="6B0B7BF3" w:rsidR="00BE2249" w:rsidRDefault="00BE2249" w:rsidP="002833AC">
      <w:pPr>
        <w:pStyle w:val="TSNumberedParagraph1"/>
        <w:numPr>
          <w:ilvl w:val="0"/>
          <w:numId w:val="12"/>
        </w:numPr>
        <w:spacing w:before="220"/>
      </w:pPr>
      <w:r>
        <w:t xml:space="preserve">For information on </w:t>
      </w:r>
      <w:r w:rsidR="0065402E">
        <w:t>d</w:t>
      </w:r>
      <w:r>
        <w:t>esign basis and beyond design basis</w:t>
      </w:r>
      <w:r w:rsidR="0065402E">
        <w:t xml:space="preserve"> and cliff edge effects</w:t>
      </w:r>
      <w:r w:rsidR="007B269D">
        <w:t xml:space="preserve"> when considering </w:t>
      </w:r>
      <w:r w:rsidR="00674547">
        <w:t>deferment</w:t>
      </w:r>
      <w:r w:rsidR="007B269D">
        <w:t xml:space="preserve"> or extended life</w:t>
      </w:r>
      <w:r>
        <w:t>, see:</w:t>
      </w:r>
    </w:p>
    <w:p w14:paraId="568FCA68" w14:textId="43877B5B" w:rsidR="00BE2249" w:rsidRPr="0065402E" w:rsidRDefault="0065402E" w:rsidP="0065402E">
      <w:pPr>
        <w:pStyle w:val="TSBullet1Square"/>
        <w:numPr>
          <w:ilvl w:val="0"/>
          <w:numId w:val="10"/>
        </w:numPr>
        <w:tabs>
          <w:tab w:val="num" w:pos="-31680"/>
        </w:tabs>
        <w:rPr>
          <w:iCs/>
        </w:rPr>
      </w:pPr>
      <w:r>
        <w:rPr>
          <w:iCs/>
        </w:rPr>
        <w:t>ONR-NS-TAST-GD-006 ‘</w:t>
      </w:r>
      <w:r w:rsidRPr="0065402E">
        <w:t>Design</w:t>
      </w:r>
      <w:r>
        <w:rPr>
          <w:iCs/>
        </w:rPr>
        <w:t xml:space="preserve"> Basis Analysis’</w:t>
      </w:r>
      <w:r w:rsidR="00B73DCC">
        <w:rPr>
          <w:iCs/>
        </w:rPr>
        <w:t>.</w:t>
      </w:r>
    </w:p>
    <w:p w14:paraId="2164E0E5" w14:textId="66D13738" w:rsidR="00D9314A" w:rsidRPr="00D9314A" w:rsidRDefault="00FB560F" w:rsidP="00131F4D">
      <w:pPr>
        <w:pStyle w:val="TSHeadingNumbered1"/>
        <w:numPr>
          <w:ilvl w:val="1"/>
          <w:numId w:val="11"/>
        </w:numPr>
        <w:tabs>
          <w:tab w:val="clear" w:pos="-31680"/>
        </w:tabs>
        <w:rPr>
          <w:caps w:val="0"/>
        </w:rPr>
      </w:pPr>
      <w:bookmarkStart w:id="54" w:name="_Toc57895888"/>
      <w:r>
        <w:rPr>
          <w:caps w:val="0"/>
        </w:rPr>
        <w:t>Design life</w:t>
      </w:r>
      <w:bookmarkEnd w:id="54"/>
    </w:p>
    <w:p w14:paraId="5ED409E0" w14:textId="37F97164" w:rsidR="00F810D1" w:rsidRDefault="00131F4D" w:rsidP="00D9314A">
      <w:pPr>
        <w:pStyle w:val="TSNumberedParagraph1"/>
        <w:numPr>
          <w:ilvl w:val="0"/>
          <w:numId w:val="12"/>
        </w:numPr>
        <w:spacing w:before="220"/>
      </w:pPr>
      <w:r>
        <w:t>For periods where the structures are intended to provide passive safety</w:t>
      </w:r>
      <w:r w:rsidR="00F810D1">
        <w:t xml:space="preserve"> post-operation</w:t>
      </w:r>
      <w:r>
        <w:t>, the civil engineering SSCs are to be designed for an appropriate design life. T</w:t>
      </w:r>
      <w:r w:rsidR="00124EE9">
        <w:t xml:space="preserve">he Inspector </w:t>
      </w:r>
      <w:r w:rsidR="00A639D9">
        <w:t>may wish to</w:t>
      </w:r>
      <w:r w:rsidR="00124EE9">
        <w:t xml:space="preserve"> consider how the </w:t>
      </w:r>
      <w:proofErr w:type="spellStart"/>
      <w:r w:rsidR="00124EE9">
        <w:t>dutyholder</w:t>
      </w:r>
      <w:proofErr w:type="spellEnd"/>
      <w:r w:rsidR="00124EE9">
        <w:t xml:space="preserve"> is </w:t>
      </w:r>
      <w:r w:rsidR="00D9314A">
        <w:t>preventing conditions which could lead to accelerated deterioration of the structure</w:t>
      </w:r>
      <w:r>
        <w:t>, and an impingement on the anticipated design life</w:t>
      </w:r>
      <w:r w:rsidR="00D9314A">
        <w:t xml:space="preserve">. </w:t>
      </w:r>
      <w:r w:rsidR="0069424D">
        <w:t xml:space="preserve">The Inspector </w:t>
      </w:r>
      <w:r w:rsidR="00A639D9">
        <w:t>may wish to</w:t>
      </w:r>
      <w:r w:rsidR="0069424D">
        <w:t xml:space="preserve"> </w:t>
      </w:r>
      <w:r w:rsidR="00507C0C">
        <w:t>seek assurance that</w:t>
      </w:r>
      <w:r w:rsidR="0069424D">
        <w:t xml:space="preserve"> the EIMT arrangements for civil engineering SSCs throughout the</w:t>
      </w:r>
      <w:r w:rsidR="004F5F44">
        <w:t xml:space="preserve"> post-operation</w:t>
      </w:r>
      <w:r w:rsidR="0069424D">
        <w:t xml:space="preserve"> period </w:t>
      </w:r>
      <w:r w:rsidR="00507C0C">
        <w:t xml:space="preserve">are adequate </w:t>
      </w:r>
      <w:r w:rsidR="0069424D">
        <w:t>to manage the factors that can deteriorate the SSC during this period.</w:t>
      </w:r>
    </w:p>
    <w:p w14:paraId="19A58999" w14:textId="50F11C67" w:rsidR="00F810D1" w:rsidRDefault="00131F4D" w:rsidP="00D9314A">
      <w:pPr>
        <w:pStyle w:val="TSNumberedParagraph1"/>
        <w:numPr>
          <w:ilvl w:val="0"/>
          <w:numId w:val="12"/>
        </w:numPr>
        <w:spacing w:before="220"/>
      </w:pPr>
      <w:r>
        <w:t xml:space="preserve">If the civil engineering SSC is not newly constructed to perform the safety functions for the period required, the SSC may exceed its originally anticipated design life before entering, or during, the </w:t>
      </w:r>
      <w:r w:rsidR="004F5F44">
        <w:t>post-operation</w:t>
      </w:r>
      <w:r>
        <w:t xml:space="preserve"> pe</w:t>
      </w:r>
      <w:r w:rsidR="004F5F44">
        <w:t>riod</w:t>
      </w:r>
      <w:r>
        <w:t xml:space="preserve">. </w:t>
      </w:r>
      <w:r w:rsidR="00FB560F">
        <w:t xml:space="preserve">Where cessation of operation and / or </w:t>
      </w:r>
      <w:r>
        <w:t>demolition is deferred</w:t>
      </w:r>
      <w:r w:rsidR="00FB560F">
        <w:t xml:space="preserve"> compared with the original periods assumed in the design, the civil engineering SSC may exceed its originally anticipated design life by decades before entering or during the post-operation </w:t>
      </w:r>
      <w:r w:rsidR="004F5F44">
        <w:t>period</w:t>
      </w:r>
      <w:r>
        <w:t xml:space="preserve">. </w:t>
      </w:r>
      <w:r w:rsidR="00FB560F">
        <w:t xml:space="preserve">In this situation, the Inspector </w:t>
      </w:r>
      <w:r w:rsidR="00A639D9">
        <w:t>may wish to</w:t>
      </w:r>
      <w:r w:rsidR="00FB560F">
        <w:t xml:space="preserve"> </w:t>
      </w:r>
      <w:r w:rsidR="00507C0C">
        <w:t xml:space="preserve">seek assurance of the adequacy of </w:t>
      </w:r>
      <w:r w:rsidR="00FB560F">
        <w:t>the justification for continued provision of safety functions</w:t>
      </w:r>
      <w:r w:rsidR="00507C0C">
        <w:t>,</w:t>
      </w:r>
      <w:r w:rsidR="00FB560F">
        <w:t xml:space="preserve"> with evidence of safety margins appropriate for the </w:t>
      </w:r>
      <w:r w:rsidR="00BB5237">
        <w:t>safety function and extended lifetime requirements.</w:t>
      </w:r>
    </w:p>
    <w:p w14:paraId="5E506CC4" w14:textId="17E64F5C" w:rsidR="00D9314A" w:rsidRDefault="00F810D1" w:rsidP="00D9314A">
      <w:pPr>
        <w:pStyle w:val="TSNumberedParagraph1"/>
        <w:numPr>
          <w:ilvl w:val="0"/>
          <w:numId w:val="12"/>
        </w:numPr>
        <w:spacing w:before="220"/>
      </w:pPr>
      <w:r w:rsidRPr="004F5F44">
        <w:t xml:space="preserve">During </w:t>
      </w:r>
      <w:r w:rsidR="004F5F44" w:rsidRPr="004F5F44">
        <w:t>the post-operation</w:t>
      </w:r>
      <w:r w:rsidRPr="004F5F44">
        <w:t xml:space="preserve"> </w:t>
      </w:r>
      <w:r w:rsidR="004F5F44" w:rsidRPr="004F5F44">
        <w:t>period</w:t>
      </w:r>
      <w:r w:rsidRPr="004F5F44">
        <w:t xml:space="preserve">, there are fewer personnel accessing buildings than during operation, so defects and ageing effects may not be identified so readily. </w:t>
      </w:r>
      <w:r w:rsidR="00131F4D" w:rsidRPr="004F5F44">
        <w:t>When considering passive safety</w:t>
      </w:r>
      <w:r w:rsidR="004F5F44" w:rsidRPr="004F5F44">
        <w:t xml:space="preserve"> in the post-</w:t>
      </w:r>
      <w:r w:rsidRPr="004F5F44">
        <w:t>operation phase</w:t>
      </w:r>
      <w:r w:rsidR="00131F4D" w:rsidRPr="004F5F44">
        <w:t xml:space="preserve">, </w:t>
      </w:r>
      <w:r w:rsidR="00FB560F" w:rsidRPr="004F5F44">
        <w:t xml:space="preserve">the assumptions in the design for achieving the design life are that the civil engineering SSC is adequately maintained. </w:t>
      </w:r>
      <w:r w:rsidR="00A639D9" w:rsidRPr="004F5F44">
        <w:t>the I</w:t>
      </w:r>
      <w:r w:rsidR="00BB5237" w:rsidRPr="004F5F44">
        <w:t xml:space="preserve">nspector </w:t>
      </w:r>
      <w:r w:rsidR="00A639D9">
        <w:t>may wish to</w:t>
      </w:r>
      <w:r w:rsidR="00BB5237" w:rsidRPr="004F5F44">
        <w:t xml:space="preserve"> consider</w:t>
      </w:r>
      <w:r w:rsidR="00BB5237">
        <w:t xml:space="preserve"> the arrangements in place to:</w:t>
      </w:r>
    </w:p>
    <w:p w14:paraId="4E6994D0" w14:textId="0732090A" w:rsidR="00D9314A" w:rsidRDefault="00BB5237" w:rsidP="00124EE9">
      <w:pPr>
        <w:pStyle w:val="TSBullet1Square"/>
        <w:numPr>
          <w:ilvl w:val="0"/>
          <w:numId w:val="10"/>
        </w:numPr>
        <w:tabs>
          <w:tab w:val="num" w:pos="-31680"/>
        </w:tabs>
      </w:pPr>
      <w:r>
        <w:t>maintain flat roofs,</w:t>
      </w:r>
      <w:r w:rsidR="001B7618">
        <w:t xml:space="preserve"> gutters, and rainwater outlets,</w:t>
      </w:r>
    </w:p>
    <w:p w14:paraId="437EC1D5" w14:textId="7231A4B4" w:rsidR="00D9314A" w:rsidRDefault="00BB5237" w:rsidP="00124EE9">
      <w:pPr>
        <w:pStyle w:val="TSBullet1Square"/>
        <w:numPr>
          <w:ilvl w:val="0"/>
          <w:numId w:val="10"/>
        </w:numPr>
        <w:tabs>
          <w:tab w:val="num" w:pos="-31680"/>
        </w:tabs>
      </w:pPr>
      <w:r>
        <w:t>minimise internal conden</w:t>
      </w:r>
      <w:r w:rsidR="001B7618">
        <w:t>sation on metallic surfaces,</w:t>
      </w:r>
    </w:p>
    <w:p w14:paraId="70DEF326" w14:textId="5F39DDC4" w:rsidR="00D9314A" w:rsidRDefault="00BB5237" w:rsidP="00124EE9">
      <w:pPr>
        <w:pStyle w:val="TSBullet1Square"/>
        <w:numPr>
          <w:ilvl w:val="0"/>
          <w:numId w:val="10"/>
        </w:numPr>
        <w:tabs>
          <w:tab w:val="num" w:pos="-31680"/>
        </w:tabs>
      </w:pPr>
      <w:r>
        <w:t xml:space="preserve">prevent </w:t>
      </w:r>
      <w:r w:rsidR="00D9314A">
        <w:t>a build-up of water (penetrating ground water or leaking services).</w:t>
      </w:r>
    </w:p>
    <w:p w14:paraId="34D52112" w14:textId="77777777" w:rsidR="00842781" w:rsidRDefault="00842781">
      <w:r>
        <w:br w:type="page"/>
      </w:r>
    </w:p>
    <w:p w14:paraId="3422F2CA" w14:textId="57B0CDD4" w:rsidR="00D9314A" w:rsidRDefault="00124EE9" w:rsidP="00D9314A">
      <w:pPr>
        <w:pStyle w:val="TSNumberedParagraph1"/>
        <w:numPr>
          <w:ilvl w:val="0"/>
          <w:numId w:val="12"/>
        </w:numPr>
        <w:spacing w:before="220"/>
      </w:pPr>
      <w:r>
        <w:lastRenderedPageBreak/>
        <w:t xml:space="preserve">The Inspector </w:t>
      </w:r>
      <w:r w:rsidR="00A639D9">
        <w:t>may wish to</w:t>
      </w:r>
      <w:r>
        <w:t xml:space="preserve"> consider how the </w:t>
      </w:r>
      <w:proofErr w:type="spellStart"/>
      <w:r>
        <w:t>dutyholder</w:t>
      </w:r>
      <w:proofErr w:type="spellEnd"/>
      <w:r>
        <w:t xml:space="preserve"> is</w:t>
      </w:r>
      <w:r w:rsidR="00D9314A">
        <w:t xml:space="preserve"> preventing accelerated deterioration of hazardous materials or the creation of new hazards. This might include:</w:t>
      </w:r>
    </w:p>
    <w:p w14:paraId="3BC8FE22" w14:textId="0388C62F" w:rsidR="00D9314A" w:rsidRDefault="001B7618" w:rsidP="00124EE9">
      <w:pPr>
        <w:pStyle w:val="TSBullet1Square"/>
        <w:numPr>
          <w:ilvl w:val="0"/>
          <w:numId w:val="10"/>
        </w:numPr>
        <w:tabs>
          <w:tab w:val="num" w:pos="-31680"/>
        </w:tabs>
      </w:pPr>
      <w:r>
        <w:t>protection to asbestos containing (or other potentially hazardous) materials,</w:t>
      </w:r>
    </w:p>
    <w:p w14:paraId="28CA3485" w14:textId="636CE10C" w:rsidR="00D9314A" w:rsidRDefault="001B7618" w:rsidP="00124EE9">
      <w:pPr>
        <w:pStyle w:val="TSBullet1Square"/>
        <w:numPr>
          <w:ilvl w:val="0"/>
          <w:numId w:val="10"/>
        </w:numPr>
        <w:tabs>
          <w:tab w:val="num" w:pos="-31680"/>
        </w:tabs>
      </w:pPr>
      <w:r>
        <w:t>removal of spring hangers or other components with embodied energy,</w:t>
      </w:r>
    </w:p>
    <w:p w14:paraId="704DA7CF" w14:textId="248F0CA1" w:rsidR="00D9314A" w:rsidRDefault="001B7618" w:rsidP="00124EE9">
      <w:pPr>
        <w:pStyle w:val="TSBullet1Square"/>
        <w:numPr>
          <w:ilvl w:val="0"/>
          <w:numId w:val="10"/>
        </w:numPr>
        <w:tabs>
          <w:tab w:val="num" w:pos="-31680"/>
        </w:tabs>
      </w:pPr>
      <w:r>
        <w:t>distribution of residual activity or contamination,</w:t>
      </w:r>
    </w:p>
    <w:p w14:paraId="6E2B93B4" w14:textId="72C2711B" w:rsidR="00D9314A" w:rsidRDefault="001B7618" w:rsidP="00124EE9">
      <w:pPr>
        <w:pStyle w:val="TSBullet1Square"/>
        <w:numPr>
          <w:ilvl w:val="0"/>
          <w:numId w:val="10"/>
        </w:numPr>
        <w:tabs>
          <w:tab w:val="num" w:pos="-31680"/>
        </w:tabs>
      </w:pPr>
      <w:r>
        <w:t>falls from height due to deteriorated roofing materials, edge protection or access ways,</w:t>
      </w:r>
    </w:p>
    <w:p w14:paraId="5644EC46" w14:textId="2D6E1FC5" w:rsidR="00124EE9" w:rsidRDefault="001B7618" w:rsidP="00124EE9">
      <w:pPr>
        <w:pStyle w:val="TSBullet1Square"/>
        <w:numPr>
          <w:ilvl w:val="0"/>
          <w:numId w:val="10"/>
        </w:numPr>
        <w:tabs>
          <w:tab w:val="num" w:pos="-31680"/>
        </w:tabs>
      </w:pPr>
      <w:r>
        <w:t>acc</w:t>
      </w:r>
      <w:r w:rsidR="00124EE9">
        <w:t xml:space="preserve">ess for EIMT to structures that are </w:t>
      </w:r>
      <w:r w:rsidR="0069424D">
        <w:t>performing safety functions.</w:t>
      </w:r>
    </w:p>
    <w:p w14:paraId="017292D0" w14:textId="63117FB1" w:rsidR="00E2475A" w:rsidRDefault="00D9314A" w:rsidP="00D9314A">
      <w:pPr>
        <w:pStyle w:val="TSNumberedParagraph1"/>
        <w:numPr>
          <w:ilvl w:val="0"/>
          <w:numId w:val="12"/>
        </w:numPr>
        <w:spacing w:before="220"/>
      </w:pPr>
      <w:r>
        <w:t xml:space="preserve">If ongoing access for </w:t>
      </w:r>
      <w:r w:rsidR="00E2475A">
        <w:t>EIMT</w:t>
      </w:r>
      <w:r>
        <w:t xml:space="preserve"> is required, safe means of access and egress must be maintained, including provision of fire escape, lighting and directional signage as appropriate. </w:t>
      </w:r>
      <w:r w:rsidR="00E2475A">
        <w:t xml:space="preserve">The Inspector </w:t>
      </w:r>
      <w:r w:rsidR="00A639D9">
        <w:t>may wish to</w:t>
      </w:r>
      <w:r w:rsidR="00E2475A">
        <w:t xml:space="preserve"> consider where areas have </w:t>
      </w:r>
      <w:r>
        <w:t>become unsafe to access</w:t>
      </w:r>
      <w:r w:rsidR="00E2475A">
        <w:t xml:space="preserve">, whether these are clearly </w:t>
      </w:r>
      <w:r>
        <w:t>identified and suitable barriers maintained</w:t>
      </w:r>
      <w:r w:rsidR="00E2475A">
        <w:t>, considering h</w:t>
      </w:r>
      <w:r w:rsidR="001B7618">
        <w:t>ow continued use is justifiable</w:t>
      </w:r>
      <w:r w:rsidR="00E2475A">
        <w:t xml:space="preserve"> where access is not possible</w:t>
      </w:r>
      <w:r w:rsidR="001B7618">
        <w:t>.</w:t>
      </w:r>
    </w:p>
    <w:p w14:paraId="335FE082" w14:textId="2CF573BD" w:rsidR="00832B6B" w:rsidRDefault="00832B6B" w:rsidP="00832B6B">
      <w:pPr>
        <w:pStyle w:val="TSNumberedParagraph1"/>
        <w:numPr>
          <w:ilvl w:val="0"/>
          <w:numId w:val="12"/>
        </w:numPr>
        <w:spacing w:before="220"/>
        <w:rPr>
          <w:iCs/>
        </w:rPr>
      </w:pPr>
      <w:bookmarkStart w:id="55" w:name="_Ref36659189"/>
      <w:r>
        <w:rPr>
          <w:iCs/>
        </w:rPr>
        <w:t>For further information on ageing of ci</w:t>
      </w:r>
      <w:r w:rsidR="001B7618">
        <w:rPr>
          <w:iCs/>
        </w:rPr>
        <w:t>vil engineering structures, see</w:t>
      </w:r>
      <w:r>
        <w:rPr>
          <w:iCs/>
        </w:rPr>
        <w:t>:</w:t>
      </w:r>
    </w:p>
    <w:p w14:paraId="5464497A" w14:textId="793C28E8" w:rsidR="00832B6B" w:rsidRPr="00701BD8" w:rsidRDefault="00880225" w:rsidP="00701BD8">
      <w:pPr>
        <w:pStyle w:val="TSBullet1Square"/>
        <w:numPr>
          <w:ilvl w:val="0"/>
          <w:numId w:val="10"/>
        </w:numPr>
        <w:tabs>
          <w:tab w:val="num" w:pos="-28713"/>
        </w:tabs>
        <w:ind w:left="1418"/>
      </w:pPr>
      <w:r>
        <w:t xml:space="preserve">TAG17 Annex </w:t>
      </w:r>
      <w:r w:rsidR="001B7618">
        <w:t>5</w:t>
      </w:r>
      <w:r w:rsidR="009524E8">
        <w:t>,</w:t>
      </w:r>
      <w:r>
        <w:t xml:space="preserve"> </w:t>
      </w:r>
      <w:r w:rsidR="009524E8">
        <w:t>‘</w:t>
      </w:r>
      <w:r w:rsidR="009524E8" w:rsidRPr="000F2702">
        <w:t xml:space="preserve">Civil Engineering – </w:t>
      </w:r>
      <w:r w:rsidR="009524E8">
        <w:t>Ageing Management and Damaged Structures’</w:t>
      </w:r>
      <w:r w:rsidR="00832B6B">
        <w:t>.</w:t>
      </w:r>
    </w:p>
    <w:p w14:paraId="2AE5641F" w14:textId="4E2167BE" w:rsidR="00F925B6" w:rsidRPr="00133AEF" w:rsidRDefault="001B7618" w:rsidP="00F925B6">
      <w:pPr>
        <w:pStyle w:val="TSHeadingNumbered1"/>
        <w:numPr>
          <w:ilvl w:val="1"/>
          <w:numId w:val="11"/>
        </w:numPr>
        <w:tabs>
          <w:tab w:val="clear" w:pos="-31680"/>
        </w:tabs>
        <w:spacing w:before="240"/>
        <w:rPr>
          <w:caps w:val="0"/>
        </w:rPr>
      </w:pPr>
      <w:bookmarkStart w:id="56" w:name="_Toc57895889"/>
      <w:r>
        <w:rPr>
          <w:caps w:val="0"/>
        </w:rPr>
        <w:t>Security a</w:t>
      </w:r>
      <w:r w:rsidR="00F925B6">
        <w:rPr>
          <w:caps w:val="0"/>
        </w:rPr>
        <w:t>rrangements</w:t>
      </w:r>
      <w:bookmarkEnd w:id="56"/>
      <w:r w:rsidR="00F925B6">
        <w:rPr>
          <w:caps w:val="0"/>
        </w:rPr>
        <w:t xml:space="preserve"> </w:t>
      </w:r>
    </w:p>
    <w:p w14:paraId="40ECC481" w14:textId="4539AC96" w:rsidR="00F25465" w:rsidRPr="002B1AA5" w:rsidRDefault="00F25465" w:rsidP="00F25465">
      <w:pPr>
        <w:pStyle w:val="TSNumberedParagraph1"/>
        <w:numPr>
          <w:ilvl w:val="0"/>
          <w:numId w:val="12"/>
        </w:numPr>
        <w:spacing w:before="220"/>
      </w:pPr>
      <w:r>
        <w:t xml:space="preserve">The Inspector </w:t>
      </w:r>
      <w:r w:rsidR="00A639D9">
        <w:t>may wish to</w:t>
      </w:r>
      <w:r>
        <w:t xml:space="preserve"> consider the potential ageing mechanisms of (physical) security systems in place for sites with deferred decommissioning. The civil engineering assessment should consider security systems that are provided by or supported by civil engineering SSCs. For more </w:t>
      </w:r>
      <w:r w:rsidRPr="002B1AA5">
        <w:t>information on EIMT for physical security systems, see:</w:t>
      </w:r>
    </w:p>
    <w:p w14:paraId="3569F5CD" w14:textId="119F4E54" w:rsidR="00F25465" w:rsidRPr="002B1AA5" w:rsidRDefault="00EE520B" w:rsidP="00F25465">
      <w:pPr>
        <w:pStyle w:val="TSNumberedParagraph1"/>
        <w:numPr>
          <w:ilvl w:val="0"/>
          <w:numId w:val="10"/>
        </w:numPr>
        <w:spacing w:before="220"/>
      </w:pPr>
      <w:r>
        <w:rPr>
          <w:lang w:eastAsia="en-GB"/>
        </w:rPr>
        <w:t>ONR-</w:t>
      </w:r>
      <w:r w:rsidR="00F25465" w:rsidRPr="002B1AA5">
        <w:t>CNS-TAST-GD-5.2 ‘Examination, Inspection, Maintenance and Testing of Physical Protection Systems’</w:t>
      </w:r>
      <w:r w:rsidR="00572A43">
        <w:t>.</w:t>
      </w:r>
    </w:p>
    <w:p w14:paraId="1C45B45C" w14:textId="37130FB9" w:rsidR="00F925B6" w:rsidRPr="00133AEF" w:rsidRDefault="001B7618" w:rsidP="00F925B6">
      <w:pPr>
        <w:pStyle w:val="TSHeadingNumbered1"/>
        <w:numPr>
          <w:ilvl w:val="1"/>
          <w:numId w:val="11"/>
        </w:numPr>
        <w:spacing w:before="240"/>
        <w:rPr>
          <w:caps w:val="0"/>
        </w:rPr>
      </w:pPr>
      <w:bookmarkStart w:id="57" w:name="_Toc57895890"/>
      <w:r>
        <w:rPr>
          <w:caps w:val="0"/>
        </w:rPr>
        <w:t>Emergency arrangements</w:t>
      </w:r>
      <w:bookmarkEnd w:id="57"/>
    </w:p>
    <w:p w14:paraId="568FAC54" w14:textId="1531A770" w:rsidR="00F925B6" w:rsidRDefault="00F925B6" w:rsidP="00F925B6">
      <w:pPr>
        <w:pStyle w:val="TSNumberedParagraph1"/>
        <w:numPr>
          <w:ilvl w:val="0"/>
          <w:numId w:val="12"/>
        </w:numPr>
        <w:spacing w:before="220"/>
      </w:pPr>
      <w:r w:rsidRPr="00BF45BC">
        <w:rPr>
          <w:rStyle w:val="TSExampleText"/>
          <w:i w:val="0"/>
          <w:color w:val="auto"/>
        </w:rPr>
        <w:t>The Inspector should expect a review of internal and external hazards throughout the phases of post-operation, to ensure that decisions made do not preclude options for ac</w:t>
      </w:r>
      <w:r w:rsidR="001B7618">
        <w:rPr>
          <w:rStyle w:val="TSExampleText"/>
          <w:i w:val="0"/>
          <w:color w:val="auto"/>
        </w:rPr>
        <w:t xml:space="preserve">cess or egress, </w:t>
      </w:r>
      <w:r w:rsidRPr="00BF45BC">
        <w:rPr>
          <w:rStyle w:val="TSExampleText"/>
          <w:i w:val="0"/>
          <w:color w:val="auto"/>
        </w:rPr>
        <w:t>invalidate assumptions in the safety case or increase the risk of structural collapse during a (beyond) design basis event.</w:t>
      </w:r>
      <w:r w:rsidR="00BF45BC" w:rsidRPr="00BF45BC">
        <w:rPr>
          <w:rStyle w:val="TSExampleText"/>
          <w:i w:val="0"/>
          <w:color w:val="auto"/>
        </w:rPr>
        <w:t xml:space="preserve"> </w:t>
      </w:r>
      <w:r>
        <w:t>For more information on EIMT for emergency arrangements, see:</w:t>
      </w:r>
    </w:p>
    <w:p w14:paraId="60D30215" w14:textId="7880053C" w:rsidR="00F925B6" w:rsidRPr="00D9314A" w:rsidRDefault="00EE520B" w:rsidP="00F925B6">
      <w:pPr>
        <w:pStyle w:val="TSNumberedParagraph1"/>
        <w:numPr>
          <w:ilvl w:val="0"/>
          <w:numId w:val="10"/>
        </w:numPr>
        <w:spacing w:before="220"/>
      </w:pPr>
      <w:r>
        <w:rPr>
          <w:lang w:eastAsia="en-GB"/>
        </w:rPr>
        <w:t>ONR-</w:t>
      </w:r>
      <w:r w:rsidR="00F925B6" w:rsidRPr="00CC121D">
        <w:t>CNS-TAST-GD-5.2 ‘</w:t>
      </w:r>
      <w:r w:rsidR="00F925B6">
        <w:t>Emergency Preparedness and Response</w:t>
      </w:r>
      <w:r w:rsidR="00F925B6" w:rsidRPr="00CC121D">
        <w:t>’.</w:t>
      </w:r>
    </w:p>
    <w:p w14:paraId="1E98439E" w14:textId="61425F5B" w:rsidR="00F925B6" w:rsidRDefault="00F925B6" w:rsidP="00F925B6">
      <w:pPr>
        <w:pStyle w:val="TSNumberedParagraph1"/>
        <w:numPr>
          <w:ilvl w:val="0"/>
          <w:numId w:val="12"/>
        </w:numPr>
        <w:spacing w:before="220"/>
      </w:pPr>
      <w:r w:rsidRPr="00BF45BC">
        <w:rPr>
          <w:rStyle w:val="TSExampleText"/>
          <w:i w:val="0"/>
          <w:color w:val="auto"/>
        </w:rPr>
        <w:t xml:space="preserve">For an event in the post-operational phase, </w:t>
      </w:r>
      <w:r w:rsidR="00BF45BC" w:rsidRPr="00BF45BC">
        <w:rPr>
          <w:rStyle w:val="TSExampleText"/>
          <w:i w:val="0"/>
          <w:color w:val="auto"/>
        </w:rPr>
        <w:t xml:space="preserve">either </w:t>
      </w:r>
      <w:r w:rsidRPr="00BF45BC">
        <w:rPr>
          <w:rStyle w:val="TSExampleText"/>
          <w:i w:val="0"/>
          <w:color w:val="auto"/>
        </w:rPr>
        <w:t>design basis or beyond design basis</w:t>
      </w:r>
      <w:r w:rsidR="00BF45BC" w:rsidRPr="00BF45BC">
        <w:rPr>
          <w:rStyle w:val="TSExampleText"/>
          <w:i w:val="0"/>
          <w:color w:val="auto"/>
        </w:rPr>
        <w:t xml:space="preserve"> event or accident</w:t>
      </w:r>
      <w:r w:rsidRPr="00BF45BC">
        <w:rPr>
          <w:rStyle w:val="TSExampleText"/>
          <w:i w:val="0"/>
          <w:color w:val="auto"/>
        </w:rPr>
        <w:t>, the civil engineering SSCs should still respond in the way they were designed</w:t>
      </w:r>
      <w:r w:rsidR="00BF45BC" w:rsidRPr="00BF45BC">
        <w:rPr>
          <w:rStyle w:val="TSExampleText"/>
          <w:i w:val="0"/>
          <w:color w:val="auto"/>
        </w:rPr>
        <w:t xml:space="preserve"> to</w:t>
      </w:r>
      <w:r w:rsidRPr="00BF45BC">
        <w:rPr>
          <w:rStyle w:val="TSExampleText"/>
          <w:i w:val="0"/>
          <w:color w:val="auto"/>
        </w:rPr>
        <w:t xml:space="preserve">. </w:t>
      </w:r>
      <w:r w:rsidR="001B7618">
        <w:rPr>
          <w:rStyle w:val="TSExampleText"/>
          <w:i w:val="0"/>
          <w:color w:val="auto"/>
        </w:rPr>
        <w:t xml:space="preserve">SAP </w:t>
      </w:r>
      <w:r w:rsidRPr="00BF45BC">
        <w:rPr>
          <w:rStyle w:val="TSExampleText"/>
          <w:i w:val="0"/>
          <w:color w:val="auto"/>
        </w:rPr>
        <w:t xml:space="preserve">EMC.11 </w:t>
      </w:r>
      <w:r w:rsidR="001B7618">
        <w:rPr>
          <w:rStyle w:val="TSExampleText"/>
          <w:i w:val="0"/>
          <w:color w:val="auto"/>
        </w:rPr>
        <w:t>establishes</w:t>
      </w:r>
      <w:r w:rsidRPr="00BF45BC">
        <w:rPr>
          <w:rStyle w:val="TSExampleText"/>
          <w:i w:val="0"/>
          <w:color w:val="auto"/>
        </w:rPr>
        <w:t xml:space="preserve"> the expectation </w:t>
      </w:r>
      <w:r w:rsidR="001B7618">
        <w:rPr>
          <w:rStyle w:val="TSExampleText"/>
          <w:i w:val="0"/>
          <w:color w:val="auto"/>
        </w:rPr>
        <w:t xml:space="preserve">that </w:t>
      </w:r>
      <w:r w:rsidRPr="00BF45BC">
        <w:rPr>
          <w:rStyle w:val="TSExampleText"/>
          <w:i w:val="0"/>
          <w:color w:val="auto"/>
        </w:rPr>
        <w:t xml:space="preserve">failure models should be gradual and predictable. </w:t>
      </w:r>
      <w:r>
        <w:t>Demolition should be undertaken before the structure has become unsafe to access, unstable or unacceptably vulnerable</w:t>
      </w:r>
      <w:r w:rsidR="00BF45BC">
        <w:t xml:space="preserve"> to events considered within the design. </w:t>
      </w:r>
      <w:r>
        <w:t>For more information on (beyond) design basis events on ageing sites, and</w:t>
      </w:r>
      <w:r w:rsidR="00DD7386">
        <w:t xml:space="preserve"> condition considerations for the </w:t>
      </w:r>
      <w:r>
        <w:t>defer</w:t>
      </w:r>
      <w:r w:rsidR="00DD7386">
        <w:t>ral of</w:t>
      </w:r>
      <w:r>
        <w:t xml:space="preserve"> decommissioning, see:</w:t>
      </w:r>
    </w:p>
    <w:p w14:paraId="6937F350" w14:textId="33F86FA8" w:rsidR="00EE2F2B" w:rsidRPr="00BF45BC" w:rsidRDefault="00F925B6" w:rsidP="00F25465">
      <w:pPr>
        <w:pStyle w:val="TSNumberedParagraph1"/>
        <w:numPr>
          <w:ilvl w:val="0"/>
          <w:numId w:val="10"/>
        </w:numPr>
        <w:spacing w:before="220"/>
        <w:rPr>
          <w:rFonts w:ascii="Arial Bold" w:hAnsi="Arial Bold"/>
          <w:b/>
          <w:caps/>
        </w:rPr>
      </w:pPr>
      <w:r>
        <w:t>TAG 17 Annex 5</w:t>
      </w:r>
      <w:r w:rsidR="009524E8">
        <w:t>,</w:t>
      </w:r>
      <w:r>
        <w:t xml:space="preserve"> </w:t>
      </w:r>
      <w:r w:rsidR="009524E8">
        <w:t>‘</w:t>
      </w:r>
      <w:r w:rsidR="009524E8" w:rsidRPr="000F2702">
        <w:t xml:space="preserve">Civil Engineering – </w:t>
      </w:r>
      <w:r w:rsidR="009524E8">
        <w:t>Ageing Management and Damaged Structures’</w:t>
      </w:r>
      <w:r w:rsidRPr="00CC121D">
        <w:t>.</w:t>
      </w:r>
    </w:p>
    <w:p w14:paraId="32FAD760" w14:textId="77777777" w:rsidR="00842781" w:rsidRDefault="00842781">
      <w:pPr>
        <w:rPr>
          <w:rFonts w:ascii="Arial Bold" w:hAnsi="Arial Bold"/>
          <w:b/>
          <w:caps/>
        </w:rPr>
      </w:pPr>
      <w:r>
        <w:br w:type="page"/>
      </w:r>
    </w:p>
    <w:p w14:paraId="5A92C775" w14:textId="6F628E52" w:rsidR="00E26084" w:rsidRPr="00133AEF" w:rsidRDefault="00E26084" w:rsidP="00133AEF">
      <w:pPr>
        <w:pStyle w:val="TSHeadingNumbered1"/>
        <w:numPr>
          <w:ilvl w:val="0"/>
          <w:numId w:val="11"/>
        </w:numPr>
        <w:tabs>
          <w:tab w:val="clear" w:pos="-31680"/>
        </w:tabs>
      </w:pPr>
      <w:bookmarkStart w:id="58" w:name="_Toc57895891"/>
      <w:r w:rsidRPr="00133AEF">
        <w:lastRenderedPageBreak/>
        <w:t>Decommissioning Plan</w:t>
      </w:r>
      <w:bookmarkEnd w:id="55"/>
      <w:bookmarkEnd w:id="58"/>
    </w:p>
    <w:p w14:paraId="401287BD" w14:textId="227E3F8C" w:rsidR="00744D9F" w:rsidRPr="00744D9F" w:rsidRDefault="00744D9F" w:rsidP="00744D9F">
      <w:pPr>
        <w:pStyle w:val="TSHeadingNumbered1"/>
        <w:numPr>
          <w:ilvl w:val="1"/>
          <w:numId w:val="11"/>
        </w:numPr>
        <w:tabs>
          <w:tab w:val="clear" w:pos="-31680"/>
        </w:tabs>
        <w:rPr>
          <w:caps w:val="0"/>
        </w:rPr>
      </w:pPr>
      <w:bookmarkStart w:id="59" w:name="_Toc57895892"/>
      <w:r>
        <w:rPr>
          <w:caps w:val="0"/>
        </w:rPr>
        <w:t>Requirement</w:t>
      </w:r>
      <w:r w:rsidR="00EE2F2B">
        <w:rPr>
          <w:caps w:val="0"/>
        </w:rPr>
        <w:t>s</w:t>
      </w:r>
      <w:bookmarkEnd w:id="59"/>
    </w:p>
    <w:p w14:paraId="2B650DFB" w14:textId="49123C91" w:rsidR="0044405A" w:rsidRDefault="001B7618" w:rsidP="0044405A">
      <w:pPr>
        <w:pStyle w:val="TSNumberedParagraph1"/>
        <w:numPr>
          <w:ilvl w:val="0"/>
          <w:numId w:val="12"/>
        </w:numPr>
        <w:spacing w:before="220"/>
      </w:pPr>
      <w:r>
        <w:t xml:space="preserve">SAPs </w:t>
      </w:r>
      <w:r w:rsidR="00035BDE">
        <w:t>DC.2 and DC.</w:t>
      </w:r>
      <w:r>
        <w:t>4 explain the requirements for d</w:t>
      </w:r>
      <w:r w:rsidR="00035BDE">
        <w:t>ecommissioning strategies and plans, respectively.</w:t>
      </w:r>
      <w:r w:rsidR="00035BDE" w:rsidRPr="00035BDE">
        <w:t xml:space="preserve"> </w:t>
      </w:r>
      <w:r>
        <w:t>These include</w:t>
      </w:r>
      <w:r w:rsidR="00035BDE">
        <w:t xml:space="preserve"> the requirement to produce a decommissioning plan for each</w:t>
      </w:r>
      <w:r w:rsidR="00F6635B">
        <w:t xml:space="preserve"> site</w:t>
      </w:r>
      <w:r w:rsidR="00572A43">
        <w:t>,</w:t>
      </w:r>
      <w:r w:rsidR="00F6635B">
        <w:t xml:space="preserve"> includ</w:t>
      </w:r>
      <w:r w:rsidR="00572A43">
        <w:t>ing</w:t>
      </w:r>
      <w:r w:rsidR="00F6635B">
        <w:t xml:space="preserve"> details of each</w:t>
      </w:r>
      <w:r w:rsidR="00035BDE">
        <w:t xml:space="preserve"> </w:t>
      </w:r>
      <w:r w:rsidR="00FA0DE7">
        <w:t>facility</w:t>
      </w:r>
      <w:r w:rsidR="00035BDE">
        <w:t xml:space="preserve">. This is in line with </w:t>
      </w:r>
      <w:r w:rsidR="00C14FD1" w:rsidRPr="00C14FD1">
        <w:t xml:space="preserve">Requirement 11 </w:t>
      </w:r>
      <w:r w:rsidR="00C14FD1">
        <w:t xml:space="preserve">of </w:t>
      </w:r>
      <w:r w:rsidR="00C14FD1" w:rsidRPr="00C14FD1">
        <w:t xml:space="preserve">IAEA GSR Part 6 </w:t>
      </w:r>
      <w:r w:rsidR="00C14FD1">
        <w:t>‘</w:t>
      </w:r>
      <w:r w:rsidR="00C14FD1" w:rsidRPr="00C14FD1">
        <w:t>Decommissioning of Facilities</w:t>
      </w:r>
      <w:r w:rsidR="00C14FD1">
        <w:t>’</w:t>
      </w:r>
      <w:r w:rsidR="00C14FD1" w:rsidRPr="00C14FD1">
        <w:t xml:space="preserve"> </w:t>
      </w:r>
      <w:r w:rsidR="00035BDE">
        <w:t xml:space="preserve">which </w:t>
      </w:r>
      <w:r>
        <w:t>states that</w:t>
      </w:r>
      <w:r w:rsidR="0044405A">
        <w:t>:</w:t>
      </w:r>
    </w:p>
    <w:p w14:paraId="4999C46E" w14:textId="2B1190EB" w:rsidR="00DC4D54" w:rsidRDefault="0044405A" w:rsidP="00DC4D54">
      <w:pPr>
        <w:pStyle w:val="TSNumberedParagraph1"/>
        <w:spacing w:before="220"/>
        <w:ind w:left="720"/>
        <w:jc w:val="center"/>
      </w:pPr>
      <w:r>
        <w:t>“</w:t>
      </w:r>
      <w:r w:rsidR="00C14FD1" w:rsidRPr="00C14FD1">
        <w:t>Prior to the conduct of decommissioning actions, a final decommissioning plan shall be prepared and shall be submitted to th</w:t>
      </w:r>
      <w:r>
        <w:t>e regulatory body for approval.”</w:t>
      </w:r>
    </w:p>
    <w:p w14:paraId="0BD655B4" w14:textId="3453C9CE" w:rsidR="00035BDE" w:rsidRDefault="00035BDE" w:rsidP="00035BDE">
      <w:pPr>
        <w:pStyle w:val="TSNumberedParagraph1"/>
        <w:numPr>
          <w:ilvl w:val="0"/>
          <w:numId w:val="12"/>
        </w:numPr>
        <w:spacing w:before="220"/>
      </w:pPr>
      <w:r>
        <w:t xml:space="preserve">Licence Condition (LC) 35 requires that the </w:t>
      </w:r>
      <w:proofErr w:type="spellStart"/>
      <w:r>
        <w:rPr>
          <w:iCs/>
        </w:rPr>
        <w:t>dutyholder</w:t>
      </w:r>
      <w:proofErr w:type="spellEnd"/>
      <w:r w:rsidR="001B7618">
        <w:t xml:space="preserve"> shall</w:t>
      </w:r>
      <w:r>
        <w:t>:</w:t>
      </w:r>
    </w:p>
    <w:p w14:paraId="38A27F68" w14:textId="77777777" w:rsidR="00035BDE" w:rsidRDefault="00035BDE" w:rsidP="00035BDE">
      <w:pPr>
        <w:pStyle w:val="TSNumberedParagraph1"/>
        <w:spacing w:before="220"/>
        <w:ind w:left="720"/>
        <w:jc w:val="center"/>
      </w:pPr>
      <w:r>
        <w:t>“…make and implement adequate arrangements for the decommissioning of any plant or process which may affect safety”.</w:t>
      </w:r>
    </w:p>
    <w:p w14:paraId="1527C29D" w14:textId="39AD2EF9" w:rsidR="00701BD8" w:rsidRDefault="00035BDE" w:rsidP="00701BD8">
      <w:pPr>
        <w:pStyle w:val="TSNumberedParagraph1"/>
        <w:numPr>
          <w:ilvl w:val="0"/>
          <w:numId w:val="12"/>
        </w:numPr>
        <w:tabs>
          <w:tab w:val="clear" w:pos="-31680"/>
        </w:tabs>
        <w:spacing w:before="220"/>
      </w:pPr>
      <w:r>
        <w:t>The In</w:t>
      </w:r>
      <w:r w:rsidR="001B7618">
        <w:t>spector should be aware that a decommissioning p</w:t>
      </w:r>
      <w:r>
        <w:t xml:space="preserve">lan is a requirement of </w:t>
      </w:r>
      <w:r w:rsidRPr="00832B6B">
        <w:t xml:space="preserve">the licensing of </w:t>
      </w:r>
      <w:r w:rsidR="001B7618">
        <w:t xml:space="preserve">new </w:t>
      </w:r>
      <w:r w:rsidRPr="00832B6B">
        <w:t>nuclear sites</w:t>
      </w:r>
      <w:r>
        <w:t xml:space="preserve">, prior to construction, in line with the expectations stated by </w:t>
      </w:r>
      <w:r w:rsidR="002627B2" w:rsidRPr="00035BDE">
        <w:rPr>
          <w:rStyle w:val="TSExampleText"/>
          <w:i w:val="0"/>
          <w:color w:val="auto"/>
        </w:rPr>
        <w:t>WENRA Decommissioning Safety Levels DE-20</w:t>
      </w:r>
      <w:r>
        <w:rPr>
          <w:rStyle w:val="TSExampleText"/>
          <w:i w:val="0"/>
          <w:color w:val="auto"/>
        </w:rPr>
        <w:t xml:space="preserve">. </w:t>
      </w:r>
      <w:r>
        <w:t xml:space="preserve">For more guidance, </w:t>
      </w:r>
      <w:r w:rsidR="00701BD8">
        <w:t>see</w:t>
      </w:r>
      <w:r>
        <w:t>:</w:t>
      </w:r>
      <w:r w:rsidR="00701BD8">
        <w:t xml:space="preserve"> </w:t>
      </w:r>
    </w:p>
    <w:p w14:paraId="15B609FC" w14:textId="3161CC90" w:rsidR="002627B2" w:rsidRPr="00FA4342" w:rsidRDefault="002627B2" w:rsidP="00701BD8">
      <w:pPr>
        <w:pStyle w:val="TSBullet1Square"/>
        <w:numPr>
          <w:ilvl w:val="0"/>
          <w:numId w:val="10"/>
        </w:numPr>
        <w:tabs>
          <w:tab w:val="num" w:pos="-28713"/>
        </w:tabs>
        <w:ind w:left="1418"/>
      </w:pPr>
      <w:r w:rsidRPr="00832B6B">
        <w:t>‘</w:t>
      </w:r>
      <w:r w:rsidRPr="00FA4342">
        <w:t>Licensing Nuclear Installations’ which is published on ONR’s website.</w:t>
      </w:r>
    </w:p>
    <w:p w14:paraId="65CDBECD" w14:textId="4F4EF2CE" w:rsidR="00744D9F" w:rsidRPr="00FA4342" w:rsidRDefault="00744D9F" w:rsidP="00744D9F">
      <w:pPr>
        <w:pStyle w:val="TSHeadingNumbered1"/>
        <w:numPr>
          <w:ilvl w:val="1"/>
          <w:numId w:val="11"/>
        </w:numPr>
        <w:tabs>
          <w:tab w:val="clear" w:pos="-31680"/>
        </w:tabs>
        <w:rPr>
          <w:caps w:val="0"/>
        </w:rPr>
      </w:pPr>
      <w:bookmarkStart w:id="60" w:name="_Toc57895893"/>
      <w:r w:rsidRPr="00FA4342">
        <w:rPr>
          <w:caps w:val="0"/>
        </w:rPr>
        <w:t>Purpose of the Decommissioning Plan</w:t>
      </w:r>
      <w:bookmarkEnd w:id="60"/>
    </w:p>
    <w:p w14:paraId="1B5C7ABF" w14:textId="77CABD20" w:rsidR="00E6732A" w:rsidRDefault="00036073" w:rsidP="002833AC">
      <w:pPr>
        <w:pStyle w:val="TSNumberedParagraph1"/>
        <w:numPr>
          <w:ilvl w:val="0"/>
          <w:numId w:val="12"/>
        </w:numPr>
        <w:spacing w:before="220"/>
      </w:pPr>
      <w:r w:rsidRPr="00FA4342">
        <w:rPr>
          <w:shd w:val="clear" w:color="auto" w:fill="FFFFFF" w:themeFill="background1"/>
        </w:rPr>
        <w:t xml:space="preserve">The Inspector should be aware that the intent of the decommissioning </w:t>
      </w:r>
      <w:r w:rsidR="00E6732A" w:rsidRPr="00FA4342">
        <w:rPr>
          <w:shd w:val="clear" w:color="auto" w:fill="FFFFFF" w:themeFill="background1"/>
        </w:rPr>
        <w:t xml:space="preserve">plan </w:t>
      </w:r>
      <w:r w:rsidR="00AF4509" w:rsidRPr="00FA4342">
        <w:rPr>
          <w:shd w:val="clear" w:color="auto" w:fill="FFFFFF" w:themeFill="background1"/>
        </w:rPr>
        <w:t>is to</w:t>
      </w:r>
      <w:r w:rsidR="001423E1" w:rsidRPr="00FA4342">
        <w:rPr>
          <w:shd w:val="clear" w:color="auto" w:fill="FFFFFF" w:themeFill="background1"/>
        </w:rPr>
        <w:t xml:space="preserve"> demonstrate how the </w:t>
      </w:r>
      <w:proofErr w:type="spellStart"/>
      <w:r w:rsidR="001A6B22" w:rsidRPr="00FA4342">
        <w:rPr>
          <w:iCs/>
          <w:shd w:val="clear" w:color="auto" w:fill="FFFFFF" w:themeFill="background1"/>
        </w:rPr>
        <w:t>dutyholder</w:t>
      </w:r>
      <w:proofErr w:type="spellEnd"/>
      <w:r w:rsidR="001A6B22" w:rsidRPr="00FA4342">
        <w:rPr>
          <w:shd w:val="clear" w:color="auto" w:fill="FFFFFF" w:themeFill="background1"/>
        </w:rPr>
        <w:t xml:space="preserve"> </w:t>
      </w:r>
      <w:r w:rsidR="00E6732A" w:rsidRPr="00FA4342">
        <w:rPr>
          <w:shd w:val="clear" w:color="auto" w:fill="FFFFFF" w:themeFill="background1"/>
        </w:rPr>
        <w:t>intends to reduce nuclear and conventional risks to the point where the facility presents negligible risk to the public, workers and the environment</w:t>
      </w:r>
      <w:r w:rsidR="00ED70EA" w:rsidRPr="00FA4342">
        <w:rPr>
          <w:shd w:val="clear" w:color="auto" w:fill="FFFFFF" w:themeFill="background1"/>
        </w:rPr>
        <w:t>.</w:t>
      </w:r>
      <w:r w:rsidRPr="00FA4342">
        <w:rPr>
          <w:shd w:val="clear" w:color="auto" w:fill="FFFFFF" w:themeFill="background1"/>
        </w:rPr>
        <w:t xml:space="preserve"> </w:t>
      </w:r>
      <w:r w:rsidR="00E6732A" w:rsidRPr="00FA4342">
        <w:rPr>
          <w:shd w:val="clear" w:color="auto" w:fill="FFFFFF" w:themeFill="background1"/>
        </w:rPr>
        <w:t xml:space="preserve">The </w:t>
      </w:r>
      <w:proofErr w:type="spellStart"/>
      <w:r w:rsidR="00EE2F2B" w:rsidRPr="00FA4342">
        <w:rPr>
          <w:shd w:val="clear" w:color="auto" w:fill="FFFFFF" w:themeFill="background1"/>
        </w:rPr>
        <w:t>dutyholder</w:t>
      </w:r>
      <w:proofErr w:type="spellEnd"/>
      <w:r w:rsidR="00E6732A" w:rsidRPr="00FA4342">
        <w:rPr>
          <w:shd w:val="clear" w:color="auto" w:fill="FFFFFF" w:themeFill="background1"/>
        </w:rPr>
        <w:t xml:space="preserve"> may not have all the relevant expertise to develop this plan</w:t>
      </w:r>
      <w:r w:rsidR="00EE2F2B" w:rsidRPr="00FA4342">
        <w:rPr>
          <w:shd w:val="clear" w:color="auto" w:fill="FFFFFF" w:themeFill="background1"/>
        </w:rPr>
        <w:t xml:space="preserve"> in-house</w:t>
      </w:r>
      <w:r w:rsidR="00E6732A" w:rsidRPr="00FA4342">
        <w:rPr>
          <w:shd w:val="clear" w:color="auto" w:fill="FFFFFF" w:themeFill="background1"/>
        </w:rPr>
        <w:t>, and</w:t>
      </w:r>
      <w:r w:rsidR="00E6732A" w:rsidRPr="00FA4342">
        <w:t xml:space="preserve"> consultation is likely to be required w</w:t>
      </w:r>
      <w:r w:rsidR="006649BF" w:rsidRPr="00FA4342">
        <w:t>ith the Design A</w:t>
      </w:r>
      <w:r w:rsidR="00E6732A" w:rsidRPr="00FA4342">
        <w:t>uthority and specialist contractors.</w:t>
      </w:r>
      <w:r w:rsidR="00EE2F2B" w:rsidRPr="00FA4342">
        <w:t xml:space="preserve"> Where this is the case, the </w:t>
      </w:r>
      <w:r w:rsidRPr="00FA4342">
        <w:t>I</w:t>
      </w:r>
      <w:r w:rsidR="00EE2F2B" w:rsidRPr="00FA4342">
        <w:t xml:space="preserve">nspector </w:t>
      </w:r>
      <w:r w:rsidR="00A639D9" w:rsidRPr="00FA4342">
        <w:t>may wish to</w:t>
      </w:r>
      <w:r w:rsidR="00EE2F2B" w:rsidRPr="00FA4342">
        <w:t xml:space="preserve"> judge whether the </w:t>
      </w:r>
      <w:r w:rsidRPr="00FA4342">
        <w:t>I</w:t>
      </w:r>
      <w:r w:rsidR="00EE2F2B" w:rsidRPr="00FA4342">
        <w:t xml:space="preserve">ntelligent </w:t>
      </w:r>
      <w:r w:rsidRPr="00FA4342">
        <w:t>C</w:t>
      </w:r>
      <w:r w:rsidR="00EE2F2B" w:rsidRPr="00FA4342">
        <w:t>ustomer function</w:t>
      </w:r>
      <w:r w:rsidR="00EE2F2B">
        <w:t xml:space="preserve"> has been adequately</w:t>
      </w:r>
      <w:r w:rsidR="00EE2F2B" w:rsidRPr="00EE2F2B">
        <w:t xml:space="preserve"> </w:t>
      </w:r>
      <w:r w:rsidR="00EE2F2B">
        <w:t>applied to assess subcontractor proposals.</w:t>
      </w:r>
    </w:p>
    <w:p w14:paraId="72648045" w14:textId="0095A623" w:rsidR="00DC4D54" w:rsidRDefault="00DC4D54" w:rsidP="00DC4D54">
      <w:pPr>
        <w:pStyle w:val="TSNumberedParagraph1"/>
        <w:numPr>
          <w:ilvl w:val="0"/>
          <w:numId w:val="12"/>
        </w:numPr>
        <w:tabs>
          <w:tab w:val="clear" w:pos="-31680"/>
        </w:tabs>
        <w:spacing w:before="220"/>
      </w:pPr>
      <w:r>
        <w:t xml:space="preserve">Once developed, a decommissioning plan may change </w:t>
      </w:r>
      <w:r w:rsidR="00036073">
        <w:t>as more information is made available</w:t>
      </w:r>
      <w:r w:rsidR="00F34B4B">
        <w:t>, or in response to changing conditions</w:t>
      </w:r>
      <w:r w:rsidR="00036073">
        <w:t xml:space="preserve">. </w:t>
      </w:r>
      <w:r w:rsidR="00F34B4B">
        <w:t>Whilst the Inspector should be aware of changes to the plan, i</w:t>
      </w:r>
      <w:r w:rsidR="00036073">
        <w:t xml:space="preserve">t is not usual for ONR to </w:t>
      </w:r>
      <w:r>
        <w:t xml:space="preserve">formally approve </w:t>
      </w:r>
      <w:r w:rsidR="00036073">
        <w:t xml:space="preserve">decommissioning </w:t>
      </w:r>
      <w:r>
        <w:t>plan</w:t>
      </w:r>
      <w:r w:rsidR="00F34B4B">
        <w:t xml:space="preserve">s </w:t>
      </w:r>
      <w:r w:rsidR="006649BF">
        <w:t>and</w:t>
      </w:r>
      <w:r w:rsidR="00F34B4B">
        <w:t xml:space="preserve"> subsequent changes to it.</w:t>
      </w:r>
    </w:p>
    <w:p w14:paraId="4DFBB497" w14:textId="2F82FB5A" w:rsidR="00744D9F" w:rsidRPr="00744D9F" w:rsidRDefault="00744D9F" w:rsidP="00744D9F">
      <w:pPr>
        <w:pStyle w:val="TSHeadingNumbered1"/>
        <w:numPr>
          <w:ilvl w:val="1"/>
          <w:numId w:val="11"/>
        </w:numPr>
        <w:rPr>
          <w:caps w:val="0"/>
        </w:rPr>
      </w:pPr>
      <w:bookmarkStart w:id="61" w:name="_Toc57895894"/>
      <w:r>
        <w:rPr>
          <w:caps w:val="0"/>
        </w:rPr>
        <w:t>Expected features</w:t>
      </w:r>
      <w:r w:rsidRPr="00744D9F">
        <w:rPr>
          <w:caps w:val="0"/>
        </w:rPr>
        <w:t xml:space="preserve"> </w:t>
      </w:r>
      <w:r w:rsidR="006649BF">
        <w:rPr>
          <w:caps w:val="0"/>
        </w:rPr>
        <w:t>of the decommissioning p</w:t>
      </w:r>
      <w:r w:rsidRPr="00744D9F">
        <w:rPr>
          <w:caps w:val="0"/>
        </w:rPr>
        <w:t>lan</w:t>
      </w:r>
      <w:bookmarkEnd w:id="61"/>
    </w:p>
    <w:p w14:paraId="10A98496" w14:textId="405BAE34" w:rsidR="00F21130" w:rsidRPr="00F928A3" w:rsidRDefault="00F8361F" w:rsidP="002833AC">
      <w:pPr>
        <w:pStyle w:val="TSNumberedParagraph1"/>
        <w:numPr>
          <w:ilvl w:val="0"/>
          <w:numId w:val="12"/>
        </w:numPr>
        <w:spacing w:before="220"/>
      </w:pPr>
      <w:r w:rsidRPr="00F8361F">
        <w:rPr>
          <w:rStyle w:val="TSExampleText"/>
          <w:i w:val="0"/>
          <w:color w:val="auto"/>
        </w:rPr>
        <w:t xml:space="preserve">WENRA Decommissioning Safety Level </w:t>
      </w:r>
      <w:r>
        <w:t xml:space="preserve">DE-21 </w:t>
      </w:r>
      <w:r w:rsidR="006649BF">
        <w:t>provides expectations for</w:t>
      </w:r>
      <w:r>
        <w:t xml:space="preserve"> the decommissioning plan</w:t>
      </w:r>
      <w:r w:rsidR="006649BF">
        <w:t>,</w:t>
      </w:r>
      <w:r>
        <w:t xml:space="preserve"> </w:t>
      </w:r>
      <w:r w:rsidR="006649BF">
        <w:t>which are</w:t>
      </w:r>
      <w:r>
        <w:t xml:space="preserve"> reflected in the expectations of </w:t>
      </w:r>
      <w:r w:rsidR="006649BF">
        <w:t xml:space="preserve">SAP </w:t>
      </w:r>
      <w:r>
        <w:t xml:space="preserve">DC.4. </w:t>
      </w:r>
      <w:r w:rsidR="00E6732A" w:rsidRPr="00F928A3">
        <w:t xml:space="preserve">Features of an effective </w:t>
      </w:r>
      <w:r w:rsidR="00F21130" w:rsidRPr="00F928A3">
        <w:t xml:space="preserve">decommissioning plan </w:t>
      </w:r>
      <w:r w:rsidR="00AC51E2" w:rsidRPr="00F928A3">
        <w:t xml:space="preserve">from a civil engineering perspective </w:t>
      </w:r>
      <w:r w:rsidR="00E6732A" w:rsidRPr="00F928A3">
        <w:t>include:</w:t>
      </w:r>
    </w:p>
    <w:p w14:paraId="5068A3B8" w14:textId="47805150" w:rsidR="00787D19" w:rsidRDefault="006649BF" w:rsidP="002833AC">
      <w:pPr>
        <w:pStyle w:val="TSNumberedParagraph1"/>
        <w:numPr>
          <w:ilvl w:val="0"/>
          <w:numId w:val="10"/>
        </w:numPr>
        <w:spacing w:after="0"/>
        <w:jc w:val="both"/>
        <w:rPr>
          <w:lang w:eastAsia="en-GB"/>
        </w:rPr>
      </w:pPr>
      <w:r>
        <w:rPr>
          <w:lang w:eastAsia="en-GB"/>
        </w:rPr>
        <w:t>the objective of the decommissioning plan (e.g. a clear definition of the end states and conditions, residual radiological limits, and provisions for on-going monitoring and assurance),</w:t>
      </w:r>
    </w:p>
    <w:p w14:paraId="595DB07F" w14:textId="4B6F8D70" w:rsidR="00787D19" w:rsidRDefault="006649BF" w:rsidP="002833AC">
      <w:pPr>
        <w:pStyle w:val="TSNumberedParagraph1"/>
        <w:numPr>
          <w:ilvl w:val="0"/>
          <w:numId w:val="10"/>
        </w:numPr>
        <w:spacing w:after="0"/>
        <w:jc w:val="both"/>
        <w:rPr>
          <w:lang w:eastAsia="en-GB"/>
        </w:rPr>
      </w:pPr>
      <w:r>
        <w:rPr>
          <w:lang w:eastAsia="en-GB"/>
        </w:rPr>
        <w:t>definition of responsibility for each element of the plan,</w:t>
      </w:r>
    </w:p>
    <w:p w14:paraId="55CBFF94" w14:textId="4E81D3A8" w:rsidR="00787D19" w:rsidRDefault="006649BF" w:rsidP="002833AC">
      <w:pPr>
        <w:pStyle w:val="TSNumberedParagraph1"/>
        <w:numPr>
          <w:ilvl w:val="0"/>
          <w:numId w:val="10"/>
        </w:numPr>
        <w:spacing w:after="0"/>
        <w:jc w:val="both"/>
        <w:rPr>
          <w:lang w:eastAsia="en-GB"/>
        </w:rPr>
      </w:pPr>
      <w:r>
        <w:rPr>
          <w:lang w:eastAsia="en-GB"/>
        </w:rPr>
        <w:t>identification of all the significant risks and hazards that are to be addressed,</w:t>
      </w:r>
    </w:p>
    <w:p w14:paraId="0E18B8B2" w14:textId="18DC08D6" w:rsidR="00787D19" w:rsidRDefault="006649BF" w:rsidP="002833AC">
      <w:pPr>
        <w:pStyle w:val="TSNumberedParagraph1"/>
        <w:numPr>
          <w:ilvl w:val="0"/>
          <w:numId w:val="10"/>
        </w:numPr>
        <w:spacing w:after="0"/>
        <w:jc w:val="both"/>
        <w:rPr>
          <w:lang w:eastAsia="en-GB"/>
        </w:rPr>
      </w:pPr>
      <w:r>
        <w:rPr>
          <w:lang w:eastAsia="en-GB"/>
        </w:rPr>
        <w:t>order and timing of actions to be undertaken to minimise risk,</w:t>
      </w:r>
    </w:p>
    <w:p w14:paraId="45D7CAF3" w14:textId="2D54E11B" w:rsidR="002420AD" w:rsidRDefault="006649BF" w:rsidP="002833AC">
      <w:pPr>
        <w:pStyle w:val="TSNumberedParagraph1"/>
        <w:numPr>
          <w:ilvl w:val="0"/>
          <w:numId w:val="10"/>
        </w:numPr>
        <w:spacing w:after="0"/>
        <w:jc w:val="both"/>
        <w:rPr>
          <w:lang w:eastAsia="en-GB"/>
        </w:rPr>
      </w:pPr>
      <w:r>
        <w:rPr>
          <w:lang w:eastAsia="en-GB"/>
        </w:rPr>
        <w:t xml:space="preserve">requirements </w:t>
      </w:r>
      <w:r w:rsidR="002420AD">
        <w:rPr>
          <w:lang w:eastAsia="en-GB"/>
        </w:rPr>
        <w:t>for suitably qualified and experienced person</w:t>
      </w:r>
      <w:r w:rsidR="00DF303A">
        <w:rPr>
          <w:lang w:eastAsia="en-GB"/>
        </w:rPr>
        <w:t>nel</w:t>
      </w:r>
      <w:r w:rsidR="002420AD">
        <w:rPr>
          <w:lang w:eastAsia="en-GB"/>
        </w:rPr>
        <w:t xml:space="preserve"> (SQEP) to undertake identified tasks (potentially including training requ</w:t>
      </w:r>
      <w:r>
        <w:rPr>
          <w:lang w:eastAsia="en-GB"/>
        </w:rPr>
        <w:t>irements or external resources),</w:t>
      </w:r>
    </w:p>
    <w:p w14:paraId="15F4BCEC" w14:textId="6CF0C7C9" w:rsidR="002420AD" w:rsidRDefault="006649BF" w:rsidP="002833AC">
      <w:pPr>
        <w:pStyle w:val="TSNumberedParagraph1"/>
        <w:numPr>
          <w:ilvl w:val="0"/>
          <w:numId w:val="10"/>
        </w:numPr>
        <w:spacing w:after="0"/>
        <w:jc w:val="both"/>
        <w:rPr>
          <w:lang w:eastAsia="en-GB"/>
        </w:rPr>
      </w:pPr>
      <w:r>
        <w:rPr>
          <w:lang w:eastAsia="en-GB"/>
        </w:rPr>
        <w:t>investigation or survey works to be undertaken to inform the decommissioning strategy and reduce uncertainty and risk,</w:t>
      </w:r>
    </w:p>
    <w:p w14:paraId="5264ECC5" w14:textId="177CD0AA" w:rsidR="002420AD" w:rsidRDefault="006649BF" w:rsidP="002833AC">
      <w:pPr>
        <w:pStyle w:val="TSNumberedParagraph1"/>
        <w:numPr>
          <w:ilvl w:val="0"/>
          <w:numId w:val="10"/>
        </w:numPr>
        <w:spacing w:after="0"/>
        <w:jc w:val="both"/>
        <w:rPr>
          <w:lang w:eastAsia="en-GB"/>
        </w:rPr>
      </w:pPr>
      <w:r w:rsidRPr="002420AD">
        <w:rPr>
          <w:lang w:eastAsia="en-GB"/>
        </w:rPr>
        <w:t xml:space="preserve">evaluation of the need for </w:t>
      </w:r>
      <w:r>
        <w:rPr>
          <w:lang w:eastAsia="en-GB"/>
        </w:rPr>
        <w:t xml:space="preserve">any </w:t>
      </w:r>
      <w:r w:rsidRPr="002420AD">
        <w:rPr>
          <w:lang w:eastAsia="en-GB"/>
        </w:rPr>
        <w:t>research</w:t>
      </w:r>
      <w:r>
        <w:rPr>
          <w:lang w:eastAsia="en-GB"/>
        </w:rPr>
        <w:t xml:space="preserve">, decommissioning trials and demonstrations prior to implementation of </w:t>
      </w:r>
      <w:r w:rsidR="00674547">
        <w:rPr>
          <w:lang w:eastAsia="en-GB"/>
        </w:rPr>
        <w:t>high-risk</w:t>
      </w:r>
      <w:r>
        <w:rPr>
          <w:lang w:eastAsia="en-GB"/>
        </w:rPr>
        <w:t xml:space="preserve"> activities,</w:t>
      </w:r>
    </w:p>
    <w:p w14:paraId="413275E6" w14:textId="0ACA5A57" w:rsidR="002420AD" w:rsidRDefault="006649BF" w:rsidP="002833AC">
      <w:pPr>
        <w:pStyle w:val="TSNumberedParagraph1"/>
        <w:numPr>
          <w:ilvl w:val="0"/>
          <w:numId w:val="10"/>
        </w:numPr>
        <w:spacing w:after="0"/>
        <w:jc w:val="both"/>
        <w:rPr>
          <w:lang w:eastAsia="en-GB"/>
        </w:rPr>
      </w:pPr>
      <w:r w:rsidRPr="009A1A43">
        <w:rPr>
          <w:lang w:eastAsia="en-GB"/>
        </w:rPr>
        <w:lastRenderedPageBreak/>
        <w:t xml:space="preserve">actions to be initiated in the event of </w:t>
      </w:r>
      <w:r>
        <w:rPr>
          <w:lang w:eastAsia="en-GB"/>
        </w:rPr>
        <w:t xml:space="preserve">any </w:t>
      </w:r>
      <w:r w:rsidRPr="009A1A43">
        <w:rPr>
          <w:lang w:eastAsia="en-GB"/>
        </w:rPr>
        <w:t>unexpected occurrence or finding</w:t>
      </w:r>
      <w:r>
        <w:rPr>
          <w:lang w:eastAsia="en-GB"/>
        </w:rPr>
        <w:t xml:space="preserve"> (including incident reporting system criteria),</w:t>
      </w:r>
    </w:p>
    <w:p w14:paraId="77E01C94" w14:textId="6A696CF3" w:rsidR="002420AD" w:rsidRDefault="006649BF" w:rsidP="002833AC">
      <w:pPr>
        <w:pStyle w:val="TSNumberedParagraph1"/>
        <w:numPr>
          <w:ilvl w:val="0"/>
          <w:numId w:val="10"/>
        </w:numPr>
        <w:spacing w:after="0"/>
        <w:jc w:val="both"/>
        <w:rPr>
          <w:lang w:eastAsia="en-GB"/>
        </w:rPr>
      </w:pPr>
      <w:r>
        <w:rPr>
          <w:lang w:eastAsia="en-GB"/>
        </w:rPr>
        <w:t>any changes in risk to adjacent or co-dependant facilities (including temporary risks created by demolition activities, security implications, interruption to on-going operations etc.),</w:t>
      </w:r>
    </w:p>
    <w:p w14:paraId="6981B304" w14:textId="72DC835C" w:rsidR="00787D19" w:rsidRPr="00D02581" w:rsidRDefault="006649BF" w:rsidP="002833AC">
      <w:pPr>
        <w:pStyle w:val="TSNumberedParagraph1"/>
        <w:numPr>
          <w:ilvl w:val="0"/>
          <w:numId w:val="10"/>
        </w:numPr>
        <w:spacing w:after="0"/>
        <w:jc w:val="both"/>
        <w:rPr>
          <w:lang w:eastAsia="en-GB"/>
        </w:rPr>
      </w:pPr>
      <w:r>
        <w:rPr>
          <w:lang w:eastAsia="en-GB"/>
        </w:rPr>
        <w:t>specific m</w:t>
      </w:r>
      <w:r w:rsidRPr="00D02581">
        <w:rPr>
          <w:lang w:eastAsia="en-GB"/>
        </w:rPr>
        <w:t xml:space="preserve">aintenance instructions for </w:t>
      </w:r>
      <w:r>
        <w:rPr>
          <w:lang w:eastAsia="en-GB"/>
        </w:rPr>
        <w:t>elements</w:t>
      </w:r>
      <w:r w:rsidRPr="00D02581">
        <w:rPr>
          <w:lang w:eastAsia="en-GB"/>
        </w:rPr>
        <w:t xml:space="preserve"> </w:t>
      </w:r>
      <w:r>
        <w:rPr>
          <w:lang w:eastAsia="en-GB"/>
        </w:rPr>
        <w:t>where demolition is to be deferred, including the assumptions made on projected rates of deterioration or ageing,</w:t>
      </w:r>
    </w:p>
    <w:p w14:paraId="2FBD8EC0" w14:textId="29DB11EF" w:rsidR="00787D19" w:rsidRDefault="006649BF" w:rsidP="002833AC">
      <w:pPr>
        <w:pStyle w:val="TSNumberedParagraph1"/>
        <w:numPr>
          <w:ilvl w:val="0"/>
          <w:numId w:val="10"/>
        </w:numPr>
        <w:spacing w:after="0"/>
        <w:jc w:val="both"/>
        <w:rPr>
          <w:lang w:eastAsia="en-GB"/>
        </w:rPr>
      </w:pPr>
      <w:r>
        <w:rPr>
          <w:lang w:eastAsia="en-GB"/>
        </w:rPr>
        <w:t>details of waste separation and segregation measures and waste routes for each identified type of waste,</w:t>
      </w:r>
    </w:p>
    <w:p w14:paraId="291E1E65" w14:textId="652CCC1F" w:rsidR="00787D19" w:rsidRDefault="006649BF" w:rsidP="002833AC">
      <w:pPr>
        <w:pStyle w:val="TSNumberedParagraph1"/>
        <w:numPr>
          <w:ilvl w:val="0"/>
          <w:numId w:val="10"/>
        </w:numPr>
        <w:spacing w:after="0"/>
        <w:jc w:val="both"/>
        <w:rPr>
          <w:lang w:eastAsia="en-GB"/>
        </w:rPr>
      </w:pPr>
      <w:r>
        <w:rPr>
          <w:lang w:eastAsia="en-GB"/>
        </w:rPr>
        <w:t>assumptions made regarding the end-state environment (outside the control of the duty holder),</w:t>
      </w:r>
    </w:p>
    <w:p w14:paraId="02EEDCEA" w14:textId="0BE0370F" w:rsidR="00787D19" w:rsidRDefault="006649BF" w:rsidP="002833AC">
      <w:pPr>
        <w:pStyle w:val="TSNumberedParagraph1"/>
        <w:numPr>
          <w:ilvl w:val="0"/>
          <w:numId w:val="10"/>
        </w:numPr>
        <w:spacing w:after="0"/>
        <w:jc w:val="both"/>
        <w:rPr>
          <w:lang w:eastAsia="en-GB"/>
        </w:rPr>
      </w:pPr>
      <w:r>
        <w:rPr>
          <w:lang w:eastAsia="en-GB"/>
        </w:rPr>
        <w:t>interim or end-state criteria to be monitored, recorded and, if appropriate, trended (including frequency, action levels, and availability and limits of instrumentation),</w:t>
      </w:r>
    </w:p>
    <w:p w14:paraId="14324920" w14:textId="71B38817" w:rsidR="002C6EBA" w:rsidRDefault="006649BF" w:rsidP="002833AC">
      <w:pPr>
        <w:pStyle w:val="TSNumberedParagraph1"/>
        <w:numPr>
          <w:ilvl w:val="0"/>
          <w:numId w:val="10"/>
        </w:numPr>
        <w:spacing w:after="0"/>
        <w:jc w:val="both"/>
        <w:rPr>
          <w:lang w:eastAsia="en-GB"/>
        </w:rPr>
      </w:pPr>
      <w:r w:rsidRPr="00990C51">
        <w:rPr>
          <w:lang w:eastAsia="en-GB"/>
        </w:rPr>
        <w:t xml:space="preserve">measures to </w:t>
      </w:r>
      <w:r w:rsidR="002C6EBA" w:rsidRPr="00990C51">
        <w:rPr>
          <w:lang w:eastAsia="en-GB"/>
        </w:rPr>
        <w:t xml:space="preserve">ensure appropriate </w:t>
      </w:r>
      <w:r w:rsidR="008824F2">
        <w:rPr>
          <w:lang w:eastAsia="en-GB"/>
        </w:rPr>
        <w:t xml:space="preserve">collection and </w:t>
      </w:r>
      <w:r w:rsidR="002C6EBA" w:rsidRPr="00990C51">
        <w:rPr>
          <w:lang w:eastAsia="en-GB"/>
        </w:rPr>
        <w:t>dissemination of learning (e.g. lessons learned for subse</w:t>
      </w:r>
      <w:r>
        <w:rPr>
          <w:lang w:eastAsia="en-GB"/>
        </w:rPr>
        <w:t>quent decommissioning projects),</w:t>
      </w:r>
    </w:p>
    <w:p w14:paraId="39E86F72" w14:textId="263B019A" w:rsidR="008824F2" w:rsidRPr="00990C51" w:rsidRDefault="006649BF" w:rsidP="002833AC">
      <w:pPr>
        <w:pStyle w:val="TSNumberedParagraph1"/>
        <w:numPr>
          <w:ilvl w:val="0"/>
          <w:numId w:val="10"/>
        </w:numPr>
        <w:spacing w:after="0"/>
        <w:jc w:val="both"/>
        <w:rPr>
          <w:lang w:eastAsia="en-GB"/>
        </w:rPr>
      </w:pPr>
      <w:r>
        <w:rPr>
          <w:lang w:eastAsia="en-GB"/>
        </w:rPr>
        <w:t>i</w:t>
      </w:r>
      <w:r w:rsidR="00594DD3">
        <w:rPr>
          <w:lang w:eastAsia="en-GB"/>
        </w:rPr>
        <w:t xml:space="preserve">dentification </w:t>
      </w:r>
      <w:r w:rsidR="00653A46">
        <w:rPr>
          <w:lang w:eastAsia="en-GB"/>
        </w:rPr>
        <w:t>and inclusion o</w:t>
      </w:r>
      <w:r w:rsidR="00594DD3">
        <w:rPr>
          <w:lang w:eastAsia="en-GB"/>
        </w:rPr>
        <w:t>f an</w:t>
      </w:r>
      <w:r w:rsidR="008824F2">
        <w:rPr>
          <w:lang w:eastAsia="en-GB"/>
        </w:rPr>
        <w:t>y new permanent or temporary construction works needed.</w:t>
      </w:r>
    </w:p>
    <w:p w14:paraId="3DC8DC03" w14:textId="2008AA96" w:rsidR="00207BE5" w:rsidRDefault="00761D92" w:rsidP="00761D92">
      <w:pPr>
        <w:pStyle w:val="TSNumberedParagraph1"/>
        <w:numPr>
          <w:ilvl w:val="0"/>
          <w:numId w:val="12"/>
        </w:numPr>
        <w:tabs>
          <w:tab w:val="clear" w:pos="-31680"/>
        </w:tabs>
        <w:spacing w:before="220"/>
      </w:pPr>
      <w:r w:rsidRPr="000D7D35">
        <w:t xml:space="preserve">Records relating to the design, construction and maintenance of civil </w:t>
      </w:r>
      <w:r w:rsidR="006649BF">
        <w:t>SSCs</w:t>
      </w:r>
      <w:r w:rsidR="00DF303A">
        <w:t xml:space="preserve"> </w:t>
      </w:r>
      <w:r w:rsidRPr="000D7D35">
        <w:t xml:space="preserve">may be lost or destroyed after operations have ceased, and loss of operator knowledge may lead to increased risks during post operational inspection, maintenance, and deconstruction of civil SSCs. The </w:t>
      </w:r>
      <w:proofErr w:type="spellStart"/>
      <w:r w:rsidR="001A6B22">
        <w:rPr>
          <w:iCs/>
        </w:rPr>
        <w:t>dutyholder</w:t>
      </w:r>
      <w:proofErr w:type="spellEnd"/>
      <w:r w:rsidR="001A6B22" w:rsidRPr="000D7D35">
        <w:t xml:space="preserve"> </w:t>
      </w:r>
      <w:r w:rsidRPr="000D7D35">
        <w:t>should make suitable provision in its decommissioning plan to collect and safeguard such information as is necessary for the safe implementa</w:t>
      </w:r>
      <w:r w:rsidR="006649BF">
        <w:t>tion of the follow-on phases.</w:t>
      </w:r>
    </w:p>
    <w:p w14:paraId="1BC4CCB9" w14:textId="04C8A76B" w:rsidR="00741804" w:rsidRPr="00133AEF" w:rsidRDefault="00A64ABA" w:rsidP="00133AEF">
      <w:pPr>
        <w:pStyle w:val="TSHeadingNumbered1"/>
        <w:numPr>
          <w:ilvl w:val="0"/>
          <w:numId w:val="11"/>
        </w:numPr>
      </w:pPr>
      <w:bookmarkStart w:id="62" w:name="_Toc57895895"/>
      <w:r w:rsidRPr="00133AEF">
        <w:t>Post Operation</w:t>
      </w:r>
      <w:r w:rsidR="00B04055" w:rsidRPr="00133AEF">
        <w:t xml:space="preserve"> Phases</w:t>
      </w:r>
      <w:bookmarkEnd w:id="62"/>
      <w:r w:rsidR="00E26084" w:rsidRPr="00133AEF">
        <w:t xml:space="preserve"> </w:t>
      </w:r>
    </w:p>
    <w:p w14:paraId="609C3FB6" w14:textId="1ED8EB12" w:rsidR="008B2B33" w:rsidRDefault="00A64ABA" w:rsidP="002833AC">
      <w:pPr>
        <w:pStyle w:val="TSNumberedParagraph1"/>
        <w:numPr>
          <w:ilvl w:val="0"/>
          <w:numId w:val="12"/>
        </w:numPr>
        <w:spacing w:before="220"/>
      </w:pPr>
      <w:r w:rsidRPr="00A64ABA">
        <w:t xml:space="preserve">The </w:t>
      </w:r>
      <w:r w:rsidR="00B04055">
        <w:t>phases</w:t>
      </w:r>
      <w:r>
        <w:t xml:space="preserve"> </w:t>
      </w:r>
      <w:r w:rsidR="008B2B33">
        <w:t xml:space="preserve">after the cessation of operations </w:t>
      </w:r>
      <w:r>
        <w:t>may be identified in the decommissioning plan</w:t>
      </w:r>
      <w:r w:rsidR="0069610F">
        <w:t>. Not all</w:t>
      </w:r>
      <w:r w:rsidR="00906D59">
        <w:t xml:space="preserve"> phases</w:t>
      </w:r>
      <w:r w:rsidR="0069610F">
        <w:t xml:space="preserve"> </w:t>
      </w:r>
      <w:r w:rsidR="004D3EBE">
        <w:t>need to be included</w:t>
      </w:r>
      <w:r w:rsidR="008B2B33">
        <w:t xml:space="preserve"> in the decommissioning plan</w:t>
      </w:r>
      <w:r w:rsidR="004D3EBE">
        <w:t xml:space="preserve">, depending upon the strategy </w:t>
      </w:r>
      <w:r w:rsidR="00B04055">
        <w:t xml:space="preserve">being </w:t>
      </w:r>
      <w:r w:rsidR="004D3EBE">
        <w:t>adopted</w:t>
      </w:r>
      <w:r w:rsidR="008B2B33">
        <w:t xml:space="preserve">, and the sequencing of activities may differ between </w:t>
      </w:r>
      <w:r w:rsidR="00906D59">
        <w:t>facilities</w:t>
      </w:r>
      <w:r w:rsidR="000B60EF">
        <w:t>.</w:t>
      </w:r>
    </w:p>
    <w:p w14:paraId="5AA89309" w14:textId="17E5E912" w:rsidR="00741804" w:rsidRDefault="008B2B33" w:rsidP="002833AC">
      <w:pPr>
        <w:pStyle w:val="TSNumberedParagraph1"/>
        <w:numPr>
          <w:ilvl w:val="0"/>
          <w:numId w:val="12"/>
        </w:numPr>
        <w:spacing w:before="220"/>
      </w:pPr>
      <w:r>
        <w:t>P</w:t>
      </w:r>
      <w:r w:rsidR="004D3EBE">
        <w:t xml:space="preserve">otential </w:t>
      </w:r>
      <w:r w:rsidR="00B04055">
        <w:t>phases</w:t>
      </w:r>
      <w:r w:rsidR="004D3EBE">
        <w:t xml:space="preserve"> include</w:t>
      </w:r>
      <w:r w:rsidR="000D7011">
        <w:t>,</w:t>
      </w:r>
      <w:r w:rsidR="004D3EBE">
        <w:t xml:space="preserve"> but are not limited</w:t>
      </w:r>
      <w:r w:rsidR="000D7011">
        <w:t>,</w:t>
      </w:r>
      <w:r w:rsidR="004D3EBE">
        <w:t xml:space="preserve"> to</w:t>
      </w:r>
      <w:r w:rsidR="0069610F">
        <w:t xml:space="preserve"> the fol</w:t>
      </w:r>
      <w:r>
        <w:t xml:space="preserve">lowing; </w:t>
      </w:r>
      <w:r w:rsidR="000B60EF">
        <w:t>(</w:t>
      </w:r>
      <w:r>
        <w:t>these</w:t>
      </w:r>
      <w:r w:rsidR="0069610F">
        <w:t xml:space="preserve"> are expanded upon in the sections that follow</w:t>
      </w:r>
      <w:r w:rsidR="000B60EF">
        <w:t>)</w:t>
      </w:r>
    </w:p>
    <w:p w14:paraId="1769B182" w14:textId="7C5B11FD" w:rsidR="00A64ABA" w:rsidRDefault="00A64ABA" w:rsidP="002833AC">
      <w:pPr>
        <w:pStyle w:val="TSNumberedParagraph1"/>
        <w:numPr>
          <w:ilvl w:val="0"/>
          <w:numId w:val="10"/>
        </w:numPr>
        <w:spacing w:after="0"/>
        <w:jc w:val="both"/>
        <w:rPr>
          <w:lang w:eastAsia="en-GB"/>
        </w:rPr>
      </w:pPr>
      <w:r w:rsidRPr="0069610F">
        <w:rPr>
          <w:b/>
        </w:rPr>
        <w:t>Inactive quiescent storage</w:t>
      </w:r>
      <w:r>
        <w:t>.</w:t>
      </w:r>
      <w:r w:rsidR="00CA013C">
        <w:t xml:space="preserve"> - </w:t>
      </w:r>
      <w:r>
        <w:t>A period w</w:t>
      </w:r>
      <w:r w:rsidR="004D3EBE">
        <w:t>h</w:t>
      </w:r>
      <w:r>
        <w:t xml:space="preserve">ere no </w:t>
      </w:r>
      <w:r w:rsidR="004D3EBE">
        <w:t xml:space="preserve">nuclear </w:t>
      </w:r>
      <w:r w:rsidR="000D7011">
        <w:t>operations</w:t>
      </w:r>
      <w:r>
        <w:t xml:space="preserve"> </w:t>
      </w:r>
      <w:r w:rsidR="000D7011">
        <w:t>are</w:t>
      </w:r>
      <w:r>
        <w:t xml:space="preserve"> undertaken, but all radiological </w:t>
      </w:r>
      <w:r w:rsidR="00F76C89">
        <w:t>inventory remain</w:t>
      </w:r>
      <w:r w:rsidR="000D7011">
        <w:t>s</w:t>
      </w:r>
      <w:r w:rsidR="000B60EF">
        <w:t xml:space="preserve"> present,</w:t>
      </w:r>
    </w:p>
    <w:p w14:paraId="7A4822F7" w14:textId="02BEE337" w:rsidR="00A64ABA" w:rsidRDefault="00A64ABA" w:rsidP="002833AC">
      <w:pPr>
        <w:pStyle w:val="TSNumberedParagraph1"/>
        <w:numPr>
          <w:ilvl w:val="0"/>
          <w:numId w:val="10"/>
        </w:numPr>
        <w:spacing w:after="0"/>
        <w:jc w:val="both"/>
        <w:rPr>
          <w:lang w:eastAsia="en-GB"/>
        </w:rPr>
      </w:pPr>
      <w:r w:rsidRPr="0069610F">
        <w:rPr>
          <w:b/>
        </w:rPr>
        <w:t>Post operational clean out</w:t>
      </w:r>
      <w:r>
        <w:t>.</w:t>
      </w:r>
      <w:r w:rsidR="00CA013C">
        <w:t xml:space="preserve"> – An activity during which all practicably retrievable radiological inventory is removed and contamination which presents a potential risk to ongoing health and safety is addressed (potenti</w:t>
      </w:r>
      <w:r w:rsidR="00990C51">
        <w:t>ally by in</w:t>
      </w:r>
      <w:r w:rsidR="00906D59">
        <w:t>-</w:t>
      </w:r>
      <w:r w:rsidR="00990C51">
        <w:t xml:space="preserve">situ encapsulation). </w:t>
      </w:r>
      <w:r w:rsidR="000D7011">
        <w:t>O</w:t>
      </w:r>
      <w:r w:rsidR="00CA013C">
        <w:t>ther hazardous materials (e.g. asbestos, mineral oils, etc.) mig</w:t>
      </w:r>
      <w:r w:rsidR="000B60EF">
        <w:t>ht be removed during this stage,</w:t>
      </w:r>
    </w:p>
    <w:p w14:paraId="124E0BE7" w14:textId="2BFA58E8" w:rsidR="00A64ABA" w:rsidRDefault="00A64ABA" w:rsidP="002833AC">
      <w:pPr>
        <w:pStyle w:val="TSNumberedParagraph1"/>
        <w:numPr>
          <w:ilvl w:val="0"/>
          <w:numId w:val="10"/>
        </w:numPr>
        <w:spacing w:after="0"/>
        <w:jc w:val="both"/>
        <w:rPr>
          <w:lang w:eastAsia="en-GB"/>
        </w:rPr>
      </w:pPr>
      <w:r w:rsidRPr="0069610F">
        <w:rPr>
          <w:b/>
        </w:rPr>
        <w:t>Care and maintenance</w:t>
      </w:r>
      <w:r>
        <w:t>.</w:t>
      </w:r>
      <w:r w:rsidR="00CA013C">
        <w:t xml:space="preserve"> – A period w</w:t>
      </w:r>
      <w:r w:rsidR="004D3EBE">
        <w:t>h</w:t>
      </w:r>
      <w:r w:rsidR="00CA013C">
        <w:t xml:space="preserve">ere no </w:t>
      </w:r>
      <w:r w:rsidR="004D3EBE">
        <w:t xml:space="preserve">nuclear </w:t>
      </w:r>
      <w:r w:rsidR="000D7011">
        <w:t>operations</w:t>
      </w:r>
      <w:r w:rsidR="00CA013C">
        <w:t xml:space="preserve"> </w:t>
      </w:r>
      <w:r w:rsidR="000D7011">
        <w:t>are</w:t>
      </w:r>
      <w:r w:rsidR="00CA013C">
        <w:t xml:space="preserve"> undertaken</w:t>
      </w:r>
      <w:r w:rsidR="00BC49BC">
        <w:t xml:space="preserve">, but most of the </w:t>
      </w:r>
      <w:r w:rsidR="000D7011">
        <w:t xml:space="preserve">contaminated and activated </w:t>
      </w:r>
      <w:r w:rsidR="00BC49BC">
        <w:t>plant and equipment remains present</w:t>
      </w:r>
      <w:r w:rsidR="004D3EBE">
        <w:t>.</w:t>
      </w:r>
      <w:r w:rsidR="00CA013C">
        <w:t xml:space="preserve"> </w:t>
      </w:r>
      <w:r w:rsidR="000D7011">
        <w:t>The main purpose of this phase is to allow radionuclides to naturally decay to a level where remote removal can be substituted by manual removal, producing</w:t>
      </w:r>
      <w:r w:rsidR="000B60EF">
        <w:t xml:space="preserve"> a reduction in risks and costs,</w:t>
      </w:r>
    </w:p>
    <w:p w14:paraId="5198863A" w14:textId="0D480CBC" w:rsidR="00A64ABA" w:rsidRDefault="00A64ABA" w:rsidP="002833AC">
      <w:pPr>
        <w:pStyle w:val="TSNumberedParagraph1"/>
        <w:numPr>
          <w:ilvl w:val="0"/>
          <w:numId w:val="10"/>
        </w:numPr>
        <w:spacing w:after="0"/>
        <w:jc w:val="both"/>
        <w:rPr>
          <w:lang w:eastAsia="en-GB"/>
        </w:rPr>
      </w:pPr>
      <w:r w:rsidRPr="0069610F">
        <w:rPr>
          <w:b/>
        </w:rPr>
        <w:t>Decommissioning</w:t>
      </w:r>
      <w:r>
        <w:t>.</w:t>
      </w:r>
      <w:r w:rsidR="004D3EBE">
        <w:t xml:space="preserve"> – Strip</w:t>
      </w:r>
      <w:r w:rsidR="000D7011">
        <w:t>-</w:t>
      </w:r>
      <w:r w:rsidR="004D3EBE">
        <w:t>out and disposal of plant, equipment and other non-building fabric components</w:t>
      </w:r>
      <w:r w:rsidR="002C6B03">
        <w:t xml:space="preserve"> associated with radiological inventory</w:t>
      </w:r>
      <w:r w:rsidR="00990C51">
        <w:t>. Remaining c</w:t>
      </w:r>
      <w:r w:rsidR="004D3EBE">
        <w:t>ontaminated or activated materials presenting a significant risk should be removed during this stage</w:t>
      </w:r>
      <w:r w:rsidR="000B60EF">
        <w:t>,</w:t>
      </w:r>
    </w:p>
    <w:p w14:paraId="516D888B" w14:textId="51FB8B1C" w:rsidR="00A64ABA" w:rsidRDefault="00A64ABA" w:rsidP="002833AC">
      <w:pPr>
        <w:pStyle w:val="TSNumberedParagraph1"/>
        <w:numPr>
          <w:ilvl w:val="0"/>
          <w:numId w:val="10"/>
        </w:numPr>
        <w:spacing w:after="0"/>
        <w:jc w:val="both"/>
        <w:rPr>
          <w:lang w:eastAsia="en-GB"/>
        </w:rPr>
      </w:pPr>
      <w:r w:rsidRPr="0069610F">
        <w:rPr>
          <w:b/>
        </w:rPr>
        <w:t>Demolition</w:t>
      </w:r>
      <w:r w:rsidR="004D3EBE">
        <w:t xml:space="preserve">. – Removal of </w:t>
      </w:r>
      <w:r w:rsidR="00990C51">
        <w:t xml:space="preserve">the </w:t>
      </w:r>
      <w:r w:rsidR="004D3EBE">
        <w:t xml:space="preserve">building fabric to </w:t>
      </w:r>
      <w:r w:rsidR="00CC04A9">
        <w:t xml:space="preserve">achieve </w:t>
      </w:r>
      <w:r w:rsidR="004D3EBE">
        <w:t>a prede</w:t>
      </w:r>
      <w:r w:rsidR="00CC04A9">
        <w:t>fined</w:t>
      </w:r>
      <w:r w:rsidR="004D3EBE">
        <w:t xml:space="preserve"> end state. Some structures (e.g. foundations, </w:t>
      </w:r>
      <w:r w:rsidR="00CC04A9">
        <w:t xml:space="preserve">concrete </w:t>
      </w:r>
      <w:r w:rsidR="004D3EBE">
        <w:t xml:space="preserve">bases, </w:t>
      </w:r>
      <w:r w:rsidR="00CC04A9">
        <w:t xml:space="preserve">and </w:t>
      </w:r>
      <w:r w:rsidR="008B538F">
        <w:t>below</w:t>
      </w:r>
      <w:r w:rsidR="00CC04A9">
        <w:t>-</w:t>
      </w:r>
      <w:r w:rsidR="008B538F">
        <w:t xml:space="preserve">ground services) may remain </w:t>
      </w:r>
      <w:r w:rsidR="00CC04A9">
        <w:t xml:space="preserve">in-place </w:t>
      </w:r>
      <w:r w:rsidR="008B538F">
        <w:t>if the risks</w:t>
      </w:r>
      <w:r w:rsidR="005C609C">
        <w:t xml:space="preserve"> and hazards </w:t>
      </w:r>
      <w:r w:rsidR="008B538F">
        <w:t>presented by these elem</w:t>
      </w:r>
      <w:r w:rsidR="000B60EF">
        <w:t>ents are considered acceptable,</w:t>
      </w:r>
    </w:p>
    <w:p w14:paraId="3A560DFD" w14:textId="5490C519" w:rsidR="00E34D8B" w:rsidRDefault="00E34D8B" w:rsidP="002833AC">
      <w:pPr>
        <w:pStyle w:val="TSNumberedParagraph1"/>
        <w:numPr>
          <w:ilvl w:val="0"/>
          <w:numId w:val="10"/>
        </w:numPr>
        <w:spacing w:after="0"/>
        <w:jc w:val="both"/>
        <w:rPr>
          <w:lang w:eastAsia="en-GB"/>
        </w:rPr>
      </w:pPr>
      <w:r w:rsidRPr="0069610F">
        <w:rPr>
          <w:b/>
          <w:lang w:eastAsia="en-GB"/>
        </w:rPr>
        <w:t>Site remediation</w:t>
      </w:r>
      <w:r>
        <w:rPr>
          <w:lang w:eastAsia="en-GB"/>
        </w:rPr>
        <w:t>. – Treatment (preferably removal) of contamination (radiological or otherwise) of the la</w:t>
      </w:r>
      <w:r w:rsidR="000B60EF">
        <w:rPr>
          <w:lang w:eastAsia="en-GB"/>
        </w:rPr>
        <w:t>nd associated with the facility,</w:t>
      </w:r>
    </w:p>
    <w:p w14:paraId="1B79EF49" w14:textId="7513517A" w:rsidR="00A64ABA" w:rsidRPr="00A64ABA" w:rsidRDefault="00A64ABA" w:rsidP="002833AC">
      <w:pPr>
        <w:pStyle w:val="TSNumberedParagraph1"/>
        <w:numPr>
          <w:ilvl w:val="0"/>
          <w:numId w:val="10"/>
        </w:numPr>
        <w:spacing w:after="0"/>
        <w:jc w:val="both"/>
        <w:rPr>
          <w:lang w:eastAsia="en-GB"/>
        </w:rPr>
      </w:pPr>
      <w:r w:rsidRPr="0069610F">
        <w:rPr>
          <w:b/>
        </w:rPr>
        <w:lastRenderedPageBreak/>
        <w:t>Delicencing</w:t>
      </w:r>
      <w:r w:rsidRPr="00A64ABA">
        <w:rPr>
          <w:lang w:eastAsia="en-GB"/>
        </w:rPr>
        <w:t>.</w:t>
      </w:r>
      <w:r w:rsidR="008B538F">
        <w:rPr>
          <w:lang w:eastAsia="en-GB"/>
        </w:rPr>
        <w:t xml:space="preserve"> – Administrative process by which </w:t>
      </w:r>
      <w:r w:rsidR="00CC04A9">
        <w:rPr>
          <w:lang w:eastAsia="en-GB"/>
        </w:rPr>
        <w:t xml:space="preserve">the </w:t>
      </w:r>
      <w:r w:rsidR="008B538F">
        <w:rPr>
          <w:lang w:eastAsia="en-GB"/>
        </w:rPr>
        <w:t>Nuclear Site Licen</w:t>
      </w:r>
      <w:r w:rsidR="00CC04A9">
        <w:rPr>
          <w:lang w:eastAsia="en-GB"/>
        </w:rPr>
        <w:t>ce</w:t>
      </w:r>
      <w:r w:rsidR="008B538F">
        <w:rPr>
          <w:lang w:eastAsia="en-GB"/>
        </w:rPr>
        <w:t xml:space="preserve"> is withdrawn from the facility. Only at this stage </w:t>
      </w:r>
      <w:r w:rsidR="00990C51">
        <w:rPr>
          <w:lang w:eastAsia="en-GB"/>
        </w:rPr>
        <w:t>can</w:t>
      </w:r>
      <w:r w:rsidR="008B538F">
        <w:rPr>
          <w:lang w:eastAsia="en-GB"/>
        </w:rPr>
        <w:t xml:space="preserve"> fencing, signage and access controls required by the Licence Conditions be reduced. This stage may include landscaping and works to comply with planning requirements. ONR is no longer the Enforcing Authority once a site has been </w:t>
      </w:r>
      <w:r w:rsidR="00F0106E">
        <w:rPr>
          <w:lang w:eastAsia="en-GB"/>
        </w:rPr>
        <w:t>delicenced but</w:t>
      </w:r>
      <w:r w:rsidR="008B538F">
        <w:rPr>
          <w:lang w:eastAsia="en-GB"/>
        </w:rPr>
        <w:t xml:space="preserve"> may provide support at the request of other authorities regarding the on</w:t>
      </w:r>
      <w:r w:rsidR="00CC04A9">
        <w:rPr>
          <w:lang w:eastAsia="en-GB"/>
        </w:rPr>
        <w:t>-</w:t>
      </w:r>
      <w:r w:rsidR="008B538F">
        <w:rPr>
          <w:lang w:eastAsia="en-GB"/>
        </w:rPr>
        <w:t>going management of the site.</w:t>
      </w:r>
    </w:p>
    <w:p w14:paraId="42ED0F8A" w14:textId="77777777" w:rsidR="00A64ABA" w:rsidRDefault="00A64ABA" w:rsidP="000F600E">
      <w:pPr>
        <w:pStyle w:val="TSNumberedParagraph1"/>
        <w:spacing w:after="0"/>
        <w:ind w:left="720"/>
        <w:jc w:val="both"/>
        <w:rPr>
          <w:lang w:eastAsia="en-GB"/>
        </w:rPr>
      </w:pPr>
    </w:p>
    <w:p w14:paraId="7F3FFD38" w14:textId="4E533EC7" w:rsidR="00507B2D" w:rsidRPr="00133AEF" w:rsidRDefault="006668BB" w:rsidP="00133AEF">
      <w:pPr>
        <w:pStyle w:val="TSHeadingNumbered1"/>
        <w:numPr>
          <w:ilvl w:val="1"/>
          <w:numId w:val="11"/>
        </w:numPr>
        <w:tabs>
          <w:tab w:val="clear" w:pos="-31680"/>
        </w:tabs>
        <w:rPr>
          <w:caps w:val="0"/>
        </w:rPr>
      </w:pPr>
      <w:bookmarkStart w:id="63" w:name="_Toc57895896"/>
      <w:r w:rsidRPr="00133AEF">
        <w:rPr>
          <w:caps w:val="0"/>
        </w:rPr>
        <w:t xml:space="preserve">Inactive </w:t>
      </w:r>
      <w:r w:rsidR="00C92DD4">
        <w:rPr>
          <w:caps w:val="0"/>
        </w:rPr>
        <w:t>q</w:t>
      </w:r>
      <w:r w:rsidRPr="00133AEF">
        <w:rPr>
          <w:caps w:val="0"/>
        </w:rPr>
        <w:t>uiescent</w:t>
      </w:r>
      <w:r w:rsidR="00C92DD4">
        <w:rPr>
          <w:caps w:val="0"/>
        </w:rPr>
        <w:t xml:space="preserve"> s</w:t>
      </w:r>
      <w:r w:rsidRPr="00133AEF">
        <w:rPr>
          <w:caps w:val="0"/>
        </w:rPr>
        <w:t>torage</w:t>
      </w:r>
      <w:bookmarkEnd w:id="63"/>
    </w:p>
    <w:p w14:paraId="54E23DE3" w14:textId="74E77D05" w:rsidR="00507B2D" w:rsidRDefault="00F76C89" w:rsidP="002833AC">
      <w:pPr>
        <w:pStyle w:val="TSNumberedParagraph1"/>
        <w:numPr>
          <w:ilvl w:val="0"/>
          <w:numId w:val="12"/>
        </w:numPr>
        <w:spacing w:before="220"/>
      </w:pPr>
      <w:r w:rsidRPr="00F76C89">
        <w:t xml:space="preserve">The </w:t>
      </w:r>
      <w:r w:rsidR="001E0CC6">
        <w:t xml:space="preserve">Inspector should be aware that </w:t>
      </w:r>
      <w:r w:rsidRPr="00F76C89">
        <w:t xml:space="preserve">safety functions required of civil engineering </w:t>
      </w:r>
      <w:r w:rsidR="00C92DD4">
        <w:t>SSCs</w:t>
      </w:r>
      <w:r w:rsidR="00DF303A">
        <w:t xml:space="preserve"> </w:t>
      </w:r>
      <w:r w:rsidR="00C92DD4">
        <w:t>are likely to remain</w:t>
      </w:r>
      <w:r w:rsidR="001E0CC6">
        <w:t xml:space="preserve"> during periods of quiescent storage</w:t>
      </w:r>
      <w:r w:rsidR="00C92DD4">
        <w:t xml:space="preserve">. </w:t>
      </w:r>
      <w:proofErr w:type="spellStart"/>
      <w:r w:rsidR="00C92DD4">
        <w:t>Duty</w:t>
      </w:r>
      <w:r w:rsidRPr="00F76C89">
        <w:t>holders</w:t>
      </w:r>
      <w:proofErr w:type="spellEnd"/>
      <w:r w:rsidRPr="00F76C89">
        <w:t xml:space="preserve"> would be expected to undertake </w:t>
      </w:r>
      <w:r w:rsidR="00101203">
        <w:t xml:space="preserve">the appropriate </w:t>
      </w:r>
      <w:r w:rsidRPr="00F76C89">
        <w:t>examination, inspection, maintenance and testing (EIMT) activities</w:t>
      </w:r>
      <w:r w:rsidR="00101203">
        <w:t xml:space="preserve"> throughout storage periods</w:t>
      </w:r>
      <w:r w:rsidRPr="00F76C89">
        <w:t>.</w:t>
      </w:r>
    </w:p>
    <w:p w14:paraId="233FCAB4" w14:textId="345B6414" w:rsidR="00DD7386" w:rsidRDefault="00DD7386" w:rsidP="00DD7386">
      <w:pPr>
        <w:pStyle w:val="TSNumberedParagraph1"/>
        <w:numPr>
          <w:ilvl w:val="0"/>
          <w:numId w:val="12"/>
        </w:numPr>
        <w:spacing w:before="220"/>
      </w:pPr>
      <w:r>
        <w:t xml:space="preserve">For guidance on </w:t>
      </w:r>
      <w:r w:rsidR="00AF28FE">
        <w:t xml:space="preserve">current </w:t>
      </w:r>
      <w:r>
        <w:t>condition assessments of ageing or damaged structures that continue to perform safety functional requirements, see:</w:t>
      </w:r>
    </w:p>
    <w:p w14:paraId="61502F4F" w14:textId="5CE0535A" w:rsidR="00DD7386" w:rsidRPr="002B1AA5" w:rsidRDefault="00DD7386" w:rsidP="00DD7386">
      <w:pPr>
        <w:pStyle w:val="TSNumberedParagraph1"/>
        <w:numPr>
          <w:ilvl w:val="0"/>
          <w:numId w:val="10"/>
        </w:numPr>
        <w:spacing w:before="220"/>
      </w:pPr>
      <w:r w:rsidRPr="002B1AA5">
        <w:t>TAG 17 Annex 5</w:t>
      </w:r>
      <w:r w:rsidR="009524E8" w:rsidRPr="002B1AA5">
        <w:t>,</w:t>
      </w:r>
      <w:r w:rsidRPr="002B1AA5">
        <w:t xml:space="preserve"> ‘Civil Engineering – </w:t>
      </w:r>
      <w:r w:rsidR="00091BA0" w:rsidRPr="002B1AA5">
        <w:t>Ageing management and</w:t>
      </w:r>
      <w:r w:rsidRPr="002B1AA5">
        <w:t xml:space="preserve"> damaged structures.</w:t>
      </w:r>
    </w:p>
    <w:p w14:paraId="1038887A" w14:textId="4199590F" w:rsidR="006668BB" w:rsidRPr="002B1AA5" w:rsidRDefault="00C92DD4" w:rsidP="00133AEF">
      <w:pPr>
        <w:pStyle w:val="TSHeadingNumbered1"/>
        <w:numPr>
          <w:ilvl w:val="1"/>
          <w:numId w:val="11"/>
        </w:numPr>
        <w:tabs>
          <w:tab w:val="clear" w:pos="-31680"/>
        </w:tabs>
        <w:rPr>
          <w:caps w:val="0"/>
        </w:rPr>
      </w:pPr>
      <w:bookmarkStart w:id="64" w:name="_Toc57895897"/>
      <w:r w:rsidRPr="002B1AA5">
        <w:rPr>
          <w:caps w:val="0"/>
        </w:rPr>
        <w:t>Post operational clean o</w:t>
      </w:r>
      <w:r w:rsidR="00E34D8B" w:rsidRPr="002B1AA5">
        <w:rPr>
          <w:caps w:val="0"/>
        </w:rPr>
        <w:t>ut</w:t>
      </w:r>
      <w:r w:rsidR="005806F7" w:rsidRPr="002B1AA5">
        <w:rPr>
          <w:caps w:val="0"/>
        </w:rPr>
        <w:t xml:space="preserve"> (POCO)</w:t>
      </w:r>
      <w:bookmarkEnd w:id="64"/>
    </w:p>
    <w:p w14:paraId="63D87268" w14:textId="0097AAAB" w:rsidR="006668BB" w:rsidRPr="002B1AA5" w:rsidRDefault="00DD7386" w:rsidP="002833AC">
      <w:pPr>
        <w:pStyle w:val="TSNumberedParagraph1"/>
        <w:numPr>
          <w:ilvl w:val="0"/>
          <w:numId w:val="12"/>
        </w:numPr>
        <w:spacing w:before="220"/>
      </w:pPr>
      <w:r w:rsidRPr="002B1AA5">
        <w:t xml:space="preserve">The </w:t>
      </w:r>
      <w:r w:rsidR="00101203" w:rsidRPr="002B1AA5">
        <w:t>Inspector</w:t>
      </w:r>
      <w:r w:rsidR="00F8386F" w:rsidRPr="002B1AA5">
        <w:t xml:space="preserve"> may </w:t>
      </w:r>
      <w:r w:rsidR="00101203" w:rsidRPr="002B1AA5">
        <w:t xml:space="preserve">wish </w:t>
      </w:r>
      <w:r w:rsidR="003A76BC" w:rsidRPr="002B1AA5">
        <w:t xml:space="preserve">to </w:t>
      </w:r>
      <w:r w:rsidR="00F8386F" w:rsidRPr="002B1AA5">
        <w:t xml:space="preserve">consider the following for </w:t>
      </w:r>
      <w:r w:rsidRPr="002B1AA5">
        <w:t xml:space="preserve">assessment of </w:t>
      </w:r>
      <w:r w:rsidR="00F8386F" w:rsidRPr="002B1AA5">
        <w:t xml:space="preserve">POCO </w:t>
      </w:r>
      <w:r w:rsidRPr="002B1AA5">
        <w:t>activities on or within civil engineering SSCs</w:t>
      </w:r>
      <w:r w:rsidR="00F8386F" w:rsidRPr="002B1AA5">
        <w:t>:</w:t>
      </w:r>
    </w:p>
    <w:p w14:paraId="43F10CBA" w14:textId="378893A2" w:rsidR="00C955BA" w:rsidRPr="002B1AA5" w:rsidRDefault="00C92DD4" w:rsidP="002833AC">
      <w:pPr>
        <w:pStyle w:val="TSNumberedParagraph1"/>
        <w:numPr>
          <w:ilvl w:val="0"/>
          <w:numId w:val="10"/>
        </w:numPr>
        <w:spacing w:after="0"/>
        <w:jc w:val="both"/>
      </w:pPr>
      <w:r w:rsidRPr="002B1AA5">
        <w:t>increased potential for internal hazards and changes to loading during defueling operations, with increased or modification to use of material handing or retrievals equipment, including dynamic effects and potential for dropped loads (cranes, hoists, fuelling machines, etc.), within the site fuel route and associated equipment,</w:t>
      </w:r>
    </w:p>
    <w:p w14:paraId="01A9E191" w14:textId="164321AF" w:rsidR="006668BB" w:rsidRPr="003A76BC" w:rsidRDefault="00C92DD4" w:rsidP="002833AC">
      <w:pPr>
        <w:pStyle w:val="TSNumberedParagraph1"/>
        <w:numPr>
          <w:ilvl w:val="0"/>
          <w:numId w:val="10"/>
        </w:numPr>
        <w:spacing w:after="0"/>
        <w:jc w:val="both"/>
      </w:pPr>
      <w:r w:rsidRPr="002B1AA5">
        <w:t xml:space="preserve">potential </w:t>
      </w:r>
      <w:r w:rsidR="00DD7386" w:rsidRPr="002B1AA5">
        <w:t xml:space="preserve">modifications </w:t>
      </w:r>
      <w:r w:rsidR="003A76BC" w:rsidRPr="002B1AA5">
        <w:t xml:space="preserve">to </w:t>
      </w:r>
      <w:r w:rsidR="00DD7386" w:rsidRPr="002B1AA5">
        <w:t xml:space="preserve">civil engineering SSCs </w:t>
      </w:r>
      <w:r w:rsidR="003A76BC" w:rsidRPr="002B1AA5">
        <w:t>to gain access to radiological inventory</w:t>
      </w:r>
      <w:r w:rsidR="00DD7386">
        <w:t xml:space="preserve">, which </w:t>
      </w:r>
      <w:r w:rsidR="003A76BC">
        <w:t xml:space="preserve">may compromise </w:t>
      </w:r>
      <w:r w:rsidR="00467A2F">
        <w:t xml:space="preserve">the functions of </w:t>
      </w:r>
      <w:r w:rsidR="00DD7386">
        <w:t xml:space="preserve">structural support, </w:t>
      </w:r>
      <w:r w:rsidR="003A76BC">
        <w:t>containment</w:t>
      </w:r>
      <w:r w:rsidR="00DD7386">
        <w:t>,</w:t>
      </w:r>
      <w:r w:rsidR="00467A2F">
        <w:t xml:space="preserve"> fire boundaries,</w:t>
      </w:r>
      <w:r w:rsidR="00DD7386">
        <w:t xml:space="preserve"> protection from external hazards</w:t>
      </w:r>
      <w:r w:rsidR="00467A2F">
        <w:t xml:space="preserve"> or impact</w:t>
      </w:r>
      <w:r>
        <w:t>,</w:t>
      </w:r>
    </w:p>
    <w:p w14:paraId="7E6507E1" w14:textId="67F44C15" w:rsidR="003A76BC" w:rsidRPr="003A76BC" w:rsidRDefault="00C92DD4" w:rsidP="002833AC">
      <w:pPr>
        <w:pStyle w:val="TSNumberedParagraph1"/>
        <w:numPr>
          <w:ilvl w:val="0"/>
          <w:numId w:val="10"/>
        </w:numPr>
        <w:spacing w:after="0"/>
        <w:jc w:val="both"/>
      </w:pPr>
      <w:r>
        <w:t>pot</w:t>
      </w:r>
      <w:r w:rsidR="00467A2F">
        <w:t xml:space="preserve">ential </w:t>
      </w:r>
      <w:r w:rsidR="003A76BC" w:rsidRPr="003A76BC">
        <w:t>loads beyond those experienced during operations</w:t>
      </w:r>
      <w:r w:rsidR="00467A2F">
        <w:t>,</w:t>
      </w:r>
      <w:r w:rsidR="003A76BC" w:rsidRPr="003A76BC">
        <w:t xml:space="preserve"> or changes in load</w:t>
      </w:r>
      <w:r w:rsidR="00467A2F">
        <w:t>ing</w:t>
      </w:r>
      <w:r w:rsidR="003A76BC" w:rsidRPr="003A76BC">
        <w:t xml:space="preserve"> pattern during retrieval of the radiological inventory. </w:t>
      </w:r>
      <w:r w:rsidR="00221BDD">
        <w:t>Load</w:t>
      </w:r>
      <w:r w:rsidR="002D6462">
        <w:t>s</w:t>
      </w:r>
      <w:r w:rsidR="003A76BC" w:rsidRPr="003A76BC">
        <w:t xml:space="preserve"> may be created by </w:t>
      </w:r>
      <w:r w:rsidR="00221BDD">
        <w:t xml:space="preserve">temporary </w:t>
      </w:r>
      <w:r w:rsidR="003A76BC" w:rsidRPr="003A76BC">
        <w:t xml:space="preserve">additional </w:t>
      </w:r>
      <w:r w:rsidR="00221BDD">
        <w:t xml:space="preserve">radiological </w:t>
      </w:r>
      <w:r w:rsidR="003A76BC" w:rsidRPr="003A76BC">
        <w:t>shielding materials</w:t>
      </w:r>
      <w:r w:rsidR="00C955BA">
        <w:t xml:space="preserve"> or </w:t>
      </w:r>
      <w:r w:rsidR="00467A2F">
        <w:t xml:space="preserve">civil engineering SSCs or mechanical </w:t>
      </w:r>
      <w:r w:rsidR="00C955BA">
        <w:t>equipment</w:t>
      </w:r>
      <w:r w:rsidR="00467A2F">
        <w:t xml:space="preserve"> required for retrieval of wastes</w:t>
      </w:r>
      <w:r>
        <w:t>,</w:t>
      </w:r>
    </w:p>
    <w:p w14:paraId="628FD7A1" w14:textId="02D02CF0" w:rsidR="003A76BC" w:rsidRDefault="00C92DD4" w:rsidP="002833AC">
      <w:pPr>
        <w:pStyle w:val="TSNumberedParagraph1"/>
        <w:numPr>
          <w:ilvl w:val="0"/>
          <w:numId w:val="10"/>
        </w:numPr>
        <w:spacing w:after="0"/>
        <w:jc w:val="both"/>
      </w:pPr>
      <w:r>
        <w:t>f</w:t>
      </w:r>
      <w:r w:rsidR="003A76BC" w:rsidRPr="003A76BC">
        <w:t xml:space="preserve">loatation </w:t>
      </w:r>
      <w:r w:rsidR="003A76BC">
        <w:t xml:space="preserve">or heave </w:t>
      </w:r>
      <w:r w:rsidR="003A76BC" w:rsidRPr="003A76BC">
        <w:t xml:space="preserve">of below ground structures as </w:t>
      </w:r>
      <w:r w:rsidR="00467A2F">
        <w:t xml:space="preserve">heavy equipment or large volumes of </w:t>
      </w:r>
      <w:r w:rsidR="003A76BC" w:rsidRPr="003A76BC">
        <w:t xml:space="preserve">material (including water) </w:t>
      </w:r>
      <w:r w:rsidR="00467A2F">
        <w:t>are</w:t>
      </w:r>
      <w:r w:rsidR="003A76BC" w:rsidRPr="003A76BC">
        <w:t xml:space="preserve"> removed</w:t>
      </w:r>
      <w:r w:rsidR="00467A2F">
        <w:t xml:space="preserve"> from civil engineering SSCs</w:t>
      </w:r>
      <w:r w:rsidR="003A76BC" w:rsidRPr="003A76BC">
        <w:t>.</w:t>
      </w:r>
    </w:p>
    <w:p w14:paraId="7B26BBA4" w14:textId="102B52AE" w:rsidR="00324409" w:rsidRDefault="005E064F" w:rsidP="00467A2F">
      <w:pPr>
        <w:pStyle w:val="TSNumberedParagraph1"/>
        <w:numPr>
          <w:ilvl w:val="0"/>
          <w:numId w:val="12"/>
        </w:numPr>
        <w:spacing w:before="220"/>
      </w:pPr>
      <w:r w:rsidRPr="005E064F">
        <w:t xml:space="preserve">If a </w:t>
      </w:r>
      <w:proofErr w:type="spellStart"/>
      <w:r w:rsidRPr="005E064F">
        <w:t>dutyholder</w:t>
      </w:r>
      <w:proofErr w:type="spellEnd"/>
      <w:r w:rsidRPr="005E064F">
        <w:t xml:space="preserve"> is propos</w:t>
      </w:r>
      <w:r>
        <w:t>ing</w:t>
      </w:r>
      <w:r w:rsidRPr="005E064F">
        <w:t xml:space="preserve"> to reduce radioactivity from the civil engineering SSC surfaces e.g. surface scabbling, the Inspector may wish to consider how these activities could impact on the durability of the structure for the required lifetime.</w:t>
      </w:r>
      <w:r>
        <w:t xml:space="preserve"> </w:t>
      </w:r>
      <w:r w:rsidR="00467A2F">
        <w:t xml:space="preserve">The Inspector </w:t>
      </w:r>
      <w:r w:rsidR="00A639D9">
        <w:t xml:space="preserve">may </w:t>
      </w:r>
      <w:r>
        <w:t xml:space="preserve">wish to </w:t>
      </w:r>
      <w:r w:rsidR="00A639D9">
        <w:t>seek assurance of</w:t>
      </w:r>
      <w:r w:rsidR="00467A2F">
        <w:t xml:space="preserve"> the </w:t>
      </w:r>
      <w:proofErr w:type="spellStart"/>
      <w:r w:rsidR="00467A2F">
        <w:t>dutyholder</w:t>
      </w:r>
      <w:r w:rsidR="00842982">
        <w:t>’</w:t>
      </w:r>
      <w:r w:rsidR="00467A2F">
        <w:t>s</w:t>
      </w:r>
      <w:proofErr w:type="spellEnd"/>
      <w:r w:rsidR="00467A2F">
        <w:t xml:space="preserve"> alternative strategy</w:t>
      </w:r>
      <w:r w:rsidR="00324409">
        <w:t xml:space="preserve"> </w:t>
      </w:r>
      <w:r w:rsidR="00467A2F">
        <w:t xml:space="preserve">and associated justification, should the strategy for </w:t>
      </w:r>
      <w:r w:rsidR="00324409">
        <w:t xml:space="preserve">cleaning </w:t>
      </w:r>
      <w:r w:rsidR="00467A2F">
        <w:t>not achieve the required levels</w:t>
      </w:r>
      <w:r w:rsidR="00467A2F" w:rsidRPr="00467A2F">
        <w:t xml:space="preserve"> </w:t>
      </w:r>
      <w:r w:rsidR="00467A2F">
        <w:t>to satisfy environmental requirements</w:t>
      </w:r>
      <w:r w:rsidR="00324409">
        <w:t>.</w:t>
      </w:r>
    </w:p>
    <w:p w14:paraId="6D3F2CB9" w14:textId="00D64714" w:rsidR="006668BB" w:rsidRPr="00133AEF" w:rsidRDefault="00BE583E" w:rsidP="00133AEF">
      <w:pPr>
        <w:pStyle w:val="TSHeadingNumbered1"/>
        <w:numPr>
          <w:ilvl w:val="1"/>
          <w:numId w:val="11"/>
        </w:numPr>
        <w:tabs>
          <w:tab w:val="clear" w:pos="-31680"/>
        </w:tabs>
        <w:rPr>
          <w:caps w:val="0"/>
        </w:rPr>
      </w:pPr>
      <w:bookmarkStart w:id="65" w:name="_Toc57895898"/>
      <w:r>
        <w:rPr>
          <w:caps w:val="0"/>
        </w:rPr>
        <w:t>Care and m</w:t>
      </w:r>
      <w:r w:rsidR="006668BB" w:rsidRPr="00133AEF">
        <w:rPr>
          <w:caps w:val="0"/>
        </w:rPr>
        <w:t xml:space="preserve">aintenance </w:t>
      </w:r>
      <w:r w:rsidR="005806F7" w:rsidRPr="00133AEF">
        <w:rPr>
          <w:caps w:val="0"/>
        </w:rPr>
        <w:t>(C&amp;M)</w:t>
      </w:r>
      <w:r w:rsidR="00E44E68" w:rsidRPr="00E44E68">
        <w:rPr>
          <w:caps w:val="0"/>
        </w:rPr>
        <w:t xml:space="preserve"> </w:t>
      </w:r>
      <w:r>
        <w:rPr>
          <w:caps w:val="0"/>
        </w:rPr>
        <w:t>p</w:t>
      </w:r>
      <w:r w:rsidR="00E44E68" w:rsidRPr="00133AEF">
        <w:rPr>
          <w:caps w:val="0"/>
        </w:rPr>
        <w:t>hase</w:t>
      </w:r>
      <w:bookmarkEnd w:id="65"/>
    </w:p>
    <w:p w14:paraId="3A3D8DE1" w14:textId="5746F01E" w:rsidR="001D3D06" w:rsidRDefault="00BE583E" w:rsidP="001D3D06">
      <w:pPr>
        <w:pStyle w:val="TSNumberedParagraph1"/>
        <w:numPr>
          <w:ilvl w:val="0"/>
          <w:numId w:val="12"/>
        </w:numPr>
        <w:spacing w:before="220"/>
      </w:pPr>
      <w:r>
        <w:rPr>
          <w:iCs/>
        </w:rPr>
        <w:t xml:space="preserve">SAP </w:t>
      </w:r>
      <w:r w:rsidR="001D3D06" w:rsidRPr="001D3D06">
        <w:rPr>
          <w:iCs/>
        </w:rPr>
        <w:t xml:space="preserve">DC.5 </w:t>
      </w:r>
      <w:r>
        <w:rPr>
          <w:iCs/>
        </w:rPr>
        <w:t>establishes</w:t>
      </w:r>
      <w:r w:rsidR="001D3D06" w:rsidRPr="001D3D06">
        <w:rPr>
          <w:iCs/>
        </w:rPr>
        <w:t xml:space="preserve"> the expectation that the site is passively safe before entering the care and maintenance phase. </w:t>
      </w:r>
      <w:r w:rsidR="001D3D06">
        <w:t xml:space="preserve">While </w:t>
      </w:r>
      <w:r w:rsidR="001D3D06" w:rsidRPr="00C33579">
        <w:t>post</w:t>
      </w:r>
      <w:r w:rsidR="001D3D06">
        <w:t>-</w:t>
      </w:r>
      <w:r w:rsidR="001D3D06" w:rsidRPr="00C33579">
        <w:t xml:space="preserve">operational facilities presenting a potential nuclear risk will be required to undertake a periodic </w:t>
      </w:r>
      <w:r w:rsidR="001D3D06" w:rsidRPr="00AC3E6E">
        <w:t>revi</w:t>
      </w:r>
      <w:r w:rsidR="001D3D06">
        <w:t xml:space="preserve">ew of safety (Licence Condition </w:t>
      </w:r>
      <w:r w:rsidR="001D3D06" w:rsidRPr="00AC3E6E">
        <w:t>15), these may not be suff</w:t>
      </w:r>
      <w:r w:rsidR="001D3D06">
        <w:t>icient to manage all risks post-</w:t>
      </w:r>
      <w:r w:rsidR="001D3D06" w:rsidRPr="00AC3E6E">
        <w:t>operation</w:t>
      </w:r>
      <w:r w:rsidR="001D3D06">
        <w:t xml:space="preserve"> e.g. conventional health and safety risks</w:t>
      </w:r>
      <w:r w:rsidR="001D3D06" w:rsidRPr="00AC3E6E">
        <w:t xml:space="preserve">. </w:t>
      </w:r>
      <w:r w:rsidR="001D3D06">
        <w:t xml:space="preserve">The Inspector </w:t>
      </w:r>
      <w:r w:rsidR="00E71B25">
        <w:t>may wish to consider undertaking joint</w:t>
      </w:r>
      <w:r w:rsidR="001D3D06">
        <w:t xml:space="preserve"> </w:t>
      </w:r>
      <w:r w:rsidR="001D3D06" w:rsidRPr="00AC3E6E">
        <w:t>planned interventions to consider conventional risks and hazards</w:t>
      </w:r>
      <w:r w:rsidR="00E71B25">
        <w:t xml:space="preserve"> alongside </w:t>
      </w:r>
      <w:r w:rsidR="00E71B25">
        <w:lastRenderedPageBreak/>
        <w:t>conventional health and safety colleagues</w:t>
      </w:r>
      <w:r w:rsidR="001D3D06">
        <w:t>, especially where areas of uncertainty arise from the decommissioning strategy, such as rates of corrosion of internal steelwork. This meets the WENRA Safety Reference Level requirements in DE-23.</w:t>
      </w:r>
    </w:p>
    <w:p w14:paraId="6678C6D4" w14:textId="7E5E95D9" w:rsidR="001D3D06" w:rsidRPr="001D3D06" w:rsidRDefault="001D3D06" w:rsidP="001D3D06">
      <w:pPr>
        <w:pStyle w:val="TSNumberedParagraph1"/>
        <w:numPr>
          <w:ilvl w:val="0"/>
          <w:numId w:val="12"/>
        </w:numPr>
        <w:spacing w:before="220"/>
        <w:rPr>
          <w:rStyle w:val="TSExampleText"/>
          <w:i w:val="0"/>
          <w:color w:val="auto"/>
        </w:rPr>
      </w:pPr>
      <w:r>
        <w:t>The Inspector shou</w:t>
      </w:r>
      <w:r w:rsidR="00BE583E">
        <w:t>ld expect the objective of the care and m</w:t>
      </w:r>
      <w:r>
        <w:t xml:space="preserve">aintenance (C&amp;M) preparations is to have no active systems on site during C&amp;M. This may not always be possible, e.g. an unavoidable active system could be a pumping system to remove (clean) groundwater ingress to a basement of a structure. </w:t>
      </w:r>
      <w:r w:rsidRPr="001D3D06">
        <w:rPr>
          <w:rStyle w:val="TSExampleText"/>
          <w:i w:val="0"/>
          <w:color w:val="auto"/>
        </w:rPr>
        <w:t xml:space="preserve">The Inspector </w:t>
      </w:r>
      <w:r w:rsidR="00A639D9">
        <w:t>may wish to</w:t>
      </w:r>
      <w:r w:rsidRPr="001D3D06">
        <w:rPr>
          <w:rStyle w:val="TSExampleText"/>
          <w:i w:val="0"/>
          <w:color w:val="auto"/>
        </w:rPr>
        <w:t xml:space="preserve"> </w:t>
      </w:r>
      <w:r w:rsidR="00507C0C">
        <w:rPr>
          <w:rStyle w:val="TSExampleText"/>
          <w:i w:val="0"/>
          <w:color w:val="auto"/>
        </w:rPr>
        <w:t>seek assurance of the adequacy of</w:t>
      </w:r>
      <w:r w:rsidRPr="001D3D06">
        <w:rPr>
          <w:rStyle w:val="TSExampleText"/>
          <w:i w:val="0"/>
          <w:color w:val="auto"/>
        </w:rPr>
        <w:t xml:space="preserve"> the proposed or in place regime for ongoing EIMT of civil engineering SSCs, </w:t>
      </w:r>
      <w:r w:rsidR="00507C0C">
        <w:rPr>
          <w:rStyle w:val="TSExampleText"/>
          <w:i w:val="0"/>
          <w:color w:val="auto"/>
        </w:rPr>
        <w:t>and</w:t>
      </w:r>
      <w:r w:rsidRPr="001D3D06">
        <w:rPr>
          <w:rStyle w:val="TSExampleText"/>
          <w:i w:val="0"/>
          <w:color w:val="auto"/>
        </w:rPr>
        <w:t xml:space="preserve"> whether it is designed to minimise the need for active safety systems (including monitoring systems) in the interests of safety, and preventing the need for prompt intervention to maintain the facility in a safe condition. </w:t>
      </w:r>
      <w:r w:rsidR="00BE583E">
        <w:rPr>
          <w:rStyle w:val="TSExampleText"/>
          <w:i w:val="0"/>
          <w:color w:val="auto"/>
        </w:rPr>
        <w:t>SAP DC.5 establishes</w:t>
      </w:r>
      <w:r w:rsidRPr="001D3D06">
        <w:rPr>
          <w:rStyle w:val="TSExampleText"/>
          <w:i w:val="0"/>
          <w:color w:val="auto"/>
        </w:rPr>
        <w:t xml:space="preserve"> the expectations regarding passive safety, including </w:t>
      </w:r>
      <w:r w:rsidR="004764D5">
        <w:rPr>
          <w:rStyle w:val="TSExampleText"/>
          <w:i w:val="0"/>
          <w:color w:val="auto"/>
        </w:rPr>
        <w:t>adequate</w:t>
      </w:r>
      <w:r w:rsidRPr="001D3D06">
        <w:rPr>
          <w:rStyle w:val="TSExampleText"/>
          <w:i w:val="0"/>
          <w:color w:val="auto"/>
        </w:rPr>
        <w:t xml:space="preserve"> access for EIMT activity to be controlled with entry points provided for response to incidents </w:t>
      </w:r>
      <w:r w:rsidR="00BE583E">
        <w:rPr>
          <w:rStyle w:val="TSExampleText"/>
          <w:i w:val="0"/>
          <w:color w:val="auto"/>
        </w:rPr>
        <w:t>and</w:t>
      </w:r>
      <w:r w:rsidRPr="001D3D06">
        <w:rPr>
          <w:rStyle w:val="TSExampleText"/>
          <w:i w:val="0"/>
          <w:color w:val="auto"/>
        </w:rPr>
        <w:t xml:space="preserve"> provision to prevent access by flora and fauna etc.</w:t>
      </w:r>
    </w:p>
    <w:p w14:paraId="77E12659" w14:textId="69804611" w:rsidR="001D3D06" w:rsidRDefault="001D3D06" w:rsidP="001D3D06">
      <w:pPr>
        <w:pStyle w:val="TSNumberedParagraph1"/>
        <w:numPr>
          <w:ilvl w:val="0"/>
          <w:numId w:val="12"/>
        </w:numPr>
        <w:spacing w:before="220"/>
      </w:pPr>
      <w:r>
        <w:t xml:space="preserve">If ongoing access for inspection is required, </w:t>
      </w:r>
      <w:r w:rsidR="00131F4D">
        <w:t xml:space="preserve">the Inspector should expect </w:t>
      </w:r>
      <w:r>
        <w:t xml:space="preserve">safe means of access and egress </w:t>
      </w:r>
      <w:r w:rsidR="00131F4D">
        <w:t xml:space="preserve">to </w:t>
      </w:r>
      <w:r>
        <w:t>be maintained, including provision of fire escape, lighting and dire</w:t>
      </w:r>
      <w:r w:rsidR="00BE583E">
        <w:t>ctional signage as appropriate.</w:t>
      </w:r>
    </w:p>
    <w:p w14:paraId="13892D14" w14:textId="5241D71F" w:rsidR="001D3D06" w:rsidRPr="00DF303A" w:rsidRDefault="001D3D06" w:rsidP="001D3D06">
      <w:pPr>
        <w:pStyle w:val="TSNumberedParagraph1"/>
        <w:numPr>
          <w:ilvl w:val="0"/>
          <w:numId w:val="12"/>
        </w:numPr>
        <w:spacing w:before="220"/>
        <w:rPr>
          <w:iCs/>
        </w:rPr>
      </w:pPr>
      <w:r w:rsidRPr="00DF303A">
        <w:rPr>
          <w:iCs/>
        </w:rPr>
        <w:t>For the C&amp;M phase, the safety case should describe the arrangements for the continued surveillance, maintenance and monitoring of the facilities that will ensure that any unexpected</w:t>
      </w:r>
      <w:r w:rsidR="00BE583E">
        <w:rPr>
          <w:iCs/>
        </w:rPr>
        <w:t xml:space="preserve"> degradation will be detected. </w:t>
      </w:r>
      <w:r w:rsidRPr="00DF303A">
        <w:rPr>
          <w:iCs/>
        </w:rPr>
        <w:t xml:space="preserve">Similarly, </w:t>
      </w:r>
      <w:r w:rsidR="001063B0">
        <w:rPr>
          <w:iCs/>
        </w:rPr>
        <w:t xml:space="preserve">the Inspector may seek assurance that there are </w:t>
      </w:r>
      <w:r w:rsidRPr="00DF303A">
        <w:rPr>
          <w:iCs/>
        </w:rPr>
        <w:t xml:space="preserve">adequate arrangements </w:t>
      </w:r>
      <w:r w:rsidR="001063B0">
        <w:rPr>
          <w:iCs/>
        </w:rPr>
        <w:t>in place</w:t>
      </w:r>
      <w:r w:rsidRPr="00DF303A">
        <w:rPr>
          <w:iCs/>
        </w:rPr>
        <w:t xml:space="preserve"> for detecting leakage of radioactivity and to ensure that unforeseen incidents are detected (for example, damage caused by natural events, failure of systems, intrusion). Where earthworks or excavation are required</w:t>
      </w:r>
      <w:r w:rsidR="00BE583E">
        <w:rPr>
          <w:iCs/>
        </w:rPr>
        <w:t>,</w:t>
      </w:r>
      <w:r w:rsidRPr="00DF303A">
        <w:rPr>
          <w:iCs/>
        </w:rPr>
        <w:t xml:space="preserve"> </w:t>
      </w:r>
      <w:r w:rsidR="00F0106E">
        <w:rPr>
          <w:iCs/>
        </w:rPr>
        <w:t xml:space="preserve">the Inspector is reminded of the </w:t>
      </w:r>
      <w:r w:rsidRPr="00DF303A">
        <w:rPr>
          <w:iCs/>
        </w:rPr>
        <w:t>possibility of contaminated land or spoil</w:t>
      </w:r>
      <w:r w:rsidR="00F0106E">
        <w:rPr>
          <w:iCs/>
        </w:rPr>
        <w:t xml:space="preserve"> presence</w:t>
      </w:r>
      <w:r w:rsidRPr="00DF303A">
        <w:rPr>
          <w:iCs/>
        </w:rPr>
        <w:t xml:space="preserve">. </w:t>
      </w:r>
      <w:r w:rsidR="00BE583E">
        <w:rPr>
          <w:iCs/>
        </w:rPr>
        <w:t xml:space="preserve">SAP </w:t>
      </w:r>
      <w:r w:rsidRPr="00DF303A">
        <w:rPr>
          <w:iCs/>
        </w:rPr>
        <w:t xml:space="preserve">DC.8 </w:t>
      </w:r>
      <w:r w:rsidR="00BE583E">
        <w:rPr>
          <w:iCs/>
        </w:rPr>
        <w:t>expects</w:t>
      </w:r>
      <w:r w:rsidRPr="00DF303A">
        <w:rPr>
          <w:iCs/>
        </w:rPr>
        <w:t xml:space="preserve"> a management system for decommissioning regarding examination, inspection, maintenance and testing (EIMT) and these EIMT activities should be provided in a decommissioning safety case as expected in DC.9.</w:t>
      </w:r>
    </w:p>
    <w:p w14:paraId="5555B802" w14:textId="25C6AE93" w:rsidR="00F352D1" w:rsidRPr="003A76BC" w:rsidRDefault="00AF28FE" w:rsidP="00AF28FE">
      <w:pPr>
        <w:pStyle w:val="TSNumberedParagraph1"/>
        <w:numPr>
          <w:ilvl w:val="0"/>
          <w:numId w:val="12"/>
        </w:numPr>
        <w:spacing w:before="220"/>
      </w:pPr>
      <w:r>
        <w:t xml:space="preserve">A reduced scope of </w:t>
      </w:r>
      <w:r w:rsidRPr="00F76C89">
        <w:t xml:space="preserve">examination, inspection, maintenance and testing (EIMT) </w:t>
      </w:r>
      <w:r>
        <w:t>may be appropriate due to the reduced hazard presented by the facility.</w:t>
      </w:r>
      <w:r w:rsidR="001465E2">
        <w:t xml:space="preserve"> A</w:t>
      </w:r>
      <w:r>
        <w:t xml:space="preserve"> reduced frequency of inspection may result in more unrevealed defects. The Inspector</w:t>
      </w:r>
      <w:r w:rsidR="00F352D1" w:rsidRPr="00BC49BC">
        <w:t xml:space="preserve"> may</w:t>
      </w:r>
      <w:r w:rsidR="00F352D1" w:rsidRPr="003A76BC">
        <w:t xml:space="preserve"> need to consider the following </w:t>
      </w:r>
      <w:r w:rsidR="00EE0CA1">
        <w:t xml:space="preserve">for assessment of </w:t>
      </w:r>
      <w:proofErr w:type="spellStart"/>
      <w:r w:rsidR="00EE0CA1">
        <w:t>dutyholder</w:t>
      </w:r>
      <w:proofErr w:type="spellEnd"/>
      <w:r w:rsidR="00EE0CA1">
        <w:t xml:space="preserve"> proposals to enter </w:t>
      </w:r>
      <w:r w:rsidR="00BE583E">
        <w:t>care and maintenance</w:t>
      </w:r>
      <w:r w:rsidR="00F352D1" w:rsidRPr="003A76BC">
        <w:t>:</w:t>
      </w:r>
    </w:p>
    <w:p w14:paraId="570B5F58" w14:textId="43A9CAA9" w:rsidR="00BC49BC" w:rsidRDefault="00BE583E" w:rsidP="001D3D06">
      <w:pPr>
        <w:pStyle w:val="TSBullet1Square"/>
        <w:numPr>
          <w:ilvl w:val="0"/>
          <w:numId w:val="10"/>
        </w:numPr>
        <w:tabs>
          <w:tab w:val="num" w:pos="-31680"/>
        </w:tabs>
      </w:pPr>
      <w:r>
        <w:t>c</w:t>
      </w:r>
      <w:r w:rsidR="00A806AE">
        <w:t>ivil engineering SS</w:t>
      </w:r>
      <w:r w:rsidR="00BC49BC">
        <w:t xml:space="preserve">C may provide residual nuclear safety functions (containment and shielding) to </w:t>
      </w:r>
      <w:r w:rsidR="00EE0CA1">
        <w:t xml:space="preserve">a </w:t>
      </w:r>
      <w:r w:rsidR="00221BDD">
        <w:t>residual</w:t>
      </w:r>
      <w:r w:rsidR="00BC49BC">
        <w:t xml:space="preserve"> inventory</w:t>
      </w:r>
      <w:r w:rsidR="00EE0CA1">
        <w:t>, including</w:t>
      </w:r>
      <w:r w:rsidR="00BC49BC">
        <w:t xml:space="preserve"> contaminat</w:t>
      </w:r>
      <w:r w:rsidR="00EE0CA1">
        <w:t xml:space="preserve">ed or </w:t>
      </w:r>
      <w:r w:rsidR="00BC49BC">
        <w:t>activated</w:t>
      </w:r>
      <w:r w:rsidR="00EE0CA1">
        <w:t xml:space="preserve"> waste items</w:t>
      </w:r>
      <w:r w:rsidR="00BC49BC">
        <w:t>.</w:t>
      </w:r>
      <w:r w:rsidR="00EE0CA1">
        <w:t xml:space="preserve"> The Inspector </w:t>
      </w:r>
      <w:r w:rsidR="00A639D9">
        <w:t>may wish to</w:t>
      </w:r>
      <w:r w:rsidR="00EE0CA1">
        <w:t xml:space="preserve"> consider the justification for continued use of a structure if it is beyond </w:t>
      </w:r>
      <w:r w:rsidR="00AF28FE">
        <w:t xml:space="preserve">the original </w:t>
      </w:r>
      <w:r w:rsidR="00EE0CA1">
        <w:t xml:space="preserve">design life, including current condition </w:t>
      </w:r>
      <w:r w:rsidR="00AF28FE">
        <w:t xml:space="preserve">assessments </w:t>
      </w:r>
      <w:r w:rsidR="00EE0CA1">
        <w:t xml:space="preserve">and </w:t>
      </w:r>
      <w:r w:rsidR="00AF28FE">
        <w:t>evidence of available margin to withstand the design loading for the C&amp;M phase, including the proposals for wa</w:t>
      </w:r>
      <w:r>
        <w:t>ste retrieval at the end of C&amp;M,</w:t>
      </w:r>
    </w:p>
    <w:p w14:paraId="20DE7C19" w14:textId="658BBD97" w:rsidR="00BC49BC" w:rsidRDefault="00BE583E" w:rsidP="001D3D06">
      <w:pPr>
        <w:pStyle w:val="TSBullet1Square"/>
        <w:numPr>
          <w:ilvl w:val="0"/>
          <w:numId w:val="10"/>
        </w:numPr>
        <w:tabs>
          <w:tab w:val="num" w:pos="-31680"/>
        </w:tabs>
      </w:pPr>
      <w:r>
        <w:t>c</w:t>
      </w:r>
      <w:r w:rsidR="00BC49BC">
        <w:t>onventional</w:t>
      </w:r>
      <w:r w:rsidR="00AF28FE">
        <w:t xml:space="preserve"> health and safety</w:t>
      </w:r>
      <w:r w:rsidR="00BC49BC">
        <w:t xml:space="preserve"> risks might increase during this period due to ageing and degradation</w:t>
      </w:r>
      <w:r w:rsidR="00AF28FE">
        <w:t xml:space="preserve"> of internal and external structural material</w:t>
      </w:r>
      <w:r w:rsidR="00BC49BC">
        <w:t>.</w:t>
      </w:r>
      <w:r w:rsidR="00AF28FE">
        <w:t xml:space="preserve"> The Inspector </w:t>
      </w:r>
      <w:r w:rsidR="00A639D9">
        <w:t>may wish to</w:t>
      </w:r>
      <w:r w:rsidR="00AF28FE">
        <w:t xml:space="preserve"> consider the activities required for adequate EIMT and how the risks associated with these activities are reduced to a level that is as</w:t>
      </w:r>
      <w:r>
        <w:t xml:space="preserve"> low as reasonably practicable,</w:t>
      </w:r>
    </w:p>
    <w:p w14:paraId="2083B523" w14:textId="23D7504B" w:rsidR="00AF28FE" w:rsidRDefault="007B32A3" w:rsidP="001D3D06">
      <w:pPr>
        <w:pStyle w:val="TSBullet1Square"/>
        <w:numPr>
          <w:ilvl w:val="0"/>
          <w:numId w:val="10"/>
        </w:numPr>
        <w:tabs>
          <w:tab w:val="num" w:pos="-31680"/>
        </w:tabs>
      </w:pPr>
      <w:r>
        <w:t>t</w:t>
      </w:r>
      <w:r w:rsidR="00BC49BC">
        <w:t>he rate of deterioration of the building fabric may accelerate due to a change in the environment within the facility (e.g. reduced temperature, increased humidity)</w:t>
      </w:r>
      <w:r w:rsidR="00F352D1" w:rsidRPr="003A76BC">
        <w:t>.</w:t>
      </w:r>
      <w:r w:rsidR="00AF28FE">
        <w:t xml:space="preserve"> The Inspector </w:t>
      </w:r>
      <w:r w:rsidR="00A639D9">
        <w:t>may wish to</w:t>
      </w:r>
      <w:r w:rsidR="00AF28FE">
        <w:t xml:space="preserve"> consider the arrangements proposed or in place for undertaking remediation to civil engineering SSCs, both internally and externally to a structure, should an inspection identify damage or corrosion to parts of the civil engine</w:t>
      </w:r>
      <w:r>
        <w:t>ering SSC which require repair,</w:t>
      </w:r>
    </w:p>
    <w:p w14:paraId="2F974BD5" w14:textId="23C4AFA4" w:rsidR="00F352D1" w:rsidRPr="003A76BC" w:rsidRDefault="00AF28FE" w:rsidP="001D3D06">
      <w:pPr>
        <w:pStyle w:val="TSBullet1Square"/>
        <w:numPr>
          <w:ilvl w:val="0"/>
          <w:numId w:val="10"/>
        </w:numPr>
        <w:tabs>
          <w:tab w:val="num" w:pos="-31680"/>
        </w:tabs>
      </w:pPr>
      <w:r>
        <w:lastRenderedPageBreak/>
        <w:t>proposals for wholescale replacement of civil engineering SSC if this is deemed necessary, including how the safety function will continue be met during replacement during the C&amp;M duration</w:t>
      </w:r>
      <w:r w:rsidR="007B32A3">
        <w:t>,</w:t>
      </w:r>
      <w:r>
        <w:t xml:space="preserve"> e.g. cladding.</w:t>
      </w:r>
    </w:p>
    <w:p w14:paraId="176C73B7" w14:textId="603389AC" w:rsidR="001D3D06" w:rsidRDefault="001D3D06" w:rsidP="001D3D06">
      <w:pPr>
        <w:pStyle w:val="TSNumberedParagraph1"/>
        <w:numPr>
          <w:ilvl w:val="0"/>
          <w:numId w:val="12"/>
        </w:numPr>
        <w:spacing w:before="220"/>
      </w:pPr>
      <w:r>
        <w:t xml:space="preserve">If the consequences of an extreme external hazards event would be limited, it may be acceptable for </w:t>
      </w:r>
      <w:proofErr w:type="spellStart"/>
      <w:r>
        <w:t>dutyholders</w:t>
      </w:r>
      <w:proofErr w:type="spellEnd"/>
      <w:r>
        <w:t xml:space="preserve"> to reduce the severity of external hazard events which the facility needs to be demonstrated to withstand. In </w:t>
      </w:r>
      <w:r w:rsidR="007B32A3">
        <w:t>this situation</w:t>
      </w:r>
      <w:r>
        <w:t>, an appropriate update of the facility safety case should be undertaken to justify this.</w:t>
      </w:r>
    </w:p>
    <w:p w14:paraId="1C567779" w14:textId="34357AAE" w:rsidR="00AF28FE" w:rsidRDefault="00AF28FE" w:rsidP="002833AC">
      <w:pPr>
        <w:pStyle w:val="TSNumberedParagraph1"/>
        <w:numPr>
          <w:ilvl w:val="0"/>
          <w:numId w:val="12"/>
        </w:numPr>
        <w:spacing w:before="220"/>
      </w:pPr>
      <w:r>
        <w:t xml:space="preserve">For guidance on </w:t>
      </w:r>
      <w:r w:rsidR="007B32A3">
        <w:t xml:space="preserve">the </w:t>
      </w:r>
      <w:r w:rsidR="001D3D06">
        <w:t>consideration of external hazards for ageing or damaged structures</w:t>
      </w:r>
      <w:r>
        <w:t>, see:</w:t>
      </w:r>
    </w:p>
    <w:p w14:paraId="779059A7" w14:textId="24EA7CF0" w:rsidR="00AF28FE" w:rsidRPr="00F925B6" w:rsidRDefault="00AF28FE" w:rsidP="001D3D06">
      <w:pPr>
        <w:pStyle w:val="TSBullet1Square"/>
        <w:numPr>
          <w:ilvl w:val="0"/>
          <w:numId w:val="10"/>
        </w:numPr>
        <w:tabs>
          <w:tab w:val="num" w:pos="-31680"/>
        </w:tabs>
      </w:pPr>
      <w:r>
        <w:t>TAG 17 Annex 5</w:t>
      </w:r>
      <w:r w:rsidR="009524E8">
        <w:t>,</w:t>
      </w:r>
      <w:r>
        <w:t xml:space="preserve"> </w:t>
      </w:r>
      <w:r w:rsidR="009524E8">
        <w:t>‘</w:t>
      </w:r>
      <w:r w:rsidR="009524E8" w:rsidRPr="000F2702">
        <w:t xml:space="preserve">Civil Engineering – </w:t>
      </w:r>
      <w:r w:rsidR="009524E8">
        <w:t>Ageing Management and Damaged Structures’</w:t>
      </w:r>
      <w:r w:rsidRPr="00CC121D">
        <w:t>.</w:t>
      </w:r>
    </w:p>
    <w:p w14:paraId="3F91A655" w14:textId="77777777" w:rsidR="00BE583E" w:rsidRPr="00BE583E" w:rsidRDefault="00BE583E" w:rsidP="00BE583E">
      <w:pPr>
        <w:pStyle w:val="TSHeadingNumbered1"/>
        <w:numPr>
          <w:ilvl w:val="1"/>
          <w:numId w:val="11"/>
        </w:numPr>
        <w:tabs>
          <w:tab w:val="clear" w:pos="-31680"/>
        </w:tabs>
        <w:rPr>
          <w:caps w:val="0"/>
        </w:rPr>
      </w:pPr>
      <w:bookmarkStart w:id="66" w:name="_Toc57895899"/>
      <w:r w:rsidRPr="00BE583E">
        <w:rPr>
          <w:caps w:val="0"/>
        </w:rPr>
        <w:t>Decommissioning</w:t>
      </w:r>
      <w:bookmarkEnd w:id="66"/>
    </w:p>
    <w:p w14:paraId="51A6E7F0" w14:textId="49F7FE75" w:rsidR="00BE583E" w:rsidRPr="00ED0749" w:rsidRDefault="00BE583E" w:rsidP="00BE583E">
      <w:pPr>
        <w:pStyle w:val="TSNumberedParagraph1"/>
        <w:numPr>
          <w:ilvl w:val="0"/>
          <w:numId w:val="12"/>
        </w:numPr>
        <w:spacing w:before="220"/>
      </w:pPr>
      <w:r w:rsidRPr="00ED0749">
        <w:t xml:space="preserve">The Inspector </w:t>
      </w:r>
      <w:r w:rsidR="00A639D9">
        <w:t>may wish to</w:t>
      </w:r>
      <w:r w:rsidRPr="00ED0749">
        <w:t xml:space="preserve"> </w:t>
      </w:r>
      <w:r w:rsidR="00507C0C">
        <w:t>seek assurance of the adequacy of</w:t>
      </w:r>
      <w:r w:rsidRPr="00ED0749">
        <w:t xml:space="preserve"> </w:t>
      </w:r>
      <w:r w:rsidR="00507C0C">
        <w:t>the processes and arrangements in place for decision making associated with</w:t>
      </w:r>
      <w:r w:rsidRPr="00ED0749">
        <w:t xml:space="preserve"> decommissioning activities on the site. The civil engineering specific considerations for decommissioning are similar to those for POCO projects, including whether the proposed activity will:</w:t>
      </w:r>
    </w:p>
    <w:p w14:paraId="0B1CD2F5" w14:textId="60C65FDD" w:rsidR="00BE583E" w:rsidRPr="00ED0749" w:rsidRDefault="00BE583E" w:rsidP="00BE583E">
      <w:pPr>
        <w:pStyle w:val="TSNumberedParagraph1"/>
        <w:numPr>
          <w:ilvl w:val="0"/>
          <w:numId w:val="10"/>
        </w:numPr>
        <w:spacing w:after="0"/>
        <w:jc w:val="both"/>
      </w:pPr>
      <w:r w:rsidRPr="00ED0749">
        <w:t>change the load paths and how will this impact the civil engineering SSC, including impact on external and internal load cases e.g. wind uplift on the roof following removal of suspended services</w:t>
      </w:r>
      <w:r w:rsidR="0006160D" w:rsidRPr="00ED0749">
        <w:t>,</w:t>
      </w:r>
    </w:p>
    <w:p w14:paraId="6BD5C2A4" w14:textId="2A498029" w:rsidR="00BE583E" w:rsidRDefault="00BE583E" w:rsidP="00BE583E">
      <w:pPr>
        <w:pStyle w:val="TSNumberedParagraph1"/>
        <w:numPr>
          <w:ilvl w:val="0"/>
          <w:numId w:val="10"/>
        </w:numPr>
        <w:spacing w:after="0"/>
        <w:jc w:val="both"/>
      </w:pPr>
      <w:r w:rsidRPr="00ED0749">
        <w:t>increase the</w:t>
      </w:r>
      <w:r>
        <w:t xml:space="preserve"> hazard presented to the structure by removal of structural support or making roof areas vulnerable</w:t>
      </w:r>
      <w:r w:rsidR="0006160D">
        <w:t>,</w:t>
      </w:r>
    </w:p>
    <w:p w14:paraId="0298EBEB" w14:textId="1E306F88" w:rsidR="00BE583E" w:rsidRDefault="00BE583E" w:rsidP="00BE583E">
      <w:pPr>
        <w:pStyle w:val="TSNumberedParagraph1"/>
        <w:numPr>
          <w:ilvl w:val="0"/>
          <w:numId w:val="10"/>
        </w:numPr>
        <w:spacing w:after="0"/>
        <w:jc w:val="both"/>
      </w:pPr>
      <w:r>
        <w:t xml:space="preserve">make the structure vulnerable due to the existing condition of the civil engineering SSC, and how any ageing effects or damage could make the SSC particularly vulnerable to </w:t>
      </w:r>
      <w:r w:rsidR="0006160D">
        <w:t>collapse,</w:t>
      </w:r>
    </w:p>
    <w:p w14:paraId="3F9F3DDC" w14:textId="56B720BB" w:rsidR="00BE583E" w:rsidRDefault="00BE583E" w:rsidP="00BE583E">
      <w:pPr>
        <w:pStyle w:val="TSNumberedParagraph1"/>
        <w:numPr>
          <w:ilvl w:val="0"/>
          <w:numId w:val="10"/>
        </w:numPr>
        <w:spacing w:after="0"/>
        <w:jc w:val="both"/>
      </w:pPr>
      <w:r>
        <w:t xml:space="preserve">make the structure vulnerable to collapse when considering construction and the associated </w:t>
      </w:r>
      <w:r w:rsidR="00977E22">
        <w:t>deconstruction sequence</w:t>
      </w:r>
      <w:r>
        <w:t xml:space="preserve"> required e.g. pre-stressed structures</w:t>
      </w:r>
      <w:r w:rsidR="0006160D">
        <w:t>,</w:t>
      </w:r>
    </w:p>
    <w:p w14:paraId="5B14F032" w14:textId="2A04CE28" w:rsidR="00BE583E" w:rsidRDefault="00BE583E" w:rsidP="00BE583E">
      <w:pPr>
        <w:pStyle w:val="TSNumberedParagraph1"/>
        <w:numPr>
          <w:ilvl w:val="0"/>
          <w:numId w:val="10"/>
        </w:numPr>
        <w:spacing w:after="0"/>
        <w:jc w:val="both"/>
      </w:pPr>
      <w:r>
        <w:t xml:space="preserve">impede ability for the </w:t>
      </w:r>
      <w:proofErr w:type="spellStart"/>
      <w:r>
        <w:t>dutyholder</w:t>
      </w:r>
      <w:proofErr w:type="spellEnd"/>
      <w:r>
        <w:t xml:space="preserve"> to undertake EIMT, e.g. when moving waste (under water) that has not previously been disturbed, storing large items close together</w:t>
      </w:r>
      <w:r w:rsidR="0006160D">
        <w:t>,</w:t>
      </w:r>
    </w:p>
    <w:p w14:paraId="4D4FA5C0" w14:textId="1BFC8C7C" w:rsidR="00BE583E" w:rsidRDefault="00BE583E" w:rsidP="00BE583E">
      <w:pPr>
        <w:pStyle w:val="TSNumberedParagraph1"/>
        <w:numPr>
          <w:ilvl w:val="0"/>
          <w:numId w:val="10"/>
        </w:numPr>
        <w:spacing w:after="0"/>
        <w:jc w:val="both"/>
      </w:pPr>
      <w:r>
        <w:t>increase the risks associated with managing radiological and conventional health and safety hazards, e.g. location of (irradiated) stored waste items within a civil engineering SSC that increase dose uptake or obscure or prevent adequate internal civil engineering EIMT, creation of confined spaces, asbestos</w:t>
      </w:r>
      <w:r w:rsidR="0006160D">
        <w:t>,</w:t>
      </w:r>
      <w:r w:rsidR="00D45EAC">
        <w:t xml:space="preserve"> etc.</w:t>
      </w:r>
    </w:p>
    <w:p w14:paraId="03968CB2" w14:textId="63A943F4" w:rsidR="00BE583E" w:rsidRDefault="00BE583E" w:rsidP="00BE583E">
      <w:pPr>
        <w:pStyle w:val="TSNumberedParagraph1"/>
        <w:numPr>
          <w:ilvl w:val="0"/>
          <w:numId w:val="10"/>
        </w:numPr>
        <w:spacing w:after="0"/>
        <w:jc w:val="both"/>
      </w:pPr>
      <w:r>
        <w:t>impede access or egress (espec</w:t>
      </w:r>
      <w:r w:rsidR="0006160D">
        <w:t>ially those for emergency exit),</w:t>
      </w:r>
    </w:p>
    <w:p w14:paraId="41A04941" w14:textId="6FA0C29A" w:rsidR="00BE583E" w:rsidRDefault="00BE583E" w:rsidP="00BE583E">
      <w:pPr>
        <w:pStyle w:val="TSBullet1Square"/>
        <w:numPr>
          <w:ilvl w:val="0"/>
          <w:numId w:val="10"/>
        </w:numPr>
        <w:tabs>
          <w:tab w:val="num" w:pos="-31680"/>
        </w:tabs>
      </w:pPr>
      <w:r>
        <w:t>increase the potential for internal hazards</w:t>
      </w:r>
      <w:r w:rsidR="0006160D">
        <w:t>,</w:t>
      </w:r>
    </w:p>
    <w:p w14:paraId="3D270C1E" w14:textId="1C4AD216" w:rsidR="00BE583E" w:rsidRDefault="00BE583E" w:rsidP="00BE583E">
      <w:pPr>
        <w:pStyle w:val="TSBullet1Square"/>
        <w:numPr>
          <w:ilvl w:val="0"/>
          <w:numId w:val="10"/>
        </w:numPr>
        <w:tabs>
          <w:tab w:val="num" w:pos="-31680"/>
        </w:tabs>
      </w:pPr>
      <w:r>
        <w:t>breach any containment barriers or increase the potential for leakage or water egress, especially for that of contaminated waste</w:t>
      </w:r>
      <w:r w:rsidR="00ED0749">
        <w:t>,</w:t>
      </w:r>
    </w:p>
    <w:p w14:paraId="1E08BC02" w14:textId="61C979E2" w:rsidR="00BE583E" w:rsidRDefault="0006160D" w:rsidP="00BE583E">
      <w:pPr>
        <w:pStyle w:val="TSBullet1Square"/>
        <w:numPr>
          <w:ilvl w:val="0"/>
          <w:numId w:val="10"/>
        </w:numPr>
        <w:tabs>
          <w:tab w:val="num" w:pos="-31680"/>
        </w:tabs>
      </w:pPr>
      <w:r>
        <w:t>i</w:t>
      </w:r>
      <w:r w:rsidR="00BE583E">
        <w:t>ncrease the consequence of the effect of external hazards, design basis, beyond design basis or other events, including the consideration of cliff-edges.</w:t>
      </w:r>
    </w:p>
    <w:p w14:paraId="1DFF26BE" w14:textId="427A1E3C" w:rsidR="004404CB" w:rsidRPr="00133AEF" w:rsidRDefault="00741804" w:rsidP="00133AEF">
      <w:pPr>
        <w:pStyle w:val="TSHeadingNumbered1"/>
        <w:numPr>
          <w:ilvl w:val="1"/>
          <w:numId w:val="11"/>
        </w:numPr>
        <w:tabs>
          <w:tab w:val="clear" w:pos="-31680"/>
        </w:tabs>
        <w:rPr>
          <w:caps w:val="0"/>
        </w:rPr>
      </w:pPr>
      <w:bookmarkStart w:id="67" w:name="_Toc57895900"/>
      <w:r w:rsidRPr="00133AEF">
        <w:rPr>
          <w:caps w:val="0"/>
        </w:rPr>
        <w:t>D</w:t>
      </w:r>
      <w:r w:rsidR="00E26084" w:rsidRPr="00133AEF">
        <w:rPr>
          <w:caps w:val="0"/>
        </w:rPr>
        <w:t>emolition</w:t>
      </w:r>
      <w:bookmarkEnd w:id="67"/>
    </w:p>
    <w:p w14:paraId="2549BA47" w14:textId="3CA66640" w:rsidR="0067073F" w:rsidRPr="0067073F" w:rsidRDefault="0006160D" w:rsidP="0067073F">
      <w:pPr>
        <w:pStyle w:val="TSNumberedParagraph1"/>
        <w:numPr>
          <w:ilvl w:val="0"/>
          <w:numId w:val="12"/>
        </w:numPr>
        <w:spacing w:before="220"/>
        <w:rPr>
          <w:iCs/>
        </w:rPr>
      </w:pPr>
      <w:r>
        <w:rPr>
          <w:iCs/>
        </w:rPr>
        <w:t xml:space="preserve">SAP </w:t>
      </w:r>
      <w:r w:rsidR="0067073F">
        <w:rPr>
          <w:iCs/>
        </w:rPr>
        <w:t xml:space="preserve">EMC.11 </w:t>
      </w:r>
      <w:r>
        <w:rPr>
          <w:iCs/>
        </w:rPr>
        <w:t>establishes the expectation</w:t>
      </w:r>
      <w:r w:rsidR="0067073F">
        <w:rPr>
          <w:iCs/>
        </w:rPr>
        <w:t xml:space="preserve"> </w:t>
      </w:r>
      <w:r>
        <w:rPr>
          <w:iCs/>
        </w:rPr>
        <w:t xml:space="preserve">that </w:t>
      </w:r>
      <w:r w:rsidR="0067073F">
        <w:rPr>
          <w:iCs/>
        </w:rPr>
        <w:t xml:space="preserve">all failure should be gradual and detectable. </w:t>
      </w:r>
      <w:r w:rsidR="0067073F" w:rsidRPr="0067073F">
        <w:rPr>
          <w:iCs/>
        </w:rPr>
        <w:t>Progressive and disproportionate collapse must be avoided in design</w:t>
      </w:r>
      <w:r w:rsidR="0067073F">
        <w:rPr>
          <w:iCs/>
        </w:rPr>
        <w:t xml:space="preserve">, including the </w:t>
      </w:r>
      <w:proofErr w:type="spellStart"/>
      <w:r w:rsidR="0067073F">
        <w:rPr>
          <w:iCs/>
        </w:rPr>
        <w:t>dutyholder’s</w:t>
      </w:r>
      <w:proofErr w:type="spellEnd"/>
      <w:r w:rsidR="0067073F">
        <w:rPr>
          <w:iCs/>
        </w:rPr>
        <w:t xml:space="preserve"> demolition arrangements.</w:t>
      </w:r>
    </w:p>
    <w:p w14:paraId="439FF337" w14:textId="38FEAAB3" w:rsidR="005806F7" w:rsidRDefault="00E26084" w:rsidP="002833AC">
      <w:pPr>
        <w:pStyle w:val="TSNumberedParagraph1"/>
        <w:numPr>
          <w:ilvl w:val="0"/>
          <w:numId w:val="12"/>
        </w:numPr>
        <w:spacing w:before="220"/>
      </w:pPr>
      <w:r>
        <w:t>D</w:t>
      </w:r>
      <w:hyperlink r:id="rId14" w:tooltip="Demolition" w:history="1">
        <w:r w:rsidRPr="00706889">
          <w:t>emolition</w:t>
        </w:r>
      </w:hyperlink>
      <w:r>
        <w:t xml:space="preserve"> </w:t>
      </w:r>
      <w:r w:rsidR="00E507DE">
        <w:t>should be undertaken</w:t>
      </w:r>
      <w:r>
        <w:t xml:space="preserve"> by </w:t>
      </w:r>
      <w:r w:rsidR="00DC4D54">
        <w:t>safe means; with expediency bein</w:t>
      </w:r>
      <w:r w:rsidR="00ED0749">
        <w:t>g a consideration, especially</w:t>
      </w:r>
      <w:r w:rsidR="00DC4D54">
        <w:t xml:space="preserve"> if the structure is unsafe in its existing condition</w:t>
      </w:r>
      <w:r>
        <w:t xml:space="preserve">. </w:t>
      </w:r>
      <w:r w:rsidR="00DC4D54">
        <w:t xml:space="preserve">The Inspector should also be </w:t>
      </w:r>
      <w:r w:rsidR="0006160D">
        <w:t xml:space="preserve">mindful that </w:t>
      </w:r>
      <w:proofErr w:type="spellStart"/>
      <w:r w:rsidR="0006160D">
        <w:t>duty</w:t>
      </w:r>
      <w:r w:rsidR="005806F7">
        <w:t>holders</w:t>
      </w:r>
      <w:proofErr w:type="spellEnd"/>
      <w:r w:rsidR="005806F7">
        <w:t xml:space="preserve"> take into account </w:t>
      </w:r>
      <w:r w:rsidR="00E507DE">
        <w:t>other factors</w:t>
      </w:r>
      <w:r w:rsidR="005806F7">
        <w:t>;</w:t>
      </w:r>
      <w:r w:rsidR="00E507DE">
        <w:t xml:space="preserve"> </w:t>
      </w:r>
      <w:r w:rsidR="00CC1DE1">
        <w:t>such as cost, programme, waste segregation and minimisation</w:t>
      </w:r>
      <w:r w:rsidR="00025D82">
        <w:t>,</w:t>
      </w:r>
      <w:r w:rsidR="00CC1DE1">
        <w:t xml:space="preserve"> and environmental </w:t>
      </w:r>
      <w:r w:rsidR="00CC1DE1">
        <w:lastRenderedPageBreak/>
        <w:t xml:space="preserve">protection when </w:t>
      </w:r>
      <w:r w:rsidR="005806F7">
        <w:t xml:space="preserve">considering the optioneering and </w:t>
      </w:r>
      <w:r w:rsidR="00CC1DE1">
        <w:t>selecting the</w:t>
      </w:r>
      <w:r w:rsidR="005806F7">
        <w:t xml:space="preserve"> methodology</w:t>
      </w:r>
      <w:r w:rsidR="00CC1DE1">
        <w:t>.</w:t>
      </w:r>
      <w:r w:rsidR="003C2342">
        <w:t xml:space="preserve"> The Inspector </w:t>
      </w:r>
      <w:r w:rsidR="00A639D9">
        <w:t>may wish to</w:t>
      </w:r>
      <w:r w:rsidR="003C2342">
        <w:t xml:space="preserve"> </w:t>
      </w:r>
      <w:r w:rsidR="00101203">
        <w:t>seek assurance</w:t>
      </w:r>
      <w:r w:rsidR="003C2342">
        <w:t xml:space="preserve"> that particular factors are not unduly weighted when considering options.</w:t>
      </w:r>
      <w:r w:rsidR="00E507DE">
        <w:t xml:space="preserve"> </w:t>
      </w:r>
      <w:r w:rsidR="00A806AE">
        <w:t>For more consideration of ALARP assessment when undertaking optioneering, see</w:t>
      </w:r>
    </w:p>
    <w:p w14:paraId="6EABAA76" w14:textId="01D35EDD" w:rsidR="00A806AE" w:rsidRDefault="00EE520B" w:rsidP="00A806AE">
      <w:pPr>
        <w:pStyle w:val="TSNumberedParagraph1"/>
        <w:numPr>
          <w:ilvl w:val="0"/>
          <w:numId w:val="10"/>
        </w:numPr>
        <w:spacing w:after="0"/>
        <w:jc w:val="both"/>
      </w:pPr>
      <w:r>
        <w:rPr>
          <w:lang w:eastAsia="en-GB"/>
        </w:rPr>
        <w:t>ONR-</w:t>
      </w:r>
      <w:r w:rsidR="00A806AE">
        <w:t>NS-TAST-</w:t>
      </w:r>
      <w:r w:rsidR="00A806AE" w:rsidRPr="00CC121D">
        <w:t>GD-005 “Guidance on the Demonstration of ALARP”,</w:t>
      </w:r>
    </w:p>
    <w:p w14:paraId="357DF9FA" w14:textId="56B6064E" w:rsidR="0067073F" w:rsidRDefault="0006160D" w:rsidP="002833AC">
      <w:pPr>
        <w:pStyle w:val="TSNumberedParagraph1"/>
        <w:numPr>
          <w:ilvl w:val="0"/>
          <w:numId w:val="12"/>
        </w:numPr>
        <w:spacing w:before="220"/>
      </w:pPr>
      <w:r>
        <w:t xml:space="preserve">SAP </w:t>
      </w:r>
      <w:r w:rsidR="00963768">
        <w:t xml:space="preserve">DC.3 </w:t>
      </w:r>
      <w:r>
        <w:rPr>
          <w:iCs/>
        </w:rPr>
        <w:t>establishes the expectation</w:t>
      </w:r>
      <w:r w:rsidR="00963768">
        <w:t xml:space="preserve"> that d</w:t>
      </w:r>
      <w:r w:rsidR="0067073F">
        <w:t xml:space="preserve">emolition should be undertaken before the structure has become unsafe to access, unstable or unacceptably vulnerable to external hazards events. Risks created to adjacent facilities should be </w:t>
      </w:r>
      <w:r w:rsidR="00DC4D54">
        <w:t>assessed</w:t>
      </w:r>
      <w:r w:rsidR="0067073F">
        <w:t xml:space="preserve"> when considering the</w:t>
      </w:r>
      <w:r w:rsidR="00DC4D54">
        <w:t xml:space="preserve"> sequencing and</w:t>
      </w:r>
      <w:r w:rsidR="0067073F">
        <w:t xml:space="preserve"> timing of demolition</w:t>
      </w:r>
      <w:r w:rsidR="00DC4D54">
        <w:t xml:space="preserve"> activities</w:t>
      </w:r>
      <w:r w:rsidR="0067073F">
        <w:t>.</w:t>
      </w:r>
    </w:p>
    <w:p w14:paraId="146344DE" w14:textId="3BDC964F" w:rsidR="003426D9" w:rsidRDefault="00CC1DE1" w:rsidP="002833AC">
      <w:pPr>
        <w:pStyle w:val="TSNumberedParagraph1"/>
        <w:numPr>
          <w:ilvl w:val="0"/>
          <w:numId w:val="12"/>
        </w:numPr>
        <w:spacing w:before="220"/>
      </w:pPr>
      <w:r>
        <w:t xml:space="preserve">Methods of demolition </w:t>
      </w:r>
      <w:r w:rsidR="003426D9">
        <w:t>include</w:t>
      </w:r>
      <w:r w:rsidR="00DC4D54">
        <w:t>,</w:t>
      </w:r>
      <w:r w:rsidR="003426D9">
        <w:t xml:space="preserve"> but are not limited to:</w:t>
      </w:r>
    </w:p>
    <w:p w14:paraId="58315156" w14:textId="2CB14B8E" w:rsidR="003426D9" w:rsidRDefault="0006160D" w:rsidP="002833AC">
      <w:pPr>
        <w:pStyle w:val="TSNumberedParagraph1"/>
        <w:numPr>
          <w:ilvl w:val="0"/>
          <w:numId w:val="10"/>
        </w:numPr>
        <w:spacing w:after="0"/>
        <w:jc w:val="both"/>
      </w:pPr>
      <w:r>
        <w:t>disassembly – c</w:t>
      </w:r>
      <w:r w:rsidR="003426D9">
        <w:t>onstruction process in reverse, generally only applicable to metal and timber structures, but might include prec</w:t>
      </w:r>
      <w:r>
        <w:t>ast concrete components,</w:t>
      </w:r>
    </w:p>
    <w:p w14:paraId="61FD30FD" w14:textId="0C8EB3F9" w:rsidR="003426D9" w:rsidRDefault="0006160D" w:rsidP="002833AC">
      <w:pPr>
        <w:pStyle w:val="TSNumberedParagraph1"/>
        <w:numPr>
          <w:ilvl w:val="0"/>
          <w:numId w:val="10"/>
        </w:numPr>
        <w:spacing w:after="0"/>
        <w:jc w:val="both"/>
      </w:pPr>
      <w:r>
        <w:t>deconstruction – c</w:t>
      </w:r>
      <w:r w:rsidR="003426D9">
        <w:t>utting, breaking, crushing</w:t>
      </w:r>
      <w:r w:rsidR="00093C91">
        <w:t>, hydro demolition</w:t>
      </w:r>
      <w:r w:rsidR="003426D9">
        <w:t xml:space="preserve"> or other </w:t>
      </w:r>
      <w:proofErr w:type="spellStart"/>
      <w:r w:rsidR="003426D9">
        <w:t>insitu</w:t>
      </w:r>
      <w:proofErr w:type="spellEnd"/>
      <w:r w:rsidR="003426D9">
        <w:t xml:space="preserve"> method</w:t>
      </w:r>
      <w:r w:rsidR="00386EB7">
        <w:t>s</w:t>
      </w:r>
      <w:r>
        <w:t>,</w:t>
      </w:r>
    </w:p>
    <w:p w14:paraId="2CB5558E" w14:textId="2A13BA9D" w:rsidR="005806F7" w:rsidRDefault="0006160D" w:rsidP="002833AC">
      <w:pPr>
        <w:pStyle w:val="TSNumberedParagraph1"/>
        <w:numPr>
          <w:ilvl w:val="0"/>
          <w:numId w:val="10"/>
        </w:numPr>
        <w:spacing w:after="0"/>
        <w:jc w:val="both"/>
      </w:pPr>
      <w:r>
        <w:t>d</w:t>
      </w:r>
      <w:r w:rsidR="005806F7">
        <w:t>ismantling -</w:t>
      </w:r>
      <w:r w:rsidR="005806F7" w:rsidRPr="005806F7">
        <w:t xml:space="preserve"> taking apart of a structure, or a substantial part of the structure</w:t>
      </w:r>
      <w:r w:rsidR="005806F7">
        <w:t xml:space="preserve">, including </w:t>
      </w:r>
      <w:r w:rsidR="005806F7" w:rsidRPr="005806F7">
        <w:t>dismantling for re-erection or re-use</w:t>
      </w:r>
      <w:r>
        <w:t>,</w:t>
      </w:r>
    </w:p>
    <w:p w14:paraId="320C1B52" w14:textId="337A959A" w:rsidR="003426D9" w:rsidRDefault="0006160D" w:rsidP="002833AC">
      <w:pPr>
        <w:pStyle w:val="TSNumberedParagraph1"/>
        <w:numPr>
          <w:ilvl w:val="0"/>
          <w:numId w:val="10"/>
        </w:numPr>
        <w:spacing w:after="0"/>
        <w:jc w:val="both"/>
      </w:pPr>
      <w:r>
        <w:t>d</w:t>
      </w:r>
      <w:r w:rsidR="00963768">
        <w:t>ue to the potential consequences or impact on adjacent nuclear safety related structures, the use of e</w:t>
      </w:r>
      <w:r w:rsidR="003426D9">
        <w:t>xplosive</w:t>
      </w:r>
      <w:r w:rsidR="00963768">
        <w:t>s are rarely used on nuclear sites</w:t>
      </w:r>
      <w:r w:rsidR="003426D9">
        <w:t>.</w:t>
      </w:r>
    </w:p>
    <w:p w14:paraId="54AA3403" w14:textId="6CF2C220" w:rsidR="006F4417" w:rsidRDefault="00F8216E" w:rsidP="002833AC">
      <w:pPr>
        <w:pStyle w:val="TSNumberedParagraph1"/>
        <w:numPr>
          <w:ilvl w:val="0"/>
          <w:numId w:val="12"/>
        </w:numPr>
        <w:spacing w:before="220"/>
      </w:pPr>
      <w:r w:rsidRPr="00ED0749">
        <w:t xml:space="preserve">SAP </w:t>
      </w:r>
      <w:r w:rsidR="00963768" w:rsidRPr="00ED0749">
        <w:t xml:space="preserve">DC.7 </w:t>
      </w:r>
      <w:r w:rsidRPr="00ED0749">
        <w:rPr>
          <w:iCs/>
        </w:rPr>
        <w:t>establishes the expectation</w:t>
      </w:r>
      <w:r w:rsidRPr="00ED0749">
        <w:t xml:space="preserve"> </w:t>
      </w:r>
      <w:r w:rsidR="00963768" w:rsidRPr="00ED0749">
        <w:t xml:space="preserve">that there is suitable and sufficient capability for the Intelligent Customer function, where work is carried out by contractors. </w:t>
      </w:r>
      <w:r w:rsidR="005806F7" w:rsidRPr="00ED0749">
        <w:t xml:space="preserve">Where the duty holder has employed a </w:t>
      </w:r>
      <w:r w:rsidR="00A82569" w:rsidRPr="00ED0749">
        <w:t>demolition contractor</w:t>
      </w:r>
      <w:r w:rsidR="005806F7" w:rsidRPr="00ED0749">
        <w:t xml:space="preserve">, it is the responsibility of the contractor to </w:t>
      </w:r>
      <w:r w:rsidR="00A82569" w:rsidRPr="00ED0749">
        <w:t xml:space="preserve">develop a safe system of demolition work, justifying the choice of </w:t>
      </w:r>
      <w:r w:rsidR="00782F86" w:rsidRPr="00ED0749">
        <w:t xml:space="preserve">method and demonstrating that risks have been reduced </w:t>
      </w:r>
      <w:r w:rsidR="00963768" w:rsidRPr="00ED0749">
        <w:t>so</w:t>
      </w:r>
      <w:r w:rsidR="00782F86" w:rsidRPr="00ED0749">
        <w:t xml:space="preserve"> far as is reasonably practicable. </w:t>
      </w:r>
      <w:r w:rsidR="00ED0749" w:rsidRPr="00ED0749">
        <w:t xml:space="preserve">The </w:t>
      </w:r>
      <w:proofErr w:type="spellStart"/>
      <w:r w:rsidR="007D0C46">
        <w:t>dutyholder</w:t>
      </w:r>
      <w:proofErr w:type="spellEnd"/>
      <w:r w:rsidR="005806F7" w:rsidRPr="00ED0749">
        <w:t xml:space="preserve"> (through </w:t>
      </w:r>
      <w:r w:rsidR="00ED0749" w:rsidRPr="00ED0749">
        <w:t>the I</w:t>
      </w:r>
      <w:r w:rsidR="005806F7" w:rsidRPr="00ED0749">
        <w:t>ntelligent</w:t>
      </w:r>
      <w:r w:rsidR="00ED0749" w:rsidRPr="00ED0749">
        <w:t xml:space="preserve"> C</w:t>
      </w:r>
      <w:r w:rsidR="005806F7" w:rsidRPr="00ED0749">
        <w:t>ustomer</w:t>
      </w:r>
      <w:r w:rsidR="00ED0749" w:rsidRPr="00ED0749">
        <w:t xml:space="preserve"> function</w:t>
      </w:r>
      <w:r w:rsidR="005806F7" w:rsidRPr="00ED0749">
        <w:t xml:space="preserve">) is responsible </w:t>
      </w:r>
      <w:r w:rsidR="00ED0749" w:rsidRPr="00ED0749">
        <w:t>for ensuring</w:t>
      </w:r>
      <w:r w:rsidR="005806F7" w:rsidRPr="00ED0749">
        <w:t xml:space="preserve"> that the </w:t>
      </w:r>
      <w:r w:rsidR="00ED70EA" w:rsidRPr="00ED0749">
        <w:t>contractor’s</w:t>
      </w:r>
      <w:r w:rsidR="005806F7" w:rsidRPr="00ED0749">
        <w:t xml:space="preserve"> proposals or their own arrangements </w:t>
      </w:r>
      <w:r w:rsidR="00782F86" w:rsidRPr="00ED0749">
        <w:t>include for command and control, a</w:t>
      </w:r>
      <w:r w:rsidR="00A82569" w:rsidRPr="00ED0749">
        <w:t xml:space="preserve"> robust system of change</w:t>
      </w:r>
      <w:r w:rsidR="00A82569" w:rsidRPr="00782F86">
        <w:t xml:space="preserve"> control</w:t>
      </w:r>
      <w:r w:rsidR="00ED0749">
        <w:t xml:space="preserve"> and</w:t>
      </w:r>
      <w:r w:rsidR="005806F7">
        <w:t xml:space="preserve"> accident response plans. The </w:t>
      </w:r>
      <w:r w:rsidR="00ED0749">
        <w:t>I</w:t>
      </w:r>
      <w:r w:rsidR="005806F7">
        <w:t xml:space="preserve">nspector </w:t>
      </w:r>
      <w:r w:rsidR="001E0CC6">
        <w:t xml:space="preserve">may wish to seek assurance that </w:t>
      </w:r>
      <w:r w:rsidR="005806F7">
        <w:t xml:space="preserve">the proposals have been </w:t>
      </w:r>
      <w:r w:rsidR="00782F86" w:rsidRPr="00782F86">
        <w:t xml:space="preserve">subject to </w:t>
      </w:r>
      <w:r w:rsidR="00A82569" w:rsidRPr="00782F86">
        <w:t xml:space="preserve">appropriate levels of peer </w:t>
      </w:r>
      <w:r w:rsidR="00536626">
        <w:t xml:space="preserve">and independent </w:t>
      </w:r>
      <w:r w:rsidR="00A82569" w:rsidRPr="00782F86">
        <w:t>review</w:t>
      </w:r>
      <w:r w:rsidR="00536626">
        <w:t>, where necessary</w:t>
      </w:r>
      <w:r w:rsidR="00782F86" w:rsidRPr="00782F86">
        <w:t>.</w:t>
      </w:r>
      <w:r w:rsidR="00523845">
        <w:t xml:space="preserve"> </w:t>
      </w:r>
    </w:p>
    <w:p w14:paraId="380E332C" w14:textId="17DD221F" w:rsidR="00195AAB" w:rsidRPr="00782F86" w:rsidRDefault="00195AAB" w:rsidP="002833AC">
      <w:pPr>
        <w:pStyle w:val="TSNumberedParagraph1"/>
        <w:numPr>
          <w:ilvl w:val="0"/>
          <w:numId w:val="12"/>
        </w:numPr>
        <w:spacing w:before="220"/>
      </w:pPr>
      <w:r>
        <w:t>The Intelligent Customer (IC) function is responsible for ensuring that the specification adequately identif</w:t>
      </w:r>
      <w:r w:rsidR="003D7840">
        <w:t>ies</w:t>
      </w:r>
      <w:r>
        <w:t xml:space="preserve"> the activities that need to be completed as part of demolition, </w:t>
      </w:r>
      <w:r w:rsidR="001F7B4C">
        <w:t>and</w:t>
      </w:r>
      <w:r w:rsidR="00874DB7">
        <w:t xml:space="preserve"> that the specification </w:t>
      </w:r>
      <w:r w:rsidR="00977E22">
        <w:t>requirements</w:t>
      </w:r>
      <w:r w:rsidR="00874DB7">
        <w:t xml:space="preserve"> have </w:t>
      </w:r>
      <w:r w:rsidR="001F7B4C">
        <w:t>meet</w:t>
      </w:r>
      <w:r w:rsidR="00874DB7">
        <w:t xml:space="preserve"> an adequate standard. The Inspector may wish to seek assurance that the </w:t>
      </w:r>
      <w:r w:rsidR="00332208">
        <w:t xml:space="preserve">decommissioning and demolition activities have been undertaken adequately, and that records are available </w:t>
      </w:r>
      <w:r w:rsidR="009E4480">
        <w:t xml:space="preserve">to </w:t>
      </w:r>
      <w:r w:rsidR="00332208">
        <w:t>demonstrate</w:t>
      </w:r>
      <w:r w:rsidR="009E4480">
        <w:t xml:space="preserve"> this. </w:t>
      </w:r>
      <w:r w:rsidR="00315C52">
        <w:t xml:space="preserve">The </w:t>
      </w:r>
      <w:r w:rsidR="00771F4E">
        <w:t>Inspector is reminded of the expectations of DC.</w:t>
      </w:r>
      <w:r w:rsidR="00C86705">
        <w:t>6</w:t>
      </w:r>
      <w:r w:rsidR="00801F5C">
        <w:t>.</w:t>
      </w:r>
      <w:r w:rsidR="00771F4E">
        <w:t xml:space="preserve"> </w:t>
      </w:r>
      <w:r w:rsidR="009E4480">
        <w:t>The</w:t>
      </w:r>
      <w:r w:rsidR="00C655E4">
        <w:t xml:space="preserve">re may be a requirement for an end-state survey to be undertaken as evidence </w:t>
      </w:r>
      <w:r w:rsidR="00170C40">
        <w:t>that</w:t>
      </w:r>
      <w:r w:rsidR="00C655E4">
        <w:t xml:space="preserve"> the final demolition and decommissioning activities are complete</w:t>
      </w:r>
      <w:r w:rsidR="00315C52">
        <w:t>. (see also WENRA Safety Reference Level DE-58 and DE-60)</w:t>
      </w:r>
      <w:r w:rsidR="00170C40">
        <w:t>.</w:t>
      </w:r>
    </w:p>
    <w:p w14:paraId="39E5679A" w14:textId="44C76108" w:rsidR="00741804" w:rsidRDefault="00ED0749" w:rsidP="002833AC">
      <w:pPr>
        <w:pStyle w:val="TSNumberedParagraph1"/>
        <w:numPr>
          <w:ilvl w:val="0"/>
          <w:numId w:val="12"/>
        </w:numPr>
        <w:spacing w:before="220"/>
      </w:pPr>
      <w:r>
        <w:t xml:space="preserve">SAP </w:t>
      </w:r>
      <w:r w:rsidR="005929BB">
        <w:t>DC.8 requires for management systems</w:t>
      </w:r>
      <w:r>
        <w:t xml:space="preserve"> to be</w:t>
      </w:r>
      <w:r w:rsidR="005929BB">
        <w:t xml:space="preserve"> in place to control decommissioning activities. </w:t>
      </w:r>
      <w:r w:rsidR="001E0CC6">
        <w:t>The Inspector</w:t>
      </w:r>
      <w:r w:rsidR="00741804">
        <w:t xml:space="preserve"> </w:t>
      </w:r>
      <w:r w:rsidR="00F8386F">
        <w:t>may</w:t>
      </w:r>
      <w:r w:rsidR="00741804">
        <w:t xml:space="preserve"> </w:t>
      </w:r>
      <w:r w:rsidR="001E0CC6">
        <w:t xml:space="preserve">wish to </w:t>
      </w:r>
      <w:r w:rsidR="00741804">
        <w:t>consider:</w:t>
      </w:r>
    </w:p>
    <w:p w14:paraId="6A5D3278" w14:textId="62D4CBAF" w:rsidR="00741804" w:rsidRPr="007A3AC9" w:rsidRDefault="00ED0749" w:rsidP="002833AC">
      <w:pPr>
        <w:pStyle w:val="TSNumberedParagraph1"/>
        <w:numPr>
          <w:ilvl w:val="0"/>
          <w:numId w:val="10"/>
        </w:numPr>
        <w:spacing w:after="0"/>
        <w:jc w:val="both"/>
        <w:rPr>
          <w:lang w:eastAsia="en-GB"/>
        </w:rPr>
      </w:pPr>
      <w:r w:rsidRPr="007A3AC9">
        <w:rPr>
          <w:lang w:eastAsia="en-GB"/>
        </w:rPr>
        <w:t>implications of the surrounding physical environment in terms of adjacent facilities, services and infrastru</w:t>
      </w:r>
      <w:r>
        <w:rPr>
          <w:lang w:eastAsia="en-GB"/>
        </w:rPr>
        <w:t>cture, access restrictions, etc.,</w:t>
      </w:r>
    </w:p>
    <w:p w14:paraId="75C1E994" w14:textId="7312875A" w:rsidR="005C609C" w:rsidRDefault="00ED0749" w:rsidP="002833AC">
      <w:pPr>
        <w:pStyle w:val="TSNumberedParagraph1"/>
        <w:numPr>
          <w:ilvl w:val="0"/>
          <w:numId w:val="10"/>
        </w:numPr>
        <w:spacing w:after="0"/>
        <w:jc w:val="both"/>
        <w:rPr>
          <w:lang w:eastAsia="en-GB"/>
        </w:rPr>
      </w:pPr>
      <w:r>
        <w:rPr>
          <w:lang w:eastAsia="en-GB"/>
        </w:rPr>
        <w:t xml:space="preserve">verifying that the </w:t>
      </w:r>
      <w:proofErr w:type="spellStart"/>
      <w:r>
        <w:rPr>
          <w:lang w:eastAsia="en-GB"/>
        </w:rPr>
        <w:t>duty</w:t>
      </w:r>
      <w:r w:rsidRPr="007A3AC9">
        <w:rPr>
          <w:lang w:eastAsia="en-GB"/>
        </w:rPr>
        <w:t>holder</w:t>
      </w:r>
      <w:proofErr w:type="spellEnd"/>
      <w:r w:rsidRPr="007A3AC9">
        <w:rPr>
          <w:lang w:eastAsia="en-GB"/>
        </w:rPr>
        <w:t xml:space="preserve"> understands the structure to be demolished, including its load carrying capacity, structural condition, the effects of any defects, </w:t>
      </w:r>
      <w:r>
        <w:rPr>
          <w:lang w:eastAsia="en-GB"/>
        </w:rPr>
        <w:t xml:space="preserve">all potential </w:t>
      </w:r>
      <w:r w:rsidR="00B56BD7" w:rsidRPr="007A3AC9">
        <w:rPr>
          <w:lang w:eastAsia="en-GB"/>
        </w:rPr>
        <w:t>load paths</w:t>
      </w:r>
      <w:r w:rsidRPr="007A3AC9">
        <w:rPr>
          <w:lang w:eastAsia="en-GB"/>
        </w:rPr>
        <w:t xml:space="preserve"> and method</w:t>
      </w:r>
      <w:r>
        <w:rPr>
          <w:lang w:eastAsia="en-GB"/>
        </w:rPr>
        <w:t>s</w:t>
      </w:r>
      <w:r w:rsidRPr="007A3AC9">
        <w:rPr>
          <w:lang w:eastAsia="en-GB"/>
        </w:rPr>
        <w:t xml:space="preserve"> of providing stability, connection types and characteristic</w:t>
      </w:r>
      <w:r>
        <w:rPr>
          <w:lang w:eastAsia="en-GB"/>
        </w:rPr>
        <w:t>s of the construction materials,</w:t>
      </w:r>
    </w:p>
    <w:p w14:paraId="2E973BD1" w14:textId="4C2E0F8B" w:rsidR="00C57264" w:rsidRPr="007A3AC9" w:rsidRDefault="00ED0749" w:rsidP="002833AC">
      <w:pPr>
        <w:pStyle w:val="TSNumberedParagraph1"/>
        <w:numPr>
          <w:ilvl w:val="0"/>
          <w:numId w:val="10"/>
        </w:numPr>
        <w:spacing w:after="0"/>
        <w:jc w:val="both"/>
        <w:rPr>
          <w:lang w:eastAsia="en-GB"/>
        </w:rPr>
      </w:pPr>
      <w:r>
        <w:rPr>
          <w:lang w:eastAsia="en-GB"/>
        </w:rPr>
        <w:t>measures to verify assumed material properties,</w:t>
      </w:r>
    </w:p>
    <w:p w14:paraId="7DCF7BDA" w14:textId="794407F4" w:rsidR="007A3AC9" w:rsidRPr="007A3AC9" w:rsidRDefault="00ED0749" w:rsidP="002833AC">
      <w:pPr>
        <w:pStyle w:val="TSNumberedParagraph1"/>
        <w:numPr>
          <w:ilvl w:val="0"/>
          <w:numId w:val="10"/>
        </w:numPr>
        <w:spacing w:after="0"/>
        <w:jc w:val="both"/>
        <w:rPr>
          <w:lang w:eastAsia="en-GB"/>
        </w:rPr>
      </w:pPr>
      <w:r w:rsidRPr="007A3AC9">
        <w:rPr>
          <w:lang w:eastAsia="en-GB"/>
        </w:rPr>
        <w:t>risks resulting from inadequate or ou</w:t>
      </w:r>
      <w:r>
        <w:rPr>
          <w:lang w:eastAsia="en-GB"/>
        </w:rPr>
        <w:t>t-of-date structural information or unrecorded structural alterations,</w:t>
      </w:r>
    </w:p>
    <w:p w14:paraId="4861D43E" w14:textId="63C6A710" w:rsidR="00741804" w:rsidRPr="007A3AC9" w:rsidRDefault="00ED0749" w:rsidP="002833AC">
      <w:pPr>
        <w:pStyle w:val="TSNumberedParagraph1"/>
        <w:numPr>
          <w:ilvl w:val="0"/>
          <w:numId w:val="10"/>
        </w:numPr>
        <w:spacing w:after="0"/>
        <w:jc w:val="both"/>
        <w:rPr>
          <w:lang w:eastAsia="en-GB"/>
        </w:rPr>
      </w:pPr>
      <w:r w:rsidRPr="007A3AC9">
        <w:rPr>
          <w:lang w:eastAsia="en-GB"/>
        </w:rPr>
        <w:t xml:space="preserve">measures to ensure stability </w:t>
      </w:r>
      <w:r>
        <w:rPr>
          <w:lang w:eastAsia="en-GB"/>
        </w:rPr>
        <w:t>at each stage of the demolition,</w:t>
      </w:r>
    </w:p>
    <w:p w14:paraId="5A6C55BC" w14:textId="63A4F90F" w:rsidR="005C609C" w:rsidRPr="007A3AC9" w:rsidRDefault="00ED0749" w:rsidP="002833AC">
      <w:pPr>
        <w:pStyle w:val="TSNumberedParagraph1"/>
        <w:numPr>
          <w:ilvl w:val="0"/>
          <w:numId w:val="10"/>
        </w:numPr>
        <w:spacing w:after="0"/>
        <w:jc w:val="both"/>
        <w:rPr>
          <w:lang w:eastAsia="en-GB"/>
        </w:rPr>
      </w:pPr>
      <w:r w:rsidRPr="007A3AC9">
        <w:rPr>
          <w:lang w:eastAsia="en-GB"/>
        </w:rPr>
        <w:lastRenderedPageBreak/>
        <w:t>potential for concentrated, unbalanced or lateral loads due to a build</w:t>
      </w:r>
      <w:r>
        <w:rPr>
          <w:lang w:eastAsia="en-GB"/>
        </w:rPr>
        <w:t>-up of demolition materials,</w:t>
      </w:r>
    </w:p>
    <w:p w14:paraId="6D8CEB12" w14:textId="7CEE5B51" w:rsidR="005C609C" w:rsidRDefault="00ED0749" w:rsidP="002833AC">
      <w:pPr>
        <w:pStyle w:val="TSNumberedParagraph1"/>
        <w:numPr>
          <w:ilvl w:val="0"/>
          <w:numId w:val="10"/>
        </w:numPr>
        <w:spacing w:after="0"/>
        <w:jc w:val="both"/>
        <w:rPr>
          <w:lang w:eastAsia="en-GB"/>
        </w:rPr>
      </w:pPr>
      <w:r w:rsidRPr="007A3AC9">
        <w:rPr>
          <w:lang w:eastAsia="en-GB"/>
        </w:rPr>
        <w:t>loads created by demolition plant</w:t>
      </w:r>
      <w:r>
        <w:rPr>
          <w:lang w:eastAsia="en-GB"/>
        </w:rPr>
        <w:t>, including jacking and lifting forces,</w:t>
      </w:r>
    </w:p>
    <w:p w14:paraId="7EAEB712" w14:textId="26F5C8AB" w:rsidR="007A3AC9" w:rsidRPr="007A3AC9" w:rsidRDefault="00ED0749" w:rsidP="002833AC">
      <w:pPr>
        <w:pStyle w:val="TSNumberedParagraph1"/>
        <w:numPr>
          <w:ilvl w:val="0"/>
          <w:numId w:val="10"/>
        </w:numPr>
        <w:spacing w:after="0"/>
        <w:jc w:val="both"/>
        <w:rPr>
          <w:lang w:eastAsia="en-GB"/>
        </w:rPr>
      </w:pPr>
      <w:r>
        <w:rPr>
          <w:lang w:eastAsia="en-GB"/>
        </w:rPr>
        <w:t xml:space="preserve">loads </w:t>
      </w:r>
      <w:r w:rsidR="007A3AC9">
        <w:rPr>
          <w:lang w:eastAsia="en-GB"/>
        </w:rPr>
        <w:t xml:space="preserve">created by access </w:t>
      </w:r>
      <w:r w:rsidR="00AD58E0">
        <w:rPr>
          <w:lang w:eastAsia="en-GB"/>
        </w:rPr>
        <w:t xml:space="preserve">or lifting </w:t>
      </w:r>
      <w:r w:rsidR="007A3AC9">
        <w:rPr>
          <w:lang w:eastAsia="en-GB"/>
        </w:rPr>
        <w:t>equipment e.g. scaffolds on suspende</w:t>
      </w:r>
      <w:r w:rsidR="00AD58E0">
        <w:rPr>
          <w:lang w:eastAsia="en-GB"/>
        </w:rPr>
        <w:t>d sla</w:t>
      </w:r>
      <w:r w:rsidR="00E71326">
        <w:rPr>
          <w:lang w:eastAsia="en-GB"/>
        </w:rPr>
        <w:t>b</w:t>
      </w:r>
      <w:r w:rsidR="00AD58E0">
        <w:rPr>
          <w:lang w:eastAsia="en-GB"/>
        </w:rPr>
        <w:t xml:space="preserve">s, </w:t>
      </w:r>
      <w:r w:rsidR="00386EB7">
        <w:rPr>
          <w:lang w:eastAsia="en-GB"/>
        </w:rPr>
        <w:t>self-climbing</w:t>
      </w:r>
      <w:r w:rsidR="00AD58E0">
        <w:rPr>
          <w:lang w:eastAsia="en-GB"/>
        </w:rPr>
        <w:t xml:space="preserve"> platforms, wind loads on scaffolds or </w:t>
      </w:r>
      <w:r>
        <w:rPr>
          <w:lang w:eastAsia="en-GB"/>
        </w:rPr>
        <w:t>cranes, crash decks and protective structures, back propping, etc.,</w:t>
      </w:r>
    </w:p>
    <w:p w14:paraId="7CD738AA" w14:textId="084091A6" w:rsidR="005C609C" w:rsidRDefault="00ED0749" w:rsidP="002833AC">
      <w:pPr>
        <w:pStyle w:val="TSNumberedParagraph1"/>
        <w:numPr>
          <w:ilvl w:val="0"/>
          <w:numId w:val="10"/>
        </w:numPr>
        <w:spacing w:after="0"/>
        <w:jc w:val="both"/>
        <w:rPr>
          <w:lang w:eastAsia="en-GB"/>
        </w:rPr>
      </w:pPr>
      <w:r w:rsidRPr="007A3AC9">
        <w:rPr>
          <w:lang w:eastAsia="en-GB"/>
        </w:rPr>
        <w:t>hazards created by underground or hidden structures, below ground services or the p</w:t>
      </w:r>
      <w:r>
        <w:rPr>
          <w:lang w:eastAsia="en-GB"/>
        </w:rPr>
        <w:t>otential for ground instability,</w:t>
      </w:r>
    </w:p>
    <w:p w14:paraId="7CF21FCF" w14:textId="2CBCE291" w:rsidR="007A3AC9" w:rsidRDefault="00ED0749" w:rsidP="002833AC">
      <w:pPr>
        <w:pStyle w:val="TSNumberedParagraph1"/>
        <w:numPr>
          <w:ilvl w:val="0"/>
          <w:numId w:val="10"/>
        </w:numPr>
        <w:spacing w:after="0"/>
        <w:jc w:val="both"/>
        <w:rPr>
          <w:lang w:eastAsia="en-GB"/>
        </w:rPr>
      </w:pPr>
      <w:r>
        <w:rPr>
          <w:lang w:eastAsia="en-GB"/>
        </w:rPr>
        <w:t>hazards created by pre-stressed components,</w:t>
      </w:r>
    </w:p>
    <w:p w14:paraId="4246BBB3" w14:textId="0FD50095" w:rsidR="007A3AC9" w:rsidRDefault="00ED0749" w:rsidP="002833AC">
      <w:pPr>
        <w:pStyle w:val="TSNumberedParagraph1"/>
        <w:numPr>
          <w:ilvl w:val="0"/>
          <w:numId w:val="10"/>
        </w:numPr>
        <w:spacing w:after="0"/>
        <w:jc w:val="both"/>
        <w:rPr>
          <w:lang w:eastAsia="en-GB"/>
        </w:rPr>
      </w:pPr>
      <w:r>
        <w:rPr>
          <w:lang w:eastAsia="en-GB"/>
        </w:rPr>
        <w:t>hazards created by large panel or in-situ jointed prefabricated structures,</w:t>
      </w:r>
    </w:p>
    <w:p w14:paraId="4E206B6C" w14:textId="7581A31A" w:rsidR="00364DD3" w:rsidRDefault="00ED0749" w:rsidP="002833AC">
      <w:pPr>
        <w:pStyle w:val="TSNumberedParagraph1"/>
        <w:numPr>
          <w:ilvl w:val="0"/>
          <w:numId w:val="10"/>
        </w:numPr>
        <w:spacing w:after="0"/>
        <w:jc w:val="both"/>
        <w:rPr>
          <w:lang w:eastAsia="en-GB"/>
        </w:rPr>
      </w:pPr>
      <w:r>
        <w:rPr>
          <w:lang w:eastAsia="en-GB"/>
        </w:rPr>
        <w:t>hazards created by cutting and sawing techniques, including control of potentially contaminated slurry or dust,</w:t>
      </w:r>
    </w:p>
    <w:p w14:paraId="61BAD7AC" w14:textId="7C85A490" w:rsidR="00364DD3" w:rsidRPr="00364DD3" w:rsidRDefault="00ED0749" w:rsidP="002833AC">
      <w:pPr>
        <w:pStyle w:val="TSNumberedParagraph1"/>
        <w:numPr>
          <w:ilvl w:val="0"/>
          <w:numId w:val="10"/>
        </w:numPr>
        <w:spacing w:after="0"/>
        <w:jc w:val="both"/>
        <w:rPr>
          <w:lang w:eastAsia="en-GB"/>
        </w:rPr>
      </w:pPr>
      <w:r w:rsidRPr="00364DD3">
        <w:rPr>
          <w:lang w:eastAsia="en-GB"/>
        </w:rPr>
        <w:t>risks associated with lifting of cut elements (temporary stability, weigh</w:t>
      </w:r>
      <w:r>
        <w:rPr>
          <w:lang w:eastAsia="en-GB"/>
        </w:rPr>
        <w:t>t</w:t>
      </w:r>
      <w:r w:rsidRPr="00364DD3">
        <w:rPr>
          <w:lang w:eastAsia="en-GB"/>
        </w:rPr>
        <w:t xml:space="preserve"> estimation, centre of gravity, wind sailing effects, lay down areas, rigging, slinging and ge</w:t>
      </w:r>
      <w:r>
        <w:rPr>
          <w:lang w:eastAsia="en-GB"/>
        </w:rPr>
        <w:t>ometry of the lifting equipment,</w:t>
      </w:r>
    </w:p>
    <w:p w14:paraId="53B822FD" w14:textId="79CAC567" w:rsidR="007A3AC9" w:rsidRPr="007A3AC9" w:rsidRDefault="00ED0749" w:rsidP="002833AC">
      <w:pPr>
        <w:pStyle w:val="TSNumberedParagraph1"/>
        <w:numPr>
          <w:ilvl w:val="0"/>
          <w:numId w:val="10"/>
        </w:numPr>
        <w:spacing w:after="0"/>
        <w:jc w:val="both"/>
        <w:rPr>
          <w:lang w:eastAsia="en-GB"/>
        </w:rPr>
      </w:pPr>
      <w:r w:rsidRPr="007A3AC9">
        <w:rPr>
          <w:lang w:eastAsia="en-GB"/>
        </w:rPr>
        <w:t xml:space="preserve">potential </w:t>
      </w:r>
      <w:r w:rsidR="007A3AC9" w:rsidRPr="007A3AC9">
        <w:rPr>
          <w:lang w:eastAsia="en-GB"/>
        </w:rPr>
        <w:t>shortfalls due to the</w:t>
      </w:r>
      <w:r w:rsidR="00741804" w:rsidRPr="007A3AC9">
        <w:rPr>
          <w:lang w:eastAsia="en-GB"/>
        </w:rPr>
        <w:t xml:space="preserve"> codes of practice </w:t>
      </w:r>
      <w:r w:rsidR="007A3AC9" w:rsidRPr="007A3AC9">
        <w:rPr>
          <w:lang w:eastAsia="en-GB"/>
        </w:rPr>
        <w:t xml:space="preserve">and standards of detailing </w:t>
      </w:r>
      <w:r w:rsidR="00741804" w:rsidRPr="007A3AC9">
        <w:rPr>
          <w:lang w:eastAsia="en-GB"/>
        </w:rPr>
        <w:t xml:space="preserve">used in the </w:t>
      </w:r>
      <w:r w:rsidR="007A3AC9" w:rsidRPr="007A3AC9">
        <w:rPr>
          <w:lang w:eastAsia="en-GB"/>
        </w:rPr>
        <w:t xml:space="preserve">original </w:t>
      </w:r>
      <w:r w:rsidR="00741804" w:rsidRPr="007A3AC9">
        <w:rPr>
          <w:lang w:eastAsia="en-GB"/>
        </w:rPr>
        <w:t>design and construction</w:t>
      </w:r>
      <w:r w:rsidR="00ED70EA">
        <w:rPr>
          <w:lang w:eastAsia="en-GB"/>
        </w:rPr>
        <w:t xml:space="preserve"> </w:t>
      </w:r>
      <w:r w:rsidR="00741804" w:rsidRPr="007A3AC9">
        <w:rPr>
          <w:lang w:eastAsia="en-GB"/>
        </w:rPr>
        <w:t xml:space="preserve">e.g. </w:t>
      </w:r>
      <w:r w:rsidR="00293E57">
        <w:rPr>
          <w:lang w:eastAsia="en-GB"/>
        </w:rPr>
        <w:t xml:space="preserve">design methodologies, </w:t>
      </w:r>
      <w:r w:rsidR="007A3AC9" w:rsidRPr="007A3AC9">
        <w:rPr>
          <w:lang w:eastAsia="en-GB"/>
        </w:rPr>
        <w:t>safety</w:t>
      </w:r>
      <w:r w:rsidR="00741804" w:rsidRPr="007A3AC9">
        <w:rPr>
          <w:lang w:eastAsia="en-GB"/>
        </w:rPr>
        <w:t xml:space="preserve"> factors, load combinations</w:t>
      </w:r>
      <w:r w:rsidR="007A3AC9" w:rsidRPr="007A3AC9">
        <w:rPr>
          <w:lang w:eastAsia="en-GB"/>
        </w:rPr>
        <w:t>,</w:t>
      </w:r>
      <w:r w:rsidR="00741804" w:rsidRPr="007A3AC9">
        <w:rPr>
          <w:lang w:eastAsia="en-GB"/>
        </w:rPr>
        <w:t xml:space="preserve"> </w:t>
      </w:r>
      <w:r w:rsidR="007A3AC9" w:rsidRPr="007A3AC9">
        <w:rPr>
          <w:lang w:eastAsia="en-GB"/>
        </w:rPr>
        <w:t>reinfor</w:t>
      </w:r>
      <w:r>
        <w:rPr>
          <w:lang w:eastAsia="en-GB"/>
        </w:rPr>
        <w:t>cement embedment or lap lengths,</w:t>
      </w:r>
    </w:p>
    <w:p w14:paraId="6C1819C0" w14:textId="387E8209" w:rsidR="00741804" w:rsidRDefault="00ED0749" w:rsidP="002833AC">
      <w:pPr>
        <w:pStyle w:val="TSNumberedParagraph1"/>
        <w:numPr>
          <w:ilvl w:val="0"/>
          <w:numId w:val="10"/>
        </w:numPr>
        <w:spacing w:after="0"/>
        <w:jc w:val="both"/>
        <w:rPr>
          <w:lang w:eastAsia="en-GB"/>
        </w:rPr>
      </w:pPr>
      <w:r w:rsidRPr="007A3AC9">
        <w:rPr>
          <w:lang w:eastAsia="en-GB"/>
        </w:rPr>
        <w:t>the properties of historic materials e.g. mild stee</w:t>
      </w:r>
      <w:r>
        <w:rPr>
          <w:lang w:eastAsia="en-GB"/>
        </w:rPr>
        <w:t>l or un-ribbed reinforcement</w:t>
      </w:r>
      <w:r w:rsidR="00741804" w:rsidRPr="007A3AC9">
        <w:rPr>
          <w:lang w:eastAsia="en-GB"/>
        </w:rPr>
        <w:t>. The implications and risks of using modern design code</w:t>
      </w:r>
      <w:r w:rsidR="00C57264">
        <w:rPr>
          <w:lang w:eastAsia="en-GB"/>
        </w:rPr>
        <w:t>s for checking older structures.</w:t>
      </w:r>
      <w:r w:rsidR="00F74141">
        <w:rPr>
          <w:lang w:eastAsia="en-GB"/>
        </w:rPr>
        <w:t xml:space="preserve"> Possible degradation of the strength of materials</w:t>
      </w:r>
      <w:r>
        <w:rPr>
          <w:lang w:eastAsia="en-GB"/>
        </w:rPr>
        <w:t>,</w:t>
      </w:r>
    </w:p>
    <w:p w14:paraId="45294351" w14:textId="46780F39" w:rsidR="00C57264" w:rsidRDefault="00ED0749" w:rsidP="002833AC">
      <w:pPr>
        <w:pStyle w:val="TSNumberedParagraph1"/>
        <w:numPr>
          <w:ilvl w:val="0"/>
          <w:numId w:val="10"/>
        </w:numPr>
        <w:spacing w:after="0"/>
        <w:jc w:val="both"/>
        <w:rPr>
          <w:lang w:eastAsia="en-GB"/>
        </w:rPr>
      </w:pPr>
      <w:r>
        <w:rPr>
          <w:lang w:eastAsia="en-GB"/>
        </w:rPr>
        <w:t>temporary works designs, particularly if failure of the temporary works could have significant consequences,</w:t>
      </w:r>
    </w:p>
    <w:p w14:paraId="665042B2" w14:textId="5F61C8AC" w:rsidR="00093C91" w:rsidRPr="007A3AC9" w:rsidRDefault="00ED0749" w:rsidP="002833AC">
      <w:pPr>
        <w:pStyle w:val="TSNumberedParagraph1"/>
        <w:numPr>
          <w:ilvl w:val="0"/>
          <w:numId w:val="10"/>
        </w:numPr>
        <w:spacing w:after="0"/>
        <w:jc w:val="both"/>
        <w:rPr>
          <w:lang w:eastAsia="en-GB"/>
        </w:rPr>
      </w:pPr>
      <w:r>
        <w:rPr>
          <w:lang w:eastAsia="en-GB"/>
        </w:rPr>
        <w:t>surface water run off or infiltration,</w:t>
      </w:r>
    </w:p>
    <w:p w14:paraId="11B3F679" w14:textId="15B3F0D8" w:rsidR="006B6F3C" w:rsidRPr="002B1AA5" w:rsidRDefault="00ED0749" w:rsidP="002B1AA5">
      <w:pPr>
        <w:pStyle w:val="TSNumberedParagraph1"/>
        <w:numPr>
          <w:ilvl w:val="0"/>
          <w:numId w:val="10"/>
        </w:numPr>
        <w:spacing w:after="0"/>
        <w:jc w:val="both"/>
        <w:rPr>
          <w:lang w:eastAsia="en-GB"/>
        </w:rPr>
      </w:pPr>
      <w:r>
        <w:rPr>
          <w:lang w:eastAsia="en-GB"/>
        </w:rPr>
        <w:t>i</w:t>
      </w:r>
      <w:r w:rsidR="00AD58E0" w:rsidRPr="00AD58E0">
        <w:rPr>
          <w:lang w:eastAsia="en-GB"/>
        </w:rPr>
        <w:t xml:space="preserve">mplications of </w:t>
      </w:r>
      <w:r w:rsidR="00AD58E0">
        <w:rPr>
          <w:lang w:eastAsia="en-GB"/>
        </w:rPr>
        <w:t xml:space="preserve">unusual or </w:t>
      </w:r>
      <w:r w:rsidR="00AD58E0" w:rsidRPr="00AD58E0">
        <w:rPr>
          <w:lang w:eastAsia="en-GB"/>
        </w:rPr>
        <w:t xml:space="preserve">specialist </w:t>
      </w:r>
      <w:r w:rsidR="00AD58E0">
        <w:rPr>
          <w:lang w:eastAsia="en-GB"/>
        </w:rPr>
        <w:t>techniques such as</w:t>
      </w:r>
      <w:r w:rsidR="00AD58E0" w:rsidRPr="00AD58E0">
        <w:rPr>
          <w:lang w:eastAsia="en-GB"/>
        </w:rPr>
        <w:t xml:space="preserve"> tandem lifts, dewatering, </w:t>
      </w:r>
      <w:r w:rsidR="00AD58E0">
        <w:rPr>
          <w:lang w:eastAsia="en-GB"/>
        </w:rPr>
        <w:t>ground freezing</w:t>
      </w:r>
      <w:r w:rsidR="006F4417">
        <w:rPr>
          <w:lang w:eastAsia="en-GB"/>
        </w:rPr>
        <w:t xml:space="preserve">, </w:t>
      </w:r>
      <w:r w:rsidR="00093C91">
        <w:rPr>
          <w:lang w:eastAsia="en-GB"/>
        </w:rPr>
        <w:t xml:space="preserve">hydro demolition, </w:t>
      </w:r>
      <w:r w:rsidR="006F4417">
        <w:rPr>
          <w:lang w:eastAsia="en-GB"/>
        </w:rPr>
        <w:t>river and coastal works and pre-weakening of structures.</w:t>
      </w:r>
    </w:p>
    <w:p w14:paraId="14C7324A" w14:textId="2DB19BD5" w:rsidR="00E34D8B" w:rsidRPr="00105EFB" w:rsidRDefault="00E34D8B" w:rsidP="00324409">
      <w:pPr>
        <w:pStyle w:val="TSHeadingNumbered1"/>
        <w:numPr>
          <w:ilvl w:val="1"/>
          <w:numId w:val="11"/>
        </w:numPr>
        <w:tabs>
          <w:tab w:val="clear" w:pos="-31680"/>
        </w:tabs>
        <w:spacing w:before="240"/>
        <w:rPr>
          <w:caps w:val="0"/>
        </w:rPr>
      </w:pPr>
      <w:bookmarkStart w:id="68" w:name="_Toc57895901"/>
      <w:r w:rsidRPr="00105EFB">
        <w:rPr>
          <w:caps w:val="0"/>
        </w:rPr>
        <w:t>Site Remediation</w:t>
      </w:r>
      <w:bookmarkEnd w:id="68"/>
    </w:p>
    <w:p w14:paraId="75984476" w14:textId="15ABB0AC" w:rsidR="008C00C8" w:rsidRPr="00105EFB" w:rsidRDefault="003A6E13" w:rsidP="00105EFB">
      <w:pPr>
        <w:pStyle w:val="TSNumberedParagraph1"/>
        <w:numPr>
          <w:ilvl w:val="0"/>
          <w:numId w:val="12"/>
        </w:numPr>
        <w:spacing w:before="220"/>
        <w:rPr>
          <w:rStyle w:val="TSExampleText"/>
          <w:i w:val="0"/>
          <w:color w:val="auto"/>
        </w:rPr>
      </w:pPr>
      <w:r w:rsidRPr="00105EFB">
        <w:rPr>
          <w:rStyle w:val="TSExampleText"/>
          <w:i w:val="0"/>
          <w:color w:val="auto"/>
        </w:rPr>
        <w:t xml:space="preserve">SAP </w:t>
      </w:r>
      <w:r w:rsidR="008C00C8" w:rsidRPr="00105EFB">
        <w:rPr>
          <w:rStyle w:val="TSExampleText"/>
          <w:i w:val="0"/>
          <w:color w:val="auto"/>
        </w:rPr>
        <w:t xml:space="preserve">RL.2 </w:t>
      </w:r>
      <w:r w:rsidRPr="00105EFB">
        <w:rPr>
          <w:rStyle w:val="TSExampleText"/>
          <w:i w:val="0"/>
          <w:color w:val="auto"/>
        </w:rPr>
        <w:t>establishes the expectation</w:t>
      </w:r>
      <w:r w:rsidR="008C00C8" w:rsidRPr="00105EFB">
        <w:rPr>
          <w:rStyle w:val="TSExampleText"/>
          <w:i w:val="0"/>
          <w:color w:val="auto"/>
        </w:rPr>
        <w:t xml:space="preserve"> for </w:t>
      </w:r>
      <w:proofErr w:type="spellStart"/>
      <w:r w:rsidR="00105EFB" w:rsidRPr="00105EFB">
        <w:rPr>
          <w:rStyle w:val="TSExampleText"/>
          <w:i w:val="0"/>
          <w:color w:val="auto"/>
        </w:rPr>
        <w:t>dutyholders</w:t>
      </w:r>
      <w:proofErr w:type="spellEnd"/>
      <w:r w:rsidR="00105EFB" w:rsidRPr="00105EFB">
        <w:rPr>
          <w:rStyle w:val="TSExampleText"/>
          <w:i w:val="0"/>
          <w:color w:val="auto"/>
        </w:rPr>
        <w:t xml:space="preserve"> to </w:t>
      </w:r>
      <w:r w:rsidR="008C00C8" w:rsidRPr="00105EFB">
        <w:t>update</w:t>
      </w:r>
      <w:r w:rsidR="008C00C8" w:rsidRPr="00105EFB">
        <w:rPr>
          <w:rStyle w:val="TSExampleText"/>
          <w:i w:val="0"/>
          <w:color w:val="auto"/>
        </w:rPr>
        <w:t xml:space="preserve"> decommissioning strategies and plans to include identification and remediation of any contaminated land, to ensure the site is passively safe before entering the care and maintenance phase.</w:t>
      </w:r>
    </w:p>
    <w:p w14:paraId="38E0FEED" w14:textId="32FAEC01" w:rsidR="00E34D8B" w:rsidRDefault="00AC3E6E" w:rsidP="002833AC">
      <w:pPr>
        <w:pStyle w:val="TSNumberedParagraph1"/>
        <w:numPr>
          <w:ilvl w:val="0"/>
          <w:numId w:val="12"/>
        </w:numPr>
        <w:spacing w:before="220"/>
      </w:pPr>
      <w:r w:rsidRPr="00105EFB">
        <w:t xml:space="preserve">Site remediation is a </w:t>
      </w:r>
      <w:r w:rsidR="003A6E13" w:rsidRPr="00105EFB">
        <w:t>specialist</w:t>
      </w:r>
      <w:r w:rsidR="003A6E13">
        <w:t xml:space="preserve"> activity. </w:t>
      </w:r>
      <w:r w:rsidR="001E0CC6">
        <w:t xml:space="preserve">If ONR needs to consider ground contamination issues which present a potential ongoing hazard to workers or the public, it is likely that the ONR regulation will be led by inspectors with a waste and decommissioning specialism. </w:t>
      </w:r>
      <w:r w:rsidR="00101203">
        <w:t>C</w:t>
      </w:r>
      <w:r w:rsidR="003A6E13">
        <w:t>ivil e</w:t>
      </w:r>
      <w:r w:rsidR="00F52770">
        <w:t>ngineering i</w:t>
      </w:r>
      <w:r w:rsidRPr="00E67477">
        <w:t xml:space="preserve">nspectors </w:t>
      </w:r>
      <w:r w:rsidR="00D722D5" w:rsidRPr="00E67477">
        <w:t>may be able to provide support regarding the geological and hydrological conditions.</w:t>
      </w:r>
      <w:r w:rsidR="00105EFB">
        <w:t xml:space="preserve"> </w:t>
      </w:r>
    </w:p>
    <w:p w14:paraId="505DABFA" w14:textId="34BFAC6D" w:rsidR="00832B6B" w:rsidRDefault="00832B6B" w:rsidP="00832B6B">
      <w:pPr>
        <w:pStyle w:val="TSNumberedParagraph1"/>
        <w:numPr>
          <w:ilvl w:val="0"/>
          <w:numId w:val="12"/>
        </w:numPr>
        <w:spacing w:before="220"/>
        <w:rPr>
          <w:iCs/>
        </w:rPr>
      </w:pPr>
      <w:r w:rsidRPr="0067073F">
        <w:rPr>
          <w:iCs/>
        </w:rPr>
        <w:t>Where earthworks or excavation are required</w:t>
      </w:r>
      <w:r w:rsidR="00105EFB">
        <w:rPr>
          <w:iCs/>
        </w:rPr>
        <w:t>,</w:t>
      </w:r>
      <w:r w:rsidR="00B56BD7">
        <w:rPr>
          <w:iCs/>
        </w:rPr>
        <w:t xml:space="preserve"> the Inspector is reminded of the </w:t>
      </w:r>
      <w:r w:rsidR="00786B19">
        <w:rPr>
          <w:iCs/>
        </w:rPr>
        <w:t xml:space="preserve">need to consider SAPs expectations presented in RL.1 and RL.2 when there is a </w:t>
      </w:r>
      <w:r w:rsidRPr="0067073F">
        <w:rPr>
          <w:iCs/>
        </w:rPr>
        <w:t>possibilit</w:t>
      </w:r>
      <w:r>
        <w:rPr>
          <w:iCs/>
        </w:rPr>
        <w:t>y of contaminated land or spoil.</w:t>
      </w:r>
    </w:p>
    <w:p w14:paraId="5867DD0A" w14:textId="77777777" w:rsidR="0011462E" w:rsidRDefault="00105EFB" w:rsidP="00EF63C0">
      <w:pPr>
        <w:pStyle w:val="TSNumberedParagraph1"/>
        <w:numPr>
          <w:ilvl w:val="0"/>
          <w:numId w:val="12"/>
        </w:numPr>
        <w:spacing w:before="220"/>
      </w:pPr>
      <w:r>
        <w:t xml:space="preserve">SAP </w:t>
      </w:r>
      <w:r w:rsidR="00D00095" w:rsidRPr="006A62C6">
        <w:t xml:space="preserve">ECE.9 </w:t>
      </w:r>
      <w:r w:rsidRPr="006A62C6">
        <w:rPr>
          <w:rStyle w:val="TSExampleText"/>
          <w:i w:val="0"/>
          <w:color w:val="auto"/>
        </w:rPr>
        <w:t>establishes the expectation</w:t>
      </w:r>
      <w:r w:rsidR="00D00095" w:rsidRPr="006A62C6">
        <w:t xml:space="preserve"> that </w:t>
      </w:r>
      <w:r w:rsidRPr="006A62C6">
        <w:t xml:space="preserve">the risk of flooding (including allowances for climate change predictions and other uncertainties) </w:t>
      </w:r>
      <w:r w:rsidR="006A62C6" w:rsidRPr="006A62C6">
        <w:t xml:space="preserve">should be considered </w:t>
      </w:r>
      <w:r w:rsidRPr="006A62C6">
        <w:t xml:space="preserve">when </w:t>
      </w:r>
      <w:r w:rsidR="006A62C6" w:rsidRPr="006A62C6">
        <w:t>demonstrating</w:t>
      </w:r>
      <w:r w:rsidRPr="006A62C6">
        <w:t xml:space="preserve"> the safety of </w:t>
      </w:r>
      <w:r w:rsidR="00D00095" w:rsidRPr="006A62C6">
        <w:t>earthworks</w:t>
      </w:r>
      <w:r w:rsidR="006A62C6" w:rsidRPr="006A62C6">
        <w:t>.</w:t>
      </w:r>
      <w:r w:rsidR="00D00095" w:rsidRPr="006A62C6">
        <w:t xml:space="preserve"> </w:t>
      </w:r>
      <w:r w:rsidR="00D722D5" w:rsidRPr="006A62C6">
        <w:t xml:space="preserve">The potential for </w:t>
      </w:r>
      <w:r w:rsidR="003C3CDC" w:rsidRPr="006A62C6">
        <w:t xml:space="preserve">external hazards </w:t>
      </w:r>
      <w:r w:rsidR="00501C85" w:rsidRPr="006A62C6">
        <w:t xml:space="preserve">to adversely </w:t>
      </w:r>
      <w:r w:rsidR="00A90403" w:rsidRPr="006A62C6">
        <w:t>affect</w:t>
      </w:r>
      <w:r w:rsidR="003C3CDC" w:rsidRPr="006A62C6">
        <w:t xml:space="preserve"> remediation activities should</w:t>
      </w:r>
      <w:r w:rsidR="003C3CDC">
        <w:t xml:space="preserve"> be considered</w:t>
      </w:r>
      <w:r w:rsidR="006A62C6">
        <w:t>.</w:t>
      </w:r>
      <w:r w:rsidR="00495F75">
        <w:t xml:space="preserve"> </w:t>
      </w:r>
      <w:r w:rsidR="003C3CDC">
        <w:t xml:space="preserve">This might include the </w:t>
      </w:r>
      <w:r w:rsidR="006A62C6">
        <w:t xml:space="preserve">potential for spread of contaminants, </w:t>
      </w:r>
      <w:r w:rsidR="003C3CDC" w:rsidRPr="003C3CDC">
        <w:t xml:space="preserve">temporary stability of earth mounds </w:t>
      </w:r>
      <w:r w:rsidR="00D00095">
        <w:t xml:space="preserve">or </w:t>
      </w:r>
      <w:r w:rsidR="003C3CDC" w:rsidRPr="003C3CDC">
        <w:t>exca</w:t>
      </w:r>
      <w:r w:rsidR="00501C85">
        <w:t>vations, the continued function</w:t>
      </w:r>
      <w:r w:rsidR="003C3CDC" w:rsidRPr="003C3CDC">
        <w:t xml:space="preserve"> of cut-off barriers and the capacity of any rainwater bunds</w:t>
      </w:r>
      <w:r w:rsidR="00D00095">
        <w:t xml:space="preserve"> or other </w:t>
      </w:r>
      <w:r w:rsidR="006A62C6">
        <w:t xml:space="preserve">water </w:t>
      </w:r>
      <w:r w:rsidR="00D00095">
        <w:t>retention structures</w:t>
      </w:r>
      <w:r w:rsidR="003C3CDC" w:rsidRPr="003C3CDC">
        <w:t>.</w:t>
      </w:r>
      <w:r w:rsidR="00D00095">
        <w:t xml:space="preserve"> </w:t>
      </w:r>
    </w:p>
    <w:p w14:paraId="0E68894B" w14:textId="77777777" w:rsidR="0011462E" w:rsidRDefault="0011462E">
      <w:r>
        <w:br w:type="page"/>
      </w:r>
    </w:p>
    <w:p w14:paraId="1881F1DB" w14:textId="2397B787" w:rsidR="002234D2" w:rsidRDefault="002234D2" w:rsidP="00EF63C0">
      <w:pPr>
        <w:pStyle w:val="TSNumberedParagraph1"/>
        <w:numPr>
          <w:ilvl w:val="0"/>
          <w:numId w:val="12"/>
        </w:numPr>
        <w:spacing w:before="220"/>
      </w:pPr>
      <w:r>
        <w:lastRenderedPageBreak/>
        <w:t>For more information on site contamination, see:</w:t>
      </w:r>
    </w:p>
    <w:p w14:paraId="01334D7C" w14:textId="0060B595" w:rsidR="002234D2" w:rsidRPr="002B1AA5" w:rsidRDefault="00EE520B" w:rsidP="002B1AA5">
      <w:pPr>
        <w:pStyle w:val="TSNumberedParagraph1"/>
        <w:numPr>
          <w:ilvl w:val="0"/>
          <w:numId w:val="10"/>
        </w:numPr>
        <w:spacing w:after="0"/>
        <w:jc w:val="both"/>
        <w:rPr>
          <w:lang w:eastAsia="en-GB"/>
        </w:rPr>
      </w:pPr>
      <w:r>
        <w:rPr>
          <w:lang w:eastAsia="en-GB"/>
        </w:rPr>
        <w:t>ONR-</w:t>
      </w:r>
      <w:r w:rsidR="002234D2" w:rsidRPr="002B1AA5">
        <w:rPr>
          <w:lang w:eastAsia="en-GB"/>
        </w:rPr>
        <w:t>NS-TAST-GD-083 ‘Land Quality Management’,</w:t>
      </w:r>
    </w:p>
    <w:p w14:paraId="28304472" w14:textId="493F3F1A" w:rsidR="002234D2" w:rsidRPr="002B1AA5" w:rsidRDefault="00EE520B" w:rsidP="002B1AA5">
      <w:pPr>
        <w:pStyle w:val="TSNumberedParagraph1"/>
        <w:numPr>
          <w:ilvl w:val="0"/>
          <w:numId w:val="10"/>
        </w:numPr>
        <w:spacing w:after="0"/>
        <w:jc w:val="both"/>
        <w:rPr>
          <w:lang w:eastAsia="en-GB"/>
        </w:rPr>
      </w:pPr>
      <w:r>
        <w:rPr>
          <w:lang w:eastAsia="en-GB"/>
        </w:rPr>
        <w:t>ONR-</w:t>
      </w:r>
      <w:r w:rsidR="002234D2" w:rsidRPr="002B1AA5">
        <w:rPr>
          <w:lang w:eastAsia="en-GB"/>
        </w:rPr>
        <w:t>NS-TAST-GD-024 ‘Management of Radioactive Material and Radioactive Waste’,</w:t>
      </w:r>
    </w:p>
    <w:p w14:paraId="5EBE9E4F" w14:textId="63BA6D72" w:rsidR="002234D2" w:rsidRPr="002B1AA5" w:rsidRDefault="00EE520B" w:rsidP="002B1AA5">
      <w:pPr>
        <w:pStyle w:val="TSNumberedParagraph1"/>
        <w:numPr>
          <w:ilvl w:val="0"/>
          <w:numId w:val="10"/>
        </w:numPr>
        <w:spacing w:after="0"/>
        <w:jc w:val="both"/>
        <w:rPr>
          <w:lang w:eastAsia="en-GB"/>
        </w:rPr>
      </w:pPr>
      <w:r>
        <w:rPr>
          <w:lang w:eastAsia="en-GB"/>
        </w:rPr>
        <w:t>ONR-</w:t>
      </w:r>
      <w:r w:rsidR="002234D2" w:rsidRPr="002B1AA5">
        <w:rPr>
          <w:lang w:eastAsia="en-GB"/>
        </w:rPr>
        <w:t>NS-TAST-GD-081 ‘Safety Aspects Specific to Storage of Spent Nuclear Fuel’,</w:t>
      </w:r>
    </w:p>
    <w:p w14:paraId="51CC1A52" w14:textId="70AA1A3A" w:rsidR="002234D2" w:rsidRPr="002B1AA5" w:rsidRDefault="00EE520B" w:rsidP="002B1AA5">
      <w:pPr>
        <w:pStyle w:val="TSNumberedParagraph1"/>
        <w:numPr>
          <w:ilvl w:val="0"/>
          <w:numId w:val="10"/>
        </w:numPr>
        <w:spacing w:after="0"/>
        <w:jc w:val="both"/>
        <w:rPr>
          <w:lang w:eastAsia="en-GB"/>
        </w:rPr>
      </w:pPr>
      <w:r>
        <w:rPr>
          <w:lang w:eastAsia="en-GB"/>
        </w:rPr>
        <w:t>ONR-</w:t>
      </w:r>
      <w:r w:rsidR="002234D2" w:rsidRPr="002B1AA5">
        <w:rPr>
          <w:lang w:eastAsia="en-GB"/>
        </w:rPr>
        <w:t>NS-INSP-GD-032 ‘LC32 – Accumulation of Radioactive Waste’,</w:t>
      </w:r>
    </w:p>
    <w:p w14:paraId="1E1AA73D" w14:textId="43D7711E" w:rsidR="002234D2" w:rsidRPr="002B1AA5" w:rsidRDefault="00EE520B" w:rsidP="002B1AA5">
      <w:pPr>
        <w:pStyle w:val="TSNumberedParagraph1"/>
        <w:numPr>
          <w:ilvl w:val="0"/>
          <w:numId w:val="10"/>
        </w:numPr>
        <w:spacing w:after="0"/>
        <w:jc w:val="both"/>
        <w:rPr>
          <w:lang w:eastAsia="en-GB"/>
        </w:rPr>
      </w:pPr>
      <w:r>
        <w:rPr>
          <w:lang w:eastAsia="en-GB"/>
        </w:rPr>
        <w:t>ONR-</w:t>
      </w:r>
      <w:r w:rsidR="002234D2" w:rsidRPr="002B1AA5">
        <w:rPr>
          <w:lang w:eastAsia="en-GB"/>
        </w:rPr>
        <w:t>NS-INSP-GD-034 ‘LC34 – Leakage and Escape of Radioactive Material and Radioactive Waste’.</w:t>
      </w:r>
    </w:p>
    <w:p w14:paraId="40E89D71" w14:textId="77777777" w:rsidR="006668BB" w:rsidRPr="00133AEF" w:rsidRDefault="006668BB" w:rsidP="002B1AA5">
      <w:pPr>
        <w:pStyle w:val="TSHeadingNumbered1"/>
        <w:numPr>
          <w:ilvl w:val="1"/>
          <w:numId w:val="11"/>
        </w:numPr>
        <w:tabs>
          <w:tab w:val="clear" w:pos="-31680"/>
        </w:tabs>
        <w:spacing w:before="120"/>
        <w:rPr>
          <w:caps w:val="0"/>
        </w:rPr>
      </w:pPr>
      <w:bookmarkStart w:id="69" w:name="_Toc57391963"/>
      <w:bookmarkStart w:id="70" w:name="_Toc57895902"/>
      <w:bookmarkEnd w:id="69"/>
      <w:r w:rsidRPr="00133AEF">
        <w:rPr>
          <w:caps w:val="0"/>
        </w:rPr>
        <w:t>Delicencing</w:t>
      </w:r>
      <w:bookmarkEnd w:id="70"/>
    </w:p>
    <w:p w14:paraId="58B1C66E" w14:textId="5BAF354B" w:rsidR="00D722D5" w:rsidRPr="00A075C0" w:rsidRDefault="006A62C6" w:rsidP="002833AC">
      <w:pPr>
        <w:pStyle w:val="TSNumberedParagraph1"/>
        <w:numPr>
          <w:ilvl w:val="0"/>
          <w:numId w:val="12"/>
        </w:numPr>
        <w:spacing w:before="220"/>
      </w:pPr>
      <w:r>
        <w:t>D</w:t>
      </w:r>
      <w:r w:rsidRPr="00D722D5">
        <w:t xml:space="preserve">uring the </w:t>
      </w:r>
      <w:r>
        <w:t>delicencing</w:t>
      </w:r>
      <w:r w:rsidRPr="00D722D5">
        <w:t xml:space="preserve"> phase</w:t>
      </w:r>
      <w:r>
        <w:t xml:space="preserve">, </w:t>
      </w:r>
      <w:r w:rsidR="001E0CC6">
        <w:t xml:space="preserve">the Inspector </w:t>
      </w:r>
      <w:r w:rsidR="00D722D5" w:rsidRPr="00D722D5">
        <w:t xml:space="preserve">may </w:t>
      </w:r>
      <w:r w:rsidR="001E0CC6">
        <w:t xml:space="preserve">wish </w:t>
      </w:r>
      <w:r w:rsidR="00D722D5" w:rsidRPr="00D722D5">
        <w:t>to consider:</w:t>
      </w:r>
    </w:p>
    <w:p w14:paraId="6CD0862C" w14:textId="526C7347" w:rsidR="00D722D5" w:rsidRPr="003C3CDC" w:rsidRDefault="006A62C6" w:rsidP="002833AC">
      <w:pPr>
        <w:pStyle w:val="TSNumberedParagraph1"/>
        <w:numPr>
          <w:ilvl w:val="0"/>
          <w:numId w:val="10"/>
        </w:numPr>
        <w:spacing w:after="0"/>
        <w:jc w:val="both"/>
      </w:pPr>
      <w:r>
        <w:t>t</w:t>
      </w:r>
      <w:r w:rsidR="003C3CDC" w:rsidRPr="003C3CDC">
        <w:t>he r</w:t>
      </w:r>
      <w:r w:rsidR="00D722D5" w:rsidRPr="003C3CDC">
        <w:t xml:space="preserve">egime for monitoring any residual civil engineering structures, such as foundations, filled tanks, </w:t>
      </w:r>
      <w:r w:rsidR="00C83944">
        <w:t xml:space="preserve">concrete </w:t>
      </w:r>
      <w:r w:rsidR="00D722D5" w:rsidRPr="003C3CDC">
        <w:t xml:space="preserve">bases </w:t>
      </w:r>
      <w:r>
        <w:t>or below ground services which have not been removed,</w:t>
      </w:r>
    </w:p>
    <w:p w14:paraId="52A54BA7" w14:textId="648D1E94" w:rsidR="003C3CDC" w:rsidRDefault="006A62C6" w:rsidP="002833AC">
      <w:pPr>
        <w:pStyle w:val="TSNumberedParagraph1"/>
        <w:numPr>
          <w:ilvl w:val="0"/>
          <w:numId w:val="10"/>
        </w:numPr>
        <w:spacing w:after="0"/>
        <w:jc w:val="both"/>
      </w:pPr>
      <w:r>
        <w:t>the p</w:t>
      </w:r>
      <w:r w:rsidR="003C3CDC" w:rsidRPr="003C3CDC">
        <w:t xml:space="preserve">otential </w:t>
      </w:r>
      <w:r>
        <w:t xml:space="preserve">safety </w:t>
      </w:r>
      <w:r w:rsidR="003C3CDC" w:rsidRPr="003C3CDC">
        <w:t>consequences of landscaping proposals, including slope stability and surface water run-off</w:t>
      </w:r>
      <w:r w:rsidR="00C60919">
        <w:t>,</w:t>
      </w:r>
    </w:p>
    <w:p w14:paraId="29B9CDCC" w14:textId="2EF7693D" w:rsidR="003A6756" w:rsidRDefault="00BD7C15" w:rsidP="002833AC">
      <w:pPr>
        <w:pStyle w:val="TSNumberedParagraph1"/>
        <w:numPr>
          <w:ilvl w:val="0"/>
          <w:numId w:val="10"/>
        </w:numPr>
        <w:spacing w:after="0"/>
        <w:jc w:val="both"/>
      </w:pPr>
      <w:r>
        <w:t>the r</w:t>
      </w:r>
      <w:r w:rsidR="003A6756">
        <w:t xml:space="preserve">ecords available </w:t>
      </w:r>
      <w:r w:rsidR="00C60919">
        <w:t>regarding completion of works.</w:t>
      </w:r>
    </w:p>
    <w:p w14:paraId="0D671350" w14:textId="5E34E13C" w:rsidR="001423E1" w:rsidRDefault="001423E1" w:rsidP="002833AC">
      <w:pPr>
        <w:pStyle w:val="TSNumberedParagraph1"/>
        <w:numPr>
          <w:ilvl w:val="0"/>
          <w:numId w:val="12"/>
        </w:numPr>
        <w:spacing w:before="220"/>
      </w:pPr>
      <w:r>
        <w:t xml:space="preserve">Note that </w:t>
      </w:r>
      <w:r w:rsidR="006A62C6">
        <w:t>every conventional hazard</w:t>
      </w:r>
      <w:r>
        <w:t xml:space="preserve"> </w:t>
      </w:r>
      <w:r w:rsidR="006A62C6">
        <w:t>does not</w:t>
      </w:r>
      <w:r w:rsidR="00F35BB8">
        <w:t xml:space="preserve"> necessarily</w:t>
      </w:r>
      <w:r w:rsidR="006A62C6">
        <w:t xml:space="preserve"> </w:t>
      </w:r>
      <w:r>
        <w:t xml:space="preserve">need to have been addressed at the </w:t>
      </w:r>
      <w:r w:rsidR="00F928A3">
        <w:t>point a facility is delicenced</w:t>
      </w:r>
      <w:r w:rsidR="00F35BB8">
        <w:t>, in agreement with the relevant environmental regulatory body</w:t>
      </w:r>
      <w:r w:rsidR="00F928A3">
        <w:t>.</w:t>
      </w:r>
      <w:r w:rsidR="006A62C6">
        <w:t xml:space="preserve"> Residual hazards that exist post delicencing should be clearly recorded and provided to future users of the site.</w:t>
      </w:r>
      <w:r w:rsidR="00C60919">
        <w:t xml:space="preserve"> The Inspector may wish to consider </w:t>
      </w:r>
      <w:r w:rsidR="00663418">
        <w:t xml:space="preserve">the adequacy of </w:t>
      </w:r>
      <w:r w:rsidR="006B6F3C">
        <w:t xml:space="preserve">the records regarding the location of </w:t>
      </w:r>
      <w:r w:rsidR="00663418">
        <w:t>such residual hazards.</w:t>
      </w:r>
    </w:p>
    <w:p w14:paraId="1E54AD04" w14:textId="5746535C" w:rsidR="00132704" w:rsidRDefault="00132704" w:rsidP="002833AC">
      <w:pPr>
        <w:pStyle w:val="TSNumberedParagraph1"/>
        <w:numPr>
          <w:ilvl w:val="0"/>
          <w:numId w:val="12"/>
        </w:numPr>
        <w:spacing w:before="220"/>
      </w:pPr>
      <w:r>
        <w:t>Records of all structures and materials</w:t>
      </w:r>
      <w:r w:rsidRPr="00107A87">
        <w:t xml:space="preserve"> </w:t>
      </w:r>
      <w:r>
        <w:t xml:space="preserve">remaining on site, especially those not visible from the </w:t>
      </w:r>
      <w:r w:rsidR="006A62C6">
        <w:t>surface,</w:t>
      </w:r>
      <w:r>
        <w:t xml:space="preserve"> must be collated and provided to the relevant </w:t>
      </w:r>
      <w:r w:rsidR="006A62C6">
        <w:t xml:space="preserve">enforcing </w:t>
      </w:r>
      <w:r>
        <w:t xml:space="preserve">authority </w:t>
      </w:r>
      <w:r w:rsidR="006A62C6">
        <w:t xml:space="preserve">and future users </w:t>
      </w:r>
      <w:r>
        <w:t>at the end of demolition and site clearance.</w:t>
      </w:r>
    </w:p>
    <w:p w14:paraId="60D968A1" w14:textId="7752EBA3" w:rsidR="00832B6B" w:rsidRPr="00A075C0" w:rsidRDefault="00832B6B" w:rsidP="00832B6B">
      <w:pPr>
        <w:pStyle w:val="TSNumberedParagraph1"/>
        <w:numPr>
          <w:ilvl w:val="0"/>
          <w:numId w:val="12"/>
        </w:numPr>
        <w:spacing w:before="220"/>
      </w:pPr>
      <w:r w:rsidRPr="00832B6B">
        <w:t>ONR’s processes for the delicensing of nuclear sites, are set out in the document ‘Licensing Nuclear Installations’ which is</w:t>
      </w:r>
      <w:r>
        <w:t xml:space="preserve"> </w:t>
      </w:r>
      <w:r w:rsidRPr="00832B6B">
        <w:t>published on ONR’s website.</w:t>
      </w:r>
    </w:p>
    <w:p w14:paraId="0B521644" w14:textId="67CD2340" w:rsidR="004D0FAA" w:rsidRPr="006668BB" w:rsidRDefault="004D0FAA" w:rsidP="002833AC">
      <w:pPr>
        <w:pStyle w:val="TSHeadingNumbered1"/>
        <w:numPr>
          <w:ilvl w:val="0"/>
          <w:numId w:val="11"/>
        </w:numPr>
      </w:pPr>
      <w:bookmarkStart w:id="71" w:name="_Toc473642919"/>
      <w:bookmarkStart w:id="72" w:name="_Ref485108197"/>
      <w:bookmarkStart w:id="73" w:name="_Ref485112275"/>
      <w:bookmarkStart w:id="74" w:name="_Toc519072432"/>
      <w:bookmarkStart w:id="75" w:name="_Toc57895903"/>
      <w:r w:rsidRPr="006668BB">
        <w:t>Relevant Standards and Good Practi</w:t>
      </w:r>
      <w:r w:rsidR="000E4C4F" w:rsidRPr="006668BB">
        <w:t>C</w:t>
      </w:r>
      <w:r w:rsidRPr="006668BB">
        <w:t>e</w:t>
      </w:r>
      <w:bookmarkEnd w:id="71"/>
      <w:bookmarkEnd w:id="72"/>
      <w:bookmarkEnd w:id="73"/>
      <w:bookmarkEnd w:id="74"/>
      <w:bookmarkEnd w:id="75"/>
    </w:p>
    <w:p w14:paraId="5A1EAF5A" w14:textId="5933A23F" w:rsidR="00C50FDB" w:rsidRDefault="00C50FDB" w:rsidP="002833AC">
      <w:pPr>
        <w:pStyle w:val="TSNumberedParagraph1"/>
        <w:numPr>
          <w:ilvl w:val="0"/>
          <w:numId w:val="12"/>
        </w:numPr>
        <w:spacing w:before="220"/>
      </w:pPr>
      <w:r>
        <w:t>Inspectors are advised to check whether these guides are the most up to date given the review period of the TAG.</w:t>
      </w:r>
    </w:p>
    <w:p w14:paraId="146ECBE7" w14:textId="2AE546D6" w:rsidR="00597F44" w:rsidRDefault="00597F44" w:rsidP="002833AC">
      <w:pPr>
        <w:pStyle w:val="TSNumberedParagraph1"/>
        <w:numPr>
          <w:ilvl w:val="0"/>
          <w:numId w:val="12"/>
        </w:numPr>
        <w:spacing w:before="220"/>
      </w:pPr>
      <w:r>
        <w:t>Note the</w:t>
      </w:r>
      <w:r w:rsidRPr="00E81E13">
        <w:t xml:space="preserve"> list</w:t>
      </w:r>
      <w:r>
        <w:t>s provided are</w:t>
      </w:r>
      <w:r w:rsidRPr="00E81E13">
        <w:t xml:space="preserve"> not </w:t>
      </w:r>
      <w:r>
        <w:t xml:space="preserve">full and </w:t>
      </w:r>
      <w:r w:rsidRPr="00E81E13">
        <w:t>comprehensive list</w:t>
      </w:r>
      <w:r>
        <w:t>s.</w:t>
      </w:r>
      <w:r w:rsidRPr="00E81E13">
        <w:t xml:space="preserve"> </w:t>
      </w:r>
      <w:r w:rsidR="00101203">
        <w:t>The Inspector</w:t>
      </w:r>
      <w:r w:rsidRPr="00E81E13">
        <w:t xml:space="preserve"> should </w:t>
      </w:r>
      <w:r>
        <w:t xml:space="preserve">only use the guidance that is relevant to the scenario being </w:t>
      </w:r>
      <w:r w:rsidR="000E29A8">
        <w:t>assessed and</w:t>
      </w:r>
      <w:r>
        <w:t xml:space="preserve"> </w:t>
      </w:r>
      <w:r w:rsidRPr="00E81E13">
        <w:t>seek other appropriate guidance to suit the circumstances</w:t>
      </w:r>
      <w:r>
        <w:t>.</w:t>
      </w:r>
    </w:p>
    <w:p w14:paraId="7D47F3BF" w14:textId="70EBF326" w:rsidR="00EA12F3" w:rsidRDefault="00EA12F3" w:rsidP="00133AEF">
      <w:pPr>
        <w:pStyle w:val="TSHeadingNumbered1"/>
        <w:numPr>
          <w:ilvl w:val="1"/>
          <w:numId w:val="11"/>
        </w:numPr>
        <w:tabs>
          <w:tab w:val="clear" w:pos="-31680"/>
        </w:tabs>
        <w:rPr>
          <w:caps w:val="0"/>
        </w:rPr>
      </w:pPr>
      <w:bookmarkStart w:id="76" w:name="_Toc57895904"/>
      <w:r>
        <w:rPr>
          <w:caps w:val="0"/>
        </w:rPr>
        <w:t>ONR Technical Assessment Guides (TAGs) and Technical Inspection Guides (TIGs)</w:t>
      </w:r>
      <w:bookmarkEnd w:id="76"/>
    </w:p>
    <w:p w14:paraId="5FE9B387" w14:textId="77777777" w:rsidR="00EA12F3" w:rsidRPr="006668BB" w:rsidRDefault="00EA12F3" w:rsidP="00EA12F3">
      <w:pPr>
        <w:pStyle w:val="TSNumberedParagraph1"/>
        <w:numPr>
          <w:ilvl w:val="0"/>
          <w:numId w:val="12"/>
        </w:numPr>
        <w:spacing w:before="220"/>
      </w:pPr>
      <w:r>
        <w:t xml:space="preserve">Those </w:t>
      </w:r>
      <w:r w:rsidRPr="006668BB">
        <w:t>relating to</w:t>
      </w:r>
      <w:r>
        <w:t xml:space="preserve"> decommissioning and</w:t>
      </w:r>
      <w:r w:rsidRPr="006668BB">
        <w:t xml:space="preserve"> demolition include</w:t>
      </w:r>
      <w:r>
        <w:t>, but are not limited to</w:t>
      </w:r>
      <w:r w:rsidRPr="006668BB">
        <w:t>:</w:t>
      </w:r>
    </w:p>
    <w:p w14:paraId="4C5EEE62" w14:textId="7840024A" w:rsidR="00EA12F3" w:rsidRDefault="00EE520B" w:rsidP="00633482">
      <w:pPr>
        <w:pStyle w:val="TSBullet1Square"/>
        <w:numPr>
          <w:ilvl w:val="0"/>
          <w:numId w:val="10"/>
        </w:numPr>
        <w:tabs>
          <w:tab w:val="num" w:pos="-31680"/>
        </w:tabs>
      </w:pPr>
      <w:r>
        <w:rPr>
          <w:lang w:eastAsia="en-GB"/>
        </w:rPr>
        <w:t>ONR-</w:t>
      </w:r>
      <w:r w:rsidR="00EA12F3" w:rsidRPr="00EA12F3">
        <w:t>NS-TAST-GD-026 ‘</w:t>
      </w:r>
      <w:r w:rsidR="00EA12F3">
        <w:t>Decommissioning’</w:t>
      </w:r>
      <w:r w:rsidR="006A62C6">
        <w:t>,</w:t>
      </w:r>
    </w:p>
    <w:p w14:paraId="0BBA8F77" w14:textId="4E56C559" w:rsidR="00633482" w:rsidRPr="009B38C7" w:rsidRDefault="00EE520B" w:rsidP="00633482">
      <w:pPr>
        <w:pStyle w:val="TSBullet1Square"/>
        <w:numPr>
          <w:ilvl w:val="0"/>
          <w:numId w:val="10"/>
        </w:numPr>
        <w:tabs>
          <w:tab w:val="num" w:pos="-31680"/>
        </w:tabs>
      </w:pPr>
      <w:r>
        <w:rPr>
          <w:lang w:eastAsia="en-GB"/>
        </w:rPr>
        <w:t>ONR-</w:t>
      </w:r>
      <w:r w:rsidR="00633482" w:rsidRPr="009B38C7">
        <w:t xml:space="preserve">NS-TAST-GD-005 ‘Demonstration of ALARP (As Low </w:t>
      </w:r>
      <w:r w:rsidR="000E29A8" w:rsidRPr="009B38C7">
        <w:t>as</w:t>
      </w:r>
      <w:r w:rsidR="00633482" w:rsidRPr="009B38C7">
        <w:t xml:space="preserve"> Reasonably Practicable)’</w:t>
      </w:r>
      <w:r w:rsidR="006A62C6">
        <w:t>,</w:t>
      </w:r>
    </w:p>
    <w:p w14:paraId="5CB180C5" w14:textId="0CDD7B0D" w:rsidR="00633482" w:rsidRPr="009B38C7" w:rsidRDefault="00EE520B" w:rsidP="00633482">
      <w:pPr>
        <w:pStyle w:val="TSBullet1Square"/>
        <w:numPr>
          <w:ilvl w:val="0"/>
          <w:numId w:val="10"/>
        </w:numPr>
        <w:tabs>
          <w:tab w:val="num" w:pos="-31680"/>
        </w:tabs>
      </w:pPr>
      <w:r>
        <w:rPr>
          <w:lang w:eastAsia="en-GB"/>
        </w:rPr>
        <w:t>ONR-</w:t>
      </w:r>
      <w:r w:rsidR="00633482" w:rsidRPr="009B38C7">
        <w:t>NS-TAST-GD-079 ‘Licensee Design Authority Capability’</w:t>
      </w:r>
      <w:r w:rsidR="006A62C6">
        <w:t>,</w:t>
      </w:r>
    </w:p>
    <w:p w14:paraId="50C72A9B" w14:textId="34A2F028" w:rsidR="00633482" w:rsidRPr="009B38C7" w:rsidRDefault="00EE520B" w:rsidP="00633482">
      <w:pPr>
        <w:pStyle w:val="TSBullet1Square"/>
        <w:numPr>
          <w:ilvl w:val="0"/>
          <w:numId w:val="10"/>
        </w:numPr>
        <w:tabs>
          <w:tab w:val="num" w:pos="-31680"/>
        </w:tabs>
      </w:pPr>
      <w:r>
        <w:rPr>
          <w:lang w:eastAsia="en-GB"/>
        </w:rPr>
        <w:t>ONR-</w:t>
      </w:r>
      <w:r w:rsidR="00633482" w:rsidRPr="009B38C7">
        <w:t>NS-TAST-GD-049 ‘Licensee Core Safety and Intelligent Customer Capabilities’</w:t>
      </w:r>
      <w:r w:rsidR="006A62C6">
        <w:t>,</w:t>
      </w:r>
    </w:p>
    <w:p w14:paraId="4BB566C6" w14:textId="624978C2" w:rsidR="00633482" w:rsidRPr="009B38C7" w:rsidRDefault="00EE520B" w:rsidP="00633482">
      <w:pPr>
        <w:pStyle w:val="TSBullet1Square"/>
        <w:numPr>
          <w:ilvl w:val="0"/>
          <w:numId w:val="10"/>
        </w:numPr>
        <w:tabs>
          <w:tab w:val="num" w:pos="-31680"/>
        </w:tabs>
      </w:pPr>
      <w:r>
        <w:rPr>
          <w:lang w:eastAsia="en-GB"/>
        </w:rPr>
        <w:t>ONR-</w:t>
      </w:r>
      <w:r w:rsidR="00633482" w:rsidRPr="009B38C7">
        <w:t>NS-TAST-GD-020 ‘Civil Engineering Containments for Reactor Plants’</w:t>
      </w:r>
      <w:r w:rsidR="006A62C6">
        <w:t>,</w:t>
      </w:r>
    </w:p>
    <w:p w14:paraId="57CED314" w14:textId="554980F1" w:rsidR="00633482" w:rsidRPr="009B38C7" w:rsidRDefault="00EE520B" w:rsidP="00633482">
      <w:pPr>
        <w:pStyle w:val="TSBullet1Square"/>
        <w:numPr>
          <w:ilvl w:val="0"/>
          <w:numId w:val="10"/>
        </w:numPr>
        <w:tabs>
          <w:tab w:val="num" w:pos="-31680"/>
        </w:tabs>
      </w:pPr>
      <w:r>
        <w:rPr>
          <w:lang w:eastAsia="en-GB"/>
        </w:rPr>
        <w:t>ONR-</w:t>
      </w:r>
      <w:r w:rsidR="00633482" w:rsidRPr="009B38C7">
        <w:t>NS-TAST-GD-077 ‘Supply Chain Management Arrangements for the Procurement of Nuclear Safety Related Items or Services’</w:t>
      </w:r>
      <w:r w:rsidR="006A62C6">
        <w:t>,</w:t>
      </w:r>
    </w:p>
    <w:p w14:paraId="1FE671B3" w14:textId="2E9A52C6" w:rsidR="00633482" w:rsidRPr="009B38C7" w:rsidRDefault="00EE520B" w:rsidP="00633482">
      <w:pPr>
        <w:pStyle w:val="TSBullet1Square"/>
        <w:numPr>
          <w:ilvl w:val="0"/>
          <w:numId w:val="10"/>
        </w:numPr>
        <w:tabs>
          <w:tab w:val="num" w:pos="-31680"/>
        </w:tabs>
      </w:pPr>
      <w:r>
        <w:rPr>
          <w:lang w:eastAsia="en-GB"/>
        </w:rPr>
        <w:t>ONR-</w:t>
      </w:r>
      <w:r w:rsidR="00633482" w:rsidRPr="009B38C7">
        <w:t>NS-TAST-GD-048 ‘Organisational Change’</w:t>
      </w:r>
      <w:r w:rsidR="006A62C6">
        <w:t>,</w:t>
      </w:r>
    </w:p>
    <w:p w14:paraId="29390585" w14:textId="7CF611B0" w:rsidR="00633482" w:rsidRPr="009B38C7" w:rsidRDefault="00EE520B" w:rsidP="00633482">
      <w:pPr>
        <w:pStyle w:val="TSBullet1Square"/>
        <w:numPr>
          <w:ilvl w:val="0"/>
          <w:numId w:val="10"/>
        </w:numPr>
        <w:tabs>
          <w:tab w:val="num" w:pos="-31680"/>
        </w:tabs>
      </w:pPr>
      <w:r>
        <w:rPr>
          <w:lang w:eastAsia="en-GB"/>
        </w:rPr>
        <w:lastRenderedPageBreak/>
        <w:t>ONR-</w:t>
      </w:r>
      <w:r w:rsidR="00633482" w:rsidRPr="009B38C7">
        <w:t>NS-TAST-GD-027 ‘Training and Assuring Personnel Competence’</w:t>
      </w:r>
      <w:r w:rsidR="006A62C6">
        <w:t>,</w:t>
      </w:r>
    </w:p>
    <w:p w14:paraId="03893792" w14:textId="4E4579A0" w:rsidR="00633482" w:rsidRPr="009B38C7" w:rsidRDefault="00EE520B" w:rsidP="00633482">
      <w:pPr>
        <w:pStyle w:val="TSBullet1Square"/>
        <w:numPr>
          <w:ilvl w:val="0"/>
          <w:numId w:val="10"/>
        </w:numPr>
        <w:tabs>
          <w:tab w:val="num" w:pos="-31680"/>
        </w:tabs>
      </w:pPr>
      <w:r>
        <w:rPr>
          <w:lang w:eastAsia="en-GB"/>
        </w:rPr>
        <w:t>ONR-</w:t>
      </w:r>
      <w:r w:rsidR="00633482" w:rsidRPr="009B38C7">
        <w:t>NS-TAST-GD-033 ‘</w:t>
      </w:r>
      <w:proofErr w:type="spellStart"/>
      <w:r w:rsidR="00633482" w:rsidRPr="009B38C7">
        <w:t>Dutyholder</w:t>
      </w:r>
      <w:proofErr w:type="spellEnd"/>
      <w:r w:rsidR="00633482" w:rsidRPr="009B38C7">
        <w:t xml:space="preserve"> Management of Records’</w:t>
      </w:r>
      <w:r w:rsidR="006A62C6">
        <w:t>,</w:t>
      </w:r>
    </w:p>
    <w:p w14:paraId="3763FC97" w14:textId="4F1272E9" w:rsidR="00633482" w:rsidRPr="009B38C7" w:rsidRDefault="00EE520B" w:rsidP="00633482">
      <w:pPr>
        <w:pStyle w:val="TSBullet1Square"/>
        <w:numPr>
          <w:ilvl w:val="0"/>
          <w:numId w:val="10"/>
        </w:numPr>
        <w:tabs>
          <w:tab w:val="num" w:pos="-31680"/>
        </w:tabs>
      </w:pPr>
      <w:r>
        <w:rPr>
          <w:lang w:eastAsia="en-GB"/>
        </w:rPr>
        <w:t>ONR-</w:t>
      </w:r>
      <w:r w:rsidR="00633482" w:rsidRPr="009B38C7">
        <w:t>NS-TAST-GD-009 ‘Examination Inspection Maintenance and Testing of Items Important to Safety’</w:t>
      </w:r>
      <w:r w:rsidR="006A62C6">
        <w:t>,</w:t>
      </w:r>
    </w:p>
    <w:p w14:paraId="161BFEAE" w14:textId="47A31A8C" w:rsidR="00832B6B" w:rsidRDefault="00EE520B" w:rsidP="00633482">
      <w:pPr>
        <w:pStyle w:val="TSBullet1Square"/>
        <w:numPr>
          <w:ilvl w:val="0"/>
          <w:numId w:val="10"/>
        </w:numPr>
        <w:tabs>
          <w:tab w:val="num" w:pos="-31680"/>
        </w:tabs>
      </w:pPr>
      <w:r>
        <w:rPr>
          <w:lang w:eastAsia="en-GB"/>
        </w:rPr>
        <w:t>ONR-</w:t>
      </w:r>
      <w:r w:rsidR="00633482" w:rsidRPr="009B38C7">
        <w:t>NS-TAST-GD-013 ‘External Hazards’</w:t>
      </w:r>
      <w:r w:rsidR="006A62C6">
        <w:t>,</w:t>
      </w:r>
    </w:p>
    <w:p w14:paraId="308E33C9" w14:textId="495AA4F0" w:rsidR="00633482" w:rsidRDefault="00EE520B" w:rsidP="00633482">
      <w:pPr>
        <w:pStyle w:val="TSBullet1Square"/>
        <w:numPr>
          <w:ilvl w:val="0"/>
          <w:numId w:val="10"/>
        </w:numPr>
      </w:pPr>
      <w:r>
        <w:rPr>
          <w:lang w:eastAsia="en-GB"/>
        </w:rPr>
        <w:t>ONR-</w:t>
      </w:r>
      <w:r w:rsidR="00633482">
        <w:t>NS-TINS-GD-011 ‘LC 11 – Training’</w:t>
      </w:r>
      <w:r w:rsidR="006A62C6">
        <w:t>,</w:t>
      </w:r>
    </w:p>
    <w:p w14:paraId="199A9DCC" w14:textId="173183C6" w:rsidR="00633482" w:rsidRDefault="00EE520B" w:rsidP="00633482">
      <w:pPr>
        <w:pStyle w:val="TSBullet1Square"/>
        <w:numPr>
          <w:ilvl w:val="0"/>
          <w:numId w:val="10"/>
        </w:numPr>
      </w:pPr>
      <w:r>
        <w:rPr>
          <w:lang w:eastAsia="en-GB"/>
        </w:rPr>
        <w:t>ONR-</w:t>
      </w:r>
      <w:r w:rsidR="00633482">
        <w:t>NS-TINS-GD-021 ‘LC22 – Modification or experiment on existing plant’</w:t>
      </w:r>
      <w:r w:rsidR="006A62C6">
        <w:t>,</w:t>
      </w:r>
    </w:p>
    <w:p w14:paraId="2FE7C0EF" w14:textId="108A4DE6" w:rsidR="00633482" w:rsidRDefault="00EE520B" w:rsidP="00633482">
      <w:pPr>
        <w:pStyle w:val="TSBullet1Square"/>
        <w:numPr>
          <w:ilvl w:val="0"/>
          <w:numId w:val="10"/>
        </w:numPr>
      </w:pPr>
      <w:r>
        <w:rPr>
          <w:lang w:eastAsia="en-GB"/>
        </w:rPr>
        <w:t>ONR-</w:t>
      </w:r>
      <w:r w:rsidR="00633482">
        <w:t>NS-TINS-GD-035 ‘LC 35 - Periodic Safety’</w:t>
      </w:r>
      <w:r w:rsidR="006A62C6">
        <w:t>,</w:t>
      </w:r>
    </w:p>
    <w:p w14:paraId="51F8F668" w14:textId="67A5BE88" w:rsidR="00EA12F3" w:rsidRPr="00EA12F3" w:rsidRDefault="00EE520B" w:rsidP="00B47FC7">
      <w:pPr>
        <w:pStyle w:val="TSBullet1Square"/>
        <w:numPr>
          <w:ilvl w:val="0"/>
          <w:numId w:val="10"/>
        </w:numPr>
      </w:pPr>
      <w:r>
        <w:rPr>
          <w:lang w:eastAsia="en-GB"/>
        </w:rPr>
        <w:t>ONR-</w:t>
      </w:r>
      <w:r w:rsidR="00633482">
        <w:t>NS-TINS-GD-036 ‘LC 36 – Organisational Capability’</w:t>
      </w:r>
      <w:r w:rsidR="006A62C6">
        <w:t>.</w:t>
      </w:r>
    </w:p>
    <w:p w14:paraId="1F31C58E" w14:textId="58F561DF" w:rsidR="00597F44" w:rsidRDefault="00B47FC7" w:rsidP="00EA12F3">
      <w:pPr>
        <w:pStyle w:val="TSHeadingNumbered1"/>
        <w:numPr>
          <w:ilvl w:val="1"/>
          <w:numId w:val="11"/>
        </w:numPr>
        <w:tabs>
          <w:tab w:val="clear" w:pos="-31680"/>
        </w:tabs>
        <w:spacing w:before="240"/>
        <w:rPr>
          <w:caps w:val="0"/>
        </w:rPr>
      </w:pPr>
      <w:bookmarkStart w:id="77" w:name="_Toc57895905"/>
      <w:r>
        <w:rPr>
          <w:caps w:val="0"/>
        </w:rPr>
        <w:t xml:space="preserve">UK </w:t>
      </w:r>
      <w:r w:rsidR="00597F44">
        <w:rPr>
          <w:caps w:val="0"/>
        </w:rPr>
        <w:t>Regulations</w:t>
      </w:r>
      <w:bookmarkEnd w:id="77"/>
    </w:p>
    <w:p w14:paraId="3F254A73" w14:textId="0E13661B" w:rsidR="00597F44" w:rsidRPr="006668BB" w:rsidRDefault="00597F44" w:rsidP="00597F44">
      <w:pPr>
        <w:pStyle w:val="TSNumberedParagraph1"/>
        <w:numPr>
          <w:ilvl w:val="0"/>
          <w:numId w:val="12"/>
        </w:numPr>
        <w:tabs>
          <w:tab w:val="clear" w:pos="-31680"/>
        </w:tabs>
        <w:spacing w:before="220"/>
      </w:pPr>
      <w:r>
        <w:t xml:space="preserve">Those </w:t>
      </w:r>
      <w:r w:rsidRPr="006668BB">
        <w:t>relating to</w:t>
      </w:r>
      <w:r>
        <w:t xml:space="preserve"> decommissioning and</w:t>
      </w:r>
      <w:r w:rsidRPr="006668BB">
        <w:t xml:space="preserve"> demolition include</w:t>
      </w:r>
      <w:r>
        <w:t>, but are not limited to</w:t>
      </w:r>
      <w:r w:rsidRPr="006668BB">
        <w:t>:</w:t>
      </w:r>
    </w:p>
    <w:p w14:paraId="6998DEB2" w14:textId="52E5EAD8" w:rsidR="00597F44" w:rsidRDefault="00597F44" w:rsidP="00B47FC7">
      <w:pPr>
        <w:pStyle w:val="TSBullet1Square"/>
        <w:numPr>
          <w:ilvl w:val="0"/>
          <w:numId w:val="10"/>
        </w:numPr>
        <w:tabs>
          <w:tab w:val="num" w:pos="-31680"/>
        </w:tabs>
      </w:pPr>
      <w:r>
        <w:t>Construction (Design and Managem</w:t>
      </w:r>
      <w:r w:rsidR="006A62C6">
        <w:t>ent) Regulations 2015 (CDM2015),</w:t>
      </w:r>
    </w:p>
    <w:p w14:paraId="261F225B" w14:textId="596F4219" w:rsidR="00597F44" w:rsidRDefault="00597F44" w:rsidP="00B47FC7">
      <w:pPr>
        <w:pStyle w:val="TSBullet1Square"/>
        <w:numPr>
          <w:ilvl w:val="0"/>
          <w:numId w:val="10"/>
        </w:numPr>
        <w:tabs>
          <w:tab w:val="num" w:pos="-31680"/>
        </w:tabs>
      </w:pPr>
      <w:r>
        <w:t>Section 34 of the Environmental Protection Act 1990</w:t>
      </w:r>
      <w:r w:rsidR="006A62C6">
        <w:t>,</w:t>
      </w:r>
    </w:p>
    <w:p w14:paraId="43F036BA" w14:textId="1C47ACEC" w:rsidR="00597F44" w:rsidRDefault="00597F44" w:rsidP="00B47FC7">
      <w:pPr>
        <w:pStyle w:val="TSBullet1Square"/>
        <w:numPr>
          <w:ilvl w:val="0"/>
          <w:numId w:val="10"/>
        </w:numPr>
        <w:tabs>
          <w:tab w:val="num" w:pos="-31680"/>
        </w:tabs>
      </w:pPr>
      <w:r>
        <w:t>UK Building Act 1984 and Building Regulations 2010</w:t>
      </w:r>
      <w:r w:rsidR="006A62C6">
        <w:t>,</w:t>
      </w:r>
    </w:p>
    <w:p w14:paraId="293A1A85" w14:textId="04C1AC89" w:rsidR="00597F44" w:rsidRDefault="00597F44" w:rsidP="00B47FC7">
      <w:pPr>
        <w:pStyle w:val="TSBullet1Square"/>
        <w:numPr>
          <w:ilvl w:val="0"/>
          <w:numId w:val="10"/>
        </w:numPr>
        <w:tabs>
          <w:tab w:val="num" w:pos="-31680"/>
        </w:tabs>
      </w:pPr>
      <w:r>
        <w:t>Lifting Operations and Lifting Equipment Regulations 1998 (LOLER 1998)</w:t>
      </w:r>
      <w:r w:rsidR="006A62C6">
        <w:t>,</w:t>
      </w:r>
    </w:p>
    <w:p w14:paraId="351835F6" w14:textId="1504AC3C" w:rsidR="00597F44" w:rsidRDefault="00597F44" w:rsidP="00B47FC7">
      <w:pPr>
        <w:pStyle w:val="TSBullet1Square"/>
        <w:numPr>
          <w:ilvl w:val="0"/>
          <w:numId w:val="10"/>
        </w:numPr>
        <w:tabs>
          <w:tab w:val="num" w:pos="-31680"/>
        </w:tabs>
      </w:pPr>
      <w:r>
        <w:t>Provision and Use of Work Equipment Regulations (PUWER 1998)</w:t>
      </w:r>
      <w:r w:rsidR="006A62C6">
        <w:t>,</w:t>
      </w:r>
    </w:p>
    <w:p w14:paraId="7CDAE971" w14:textId="6F503091" w:rsidR="00597F44" w:rsidRDefault="00597F44" w:rsidP="00B47FC7">
      <w:pPr>
        <w:pStyle w:val="TSBullet1Square"/>
        <w:numPr>
          <w:ilvl w:val="0"/>
          <w:numId w:val="10"/>
        </w:numPr>
        <w:tabs>
          <w:tab w:val="num" w:pos="-31680"/>
        </w:tabs>
      </w:pPr>
      <w:r>
        <w:t>The Electricity at Work Regulations 1989</w:t>
      </w:r>
      <w:r w:rsidR="006A62C6">
        <w:t>,</w:t>
      </w:r>
    </w:p>
    <w:p w14:paraId="753A9466" w14:textId="72642269" w:rsidR="00597F44" w:rsidRDefault="00597F44" w:rsidP="00B47FC7">
      <w:pPr>
        <w:pStyle w:val="TSBullet1Square"/>
        <w:numPr>
          <w:ilvl w:val="0"/>
          <w:numId w:val="10"/>
        </w:numPr>
        <w:tabs>
          <w:tab w:val="num" w:pos="-31680"/>
        </w:tabs>
      </w:pPr>
      <w:r w:rsidRPr="00F900EC">
        <w:t xml:space="preserve">Control of Substances Hazardous to Health Regulations </w:t>
      </w:r>
      <w:r>
        <w:t xml:space="preserve">(as amended) </w:t>
      </w:r>
      <w:r w:rsidR="00E67477">
        <w:t>(</w:t>
      </w:r>
      <w:r>
        <w:t>COSHH 2002</w:t>
      </w:r>
      <w:r w:rsidR="00E67477">
        <w:t>)</w:t>
      </w:r>
      <w:r w:rsidR="006A62C6">
        <w:t>,</w:t>
      </w:r>
    </w:p>
    <w:p w14:paraId="7C3EE932" w14:textId="0688FA2D" w:rsidR="00597F44" w:rsidRDefault="00597F44" w:rsidP="00B47FC7">
      <w:pPr>
        <w:pStyle w:val="TSBullet1Square"/>
        <w:numPr>
          <w:ilvl w:val="0"/>
          <w:numId w:val="10"/>
        </w:numPr>
        <w:tabs>
          <w:tab w:val="num" w:pos="-31680"/>
        </w:tabs>
      </w:pPr>
      <w:r>
        <w:t>Working at Height Regulations 2005</w:t>
      </w:r>
      <w:r w:rsidR="006A62C6">
        <w:t>,</w:t>
      </w:r>
    </w:p>
    <w:p w14:paraId="70CD2712" w14:textId="1EF526BD" w:rsidR="001F6166" w:rsidRPr="00BD27CB" w:rsidRDefault="001F6166" w:rsidP="00B47FC7">
      <w:pPr>
        <w:pStyle w:val="TSBullet1Square"/>
        <w:numPr>
          <w:ilvl w:val="0"/>
          <w:numId w:val="10"/>
        </w:numPr>
        <w:tabs>
          <w:tab w:val="num" w:pos="-31680"/>
        </w:tabs>
      </w:pPr>
      <w:r w:rsidRPr="00BD27CB">
        <w:t xml:space="preserve">Dangerous Substances and Explosive Atmospheres Regulations </w:t>
      </w:r>
      <w:r>
        <w:t xml:space="preserve">2002 </w:t>
      </w:r>
      <w:r w:rsidRPr="00BD27CB">
        <w:t>(DSEAR</w:t>
      </w:r>
      <w:r>
        <w:t xml:space="preserve"> 2002</w:t>
      </w:r>
      <w:r w:rsidRPr="00BD27CB">
        <w:t>)</w:t>
      </w:r>
      <w:r w:rsidR="006A62C6">
        <w:t>,</w:t>
      </w:r>
    </w:p>
    <w:p w14:paraId="635C1319" w14:textId="3DDBD0FD" w:rsidR="00597F44" w:rsidRDefault="00597F44" w:rsidP="00B47FC7">
      <w:pPr>
        <w:pStyle w:val="TSBullet1Square"/>
        <w:numPr>
          <w:ilvl w:val="0"/>
          <w:numId w:val="10"/>
        </w:numPr>
        <w:tabs>
          <w:tab w:val="num" w:pos="-31680"/>
        </w:tabs>
      </w:pPr>
      <w:r>
        <w:t>The Confined Spaces Regulations 1997</w:t>
      </w:r>
      <w:r w:rsidR="006A62C6">
        <w:t>,</w:t>
      </w:r>
    </w:p>
    <w:p w14:paraId="1699D30A" w14:textId="34ED59D2" w:rsidR="00597F44" w:rsidRDefault="00597F44" w:rsidP="00B47FC7">
      <w:pPr>
        <w:pStyle w:val="TSBullet1Square"/>
        <w:numPr>
          <w:ilvl w:val="0"/>
          <w:numId w:val="10"/>
        </w:numPr>
        <w:tabs>
          <w:tab w:val="num" w:pos="-31680"/>
        </w:tabs>
      </w:pPr>
      <w:r>
        <w:t>The Waste (England and Wales) Regulations 2011 (as amended), the Hazardous Waste Regulations 2005 and the Controlled Waste Regulations 2012 and the Special Waste Regulations 1996 (for Scotland, SEPA)</w:t>
      </w:r>
      <w:r w:rsidR="006A62C6">
        <w:t>,</w:t>
      </w:r>
    </w:p>
    <w:p w14:paraId="36079758" w14:textId="109B93F3" w:rsidR="00E67477" w:rsidRDefault="00E67477" w:rsidP="00B47FC7">
      <w:pPr>
        <w:pStyle w:val="TSBullet1Square"/>
        <w:numPr>
          <w:ilvl w:val="0"/>
          <w:numId w:val="10"/>
        </w:numPr>
        <w:tabs>
          <w:tab w:val="num" w:pos="-31680"/>
        </w:tabs>
      </w:pPr>
      <w:r>
        <w:t>Control of Asbestos Regulations 2012 (CAR2012) and the Health and Safety at Work (Asbestos) regulations 2016</w:t>
      </w:r>
      <w:r w:rsidR="006A62C6">
        <w:t>,</w:t>
      </w:r>
    </w:p>
    <w:p w14:paraId="762D830C" w14:textId="4D6246D0" w:rsidR="00E67477" w:rsidRDefault="00E67477" w:rsidP="00B47FC7">
      <w:pPr>
        <w:pStyle w:val="TSBullet1Square"/>
        <w:numPr>
          <w:ilvl w:val="0"/>
          <w:numId w:val="10"/>
        </w:numPr>
        <w:tabs>
          <w:tab w:val="num" w:pos="-31680"/>
        </w:tabs>
      </w:pPr>
      <w:r>
        <w:t>Explosives Regulations 2014</w:t>
      </w:r>
      <w:r w:rsidR="006A62C6">
        <w:t>.</w:t>
      </w:r>
    </w:p>
    <w:p w14:paraId="7EF231FE" w14:textId="77777777" w:rsidR="004948D2" w:rsidRPr="004948D2" w:rsidRDefault="004948D2" w:rsidP="004948D2">
      <w:pPr>
        <w:pStyle w:val="TSNumberedParagraph1"/>
        <w:numPr>
          <w:ilvl w:val="0"/>
          <w:numId w:val="12"/>
        </w:numPr>
        <w:tabs>
          <w:tab w:val="clear" w:pos="-31680"/>
        </w:tabs>
        <w:spacing w:before="220"/>
      </w:pPr>
      <w:r w:rsidRPr="0011462E">
        <w:t>Joint ONR / environment regulator guidance</w:t>
      </w:r>
    </w:p>
    <w:p w14:paraId="4E437E7E" w14:textId="5994F6FB" w:rsidR="004948D2" w:rsidRDefault="00B80459" w:rsidP="004948D2">
      <w:pPr>
        <w:pStyle w:val="TSBullet1Square"/>
        <w:numPr>
          <w:ilvl w:val="0"/>
          <w:numId w:val="10"/>
        </w:numPr>
        <w:tabs>
          <w:tab w:val="num" w:pos="-31680"/>
        </w:tabs>
      </w:pPr>
      <w:r w:rsidRPr="0011462E">
        <w:t>EA / SEPA / NRW / ONR ‘</w:t>
      </w:r>
      <w:r w:rsidR="004948D2" w:rsidRPr="0011462E">
        <w:t xml:space="preserve">Joint Regulators’ </w:t>
      </w:r>
      <w:r w:rsidRPr="0011462E">
        <w:t>S</w:t>
      </w:r>
      <w:r w:rsidR="004948D2" w:rsidRPr="0011462E">
        <w:t xml:space="preserve">tatement of </w:t>
      </w:r>
      <w:r w:rsidRPr="0011462E">
        <w:t>C</w:t>
      </w:r>
      <w:r w:rsidR="004948D2" w:rsidRPr="0011462E">
        <w:t xml:space="preserve">ommon </w:t>
      </w:r>
      <w:r w:rsidRPr="0011462E">
        <w:t>U</w:t>
      </w:r>
      <w:r w:rsidR="004948D2" w:rsidRPr="0011462E">
        <w:t xml:space="preserve">nderstanding: Disposal of radioactive waste on nuclear sites by deposit or burial”, </w:t>
      </w:r>
      <w:r w:rsidR="005E5121" w:rsidRPr="0011462E">
        <w:t xml:space="preserve">Nov 2016 </w:t>
      </w:r>
      <w:r w:rsidRPr="0011462E">
        <w:t>http://www.onr.org.uk/documents/2016/joint-regulators-statement.pdf</w:t>
      </w:r>
    </w:p>
    <w:p w14:paraId="21D39F1F" w14:textId="60F15BA4" w:rsidR="00597F44" w:rsidRDefault="00597F44" w:rsidP="00597F44">
      <w:pPr>
        <w:pStyle w:val="TSHeadingNumbered1"/>
        <w:numPr>
          <w:ilvl w:val="1"/>
          <w:numId w:val="11"/>
        </w:numPr>
        <w:tabs>
          <w:tab w:val="clear" w:pos="-31680"/>
        </w:tabs>
        <w:spacing w:before="240"/>
        <w:rPr>
          <w:caps w:val="0"/>
        </w:rPr>
      </w:pPr>
      <w:bookmarkStart w:id="78" w:name="_Toc57895906"/>
      <w:r>
        <w:rPr>
          <w:caps w:val="0"/>
        </w:rPr>
        <w:t xml:space="preserve">Associated </w:t>
      </w:r>
      <w:r w:rsidR="003F08D4">
        <w:rPr>
          <w:caps w:val="0"/>
        </w:rPr>
        <w:t xml:space="preserve">UK </w:t>
      </w:r>
      <w:r>
        <w:rPr>
          <w:caps w:val="0"/>
        </w:rPr>
        <w:t xml:space="preserve">HSE Guidance </w:t>
      </w:r>
      <w:r w:rsidR="00E67477">
        <w:rPr>
          <w:caps w:val="0"/>
        </w:rPr>
        <w:t xml:space="preserve">(L </w:t>
      </w:r>
      <w:r w:rsidR="001E3308">
        <w:rPr>
          <w:caps w:val="0"/>
        </w:rPr>
        <w:t xml:space="preserve">Series, </w:t>
      </w:r>
      <w:r w:rsidR="00E67477">
        <w:rPr>
          <w:caps w:val="0"/>
        </w:rPr>
        <w:t xml:space="preserve">HSG </w:t>
      </w:r>
      <w:r w:rsidR="00DF303A">
        <w:rPr>
          <w:caps w:val="0"/>
        </w:rPr>
        <w:t>S</w:t>
      </w:r>
      <w:r w:rsidR="00E67477">
        <w:rPr>
          <w:caps w:val="0"/>
        </w:rPr>
        <w:t>eries</w:t>
      </w:r>
      <w:r w:rsidR="001E3308">
        <w:rPr>
          <w:caps w:val="0"/>
        </w:rPr>
        <w:t>, INDG Series, RR Series</w:t>
      </w:r>
      <w:r w:rsidR="00E67477">
        <w:rPr>
          <w:caps w:val="0"/>
        </w:rPr>
        <w:t>)</w:t>
      </w:r>
      <w:bookmarkEnd w:id="78"/>
    </w:p>
    <w:p w14:paraId="4A71174B" w14:textId="0228313B" w:rsidR="00E67477" w:rsidRPr="00EA5973" w:rsidRDefault="00E67477" w:rsidP="00EA5973">
      <w:pPr>
        <w:pStyle w:val="NumberedParagraph"/>
        <w:tabs>
          <w:tab w:val="left" w:pos="493"/>
        </w:tabs>
        <w:spacing w:before="60" w:after="60"/>
        <w:ind w:left="720" w:right="175"/>
        <w:jc w:val="left"/>
        <w:rPr>
          <w:rFonts w:cs="Helvetica 45 Light"/>
          <w:b/>
          <w:color w:val="000000"/>
        </w:rPr>
      </w:pPr>
      <w:bookmarkStart w:id="79" w:name="_Toc57895907"/>
      <w:r w:rsidRPr="00EA5973">
        <w:rPr>
          <w:rFonts w:cs="Helvetica 45 Light"/>
          <w:b/>
          <w:color w:val="000000"/>
        </w:rPr>
        <w:t>Legal (L) Series</w:t>
      </w:r>
      <w:bookmarkEnd w:id="79"/>
    </w:p>
    <w:p w14:paraId="721EFBAA" w14:textId="5AA33EC6" w:rsidR="00597F44" w:rsidRDefault="00597F44" w:rsidP="00B47FC7">
      <w:pPr>
        <w:pStyle w:val="TSBullet1Square"/>
        <w:numPr>
          <w:ilvl w:val="0"/>
          <w:numId w:val="10"/>
        </w:numPr>
        <w:tabs>
          <w:tab w:val="num" w:pos="-31680"/>
        </w:tabs>
      </w:pPr>
      <w:r>
        <w:t xml:space="preserve">L153 Managing Health and Safety in Construction Approved Code of practice for CDM 2015 (supersedes L144 Managing Health and safety in construction </w:t>
      </w:r>
      <w:proofErr w:type="spellStart"/>
      <w:r>
        <w:t>ACoP</w:t>
      </w:r>
      <w:proofErr w:type="spellEnd"/>
      <w:r>
        <w:t xml:space="preserve"> for CDM2007)</w:t>
      </w:r>
      <w:r w:rsidR="006A62C6">
        <w:t>,</w:t>
      </w:r>
    </w:p>
    <w:p w14:paraId="29A98F43" w14:textId="43AC1356" w:rsidR="00597F44" w:rsidRPr="00597F44" w:rsidRDefault="00597F44" w:rsidP="00B47FC7">
      <w:pPr>
        <w:pStyle w:val="TSBullet1Square"/>
        <w:numPr>
          <w:ilvl w:val="0"/>
          <w:numId w:val="10"/>
        </w:numPr>
        <w:tabs>
          <w:tab w:val="num" w:pos="-31680"/>
        </w:tabs>
      </w:pPr>
      <w:r w:rsidRPr="00B47FC7">
        <w:t>L101 Safe work in confined spaces. Confined Spaces Regulations 1997 Approved Code of Practice, Regulations and guidance</w:t>
      </w:r>
      <w:r w:rsidR="006A62C6">
        <w:t>,</w:t>
      </w:r>
    </w:p>
    <w:p w14:paraId="795EBA96" w14:textId="3B6EA92D" w:rsidR="00E67477" w:rsidRPr="00B47FC7" w:rsidRDefault="00E67477" w:rsidP="00B47FC7">
      <w:pPr>
        <w:pStyle w:val="TSBullet1Square"/>
        <w:numPr>
          <w:ilvl w:val="0"/>
          <w:numId w:val="10"/>
        </w:numPr>
        <w:tabs>
          <w:tab w:val="num" w:pos="-31680"/>
        </w:tabs>
      </w:pPr>
      <w:r w:rsidRPr="00B47FC7">
        <w:t>L113 Safe use of Lifting Equipment 2014 (LOLER)</w:t>
      </w:r>
      <w:r w:rsidR="006A62C6">
        <w:t>,</w:t>
      </w:r>
    </w:p>
    <w:p w14:paraId="0DCC90DB" w14:textId="1F5D0282" w:rsidR="00597F44" w:rsidRPr="00B47FC7" w:rsidRDefault="00597F44" w:rsidP="00B47FC7">
      <w:pPr>
        <w:pStyle w:val="TSBullet1Square"/>
        <w:numPr>
          <w:ilvl w:val="0"/>
          <w:numId w:val="10"/>
        </w:numPr>
        <w:tabs>
          <w:tab w:val="num" w:pos="-31680"/>
        </w:tabs>
      </w:pPr>
      <w:r w:rsidRPr="00B47FC7">
        <w:t>L22 Safe use of Work Equipment 2014 (PUWER), INDG291 Providing and using work equipment safely: a brief guide</w:t>
      </w:r>
      <w:r w:rsidR="006A62C6">
        <w:t>,</w:t>
      </w:r>
    </w:p>
    <w:p w14:paraId="1F640438" w14:textId="652E50CC" w:rsidR="00E67477" w:rsidRPr="00B47FC7" w:rsidRDefault="00597F44" w:rsidP="00B47FC7">
      <w:pPr>
        <w:pStyle w:val="TSBullet1Square"/>
        <w:numPr>
          <w:ilvl w:val="0"/>
          <w:numId w:val="10"/>
        </w:numPr>
        <w:tabs>
          <w:tab w:val="num" w:pos="-31680"/>
        </w:tabs>
      </w:pPr>
      <w:r>
        <w:t xml:space="preserve">L5 Control of substances hazardous to health 2013 (COSHH), HSG97 A step by step guide to COSHH Assessment and INDG136 Working with Substances hazardous to </w:t>
      </w:r>
      <w:r w:rsidR="000E29A8">
        <w:t>health:</w:t>
      </w:r>
      <w:r>
        <w:t xml:space="preserve"> a brief guide to COSHH 2012</w:t>
      </w:r>
      <w:r w:rsidR="006A62C6">
        <w:t>,</w:t>
      </w:r>
    </w:p>
    <w:p w14:paraId="32EDDE6F" w14:textId="7185EBEE" w:rsidR="00E67477" w:rsidRPr="00B47FC7" w:rsidRDefault="00E67477" w:rsidP="00B47FC7">
      <w:pPr>
        <w:pStyle w:val="TSBullet1Square"/>
        <w:numPr>
          <w:ilvl w:val="0"/>
          <w:numId w:val="10"/>
        </w:numPr>
        <w:tabs>
          <w:tab w:val="num" w:pos="-31680"/>
        </w:tabs>
      </w:pPr>
      <w:r w:rsidRPr="00B47FC7">
        <w:lastRenderedPageBreak/>
        <w:t>L143 Control of Asbestos Regulations 2012 Approved Code of Practice, Regulations and guidance, HSG210 Asbestos Essentials</w:t>
      </w:r>
      <w:r w:rsidR="006A62C6">
        <w:t>,</w:t>
      </w:r>
    </w:p>
    <w:p w14:paraId="285EC408" w14:textId="39B90E16" w:rsidR="00E67477" w:rsidRPr="00B47FC7" w:rsidRDefault="00E67477" w:rsidP="00B47FC7">
      <w:pPr>
        <w:pStyle w:val="TSBullet1Square"/>
        <w:numPr>
          <w:ilvl w:val="0"/>
          <w:numId w:val="10"/>
        </w:numPr>
        <w:tabs>
          <w:tab w:val="num" w:pos="-31680"/>
        </w:tabs>
      </w:pPr>
      <w:r w:rsidRPr="00B47FC7">
        <w:t>L140 Hand-arm vibration 2005, HSG170 Vibration solutions 1997 Practical ways to reduce hand-arm vibration</w:t>
      </w:r>
      <w:r w:rsidR="006A62C6">
        <w:t>,</w:t>
      </w:r>
    </w:p>
    <w:p w14:paraId="569327F1" w14:textId="0B5E28F4" w:rsidR="00E67477" w:rsidRPr="00B47FC7" w:rsidRDefault="00E67477" w:rsidP="00B47FC7">
      <w:pPr>
        <w:pStyle w:val="TSBullet1Square"/>
        <w:numPr>
          <w:ilvl w:val="0"/>
          <w:numId w:val="10"/>
        </w:numPr>
        <w:tabs>
          <w:tab w:val="num" w:pos="-31680"/>
        </w:tabs>
      </w:pPr>
      <w:r w:rsidRPr="00B47FC7">
        <w:t>L150 Explosives Regulations 2014 Safety provisions and L151 Explosives Regulations 2013 Security provisions</w:t>
      </w:r>
      <w:r w:rsidR="006A62C6">
        <w:t>,</w:t>
      </w:r>
    </w:p>
    <w:p w14:paraId="55275298" w14:textId="3655CCA4" w:rsidR="00597F44" w:rsidRPr="00B47FC7" w:rsidRDefault="00E67477" w:rsidP="00B47FC7">
      <w:pPr>
        <w:pStyle w:val="TSBullet1Square"/>
        <w:numPr>
          <w:ilvl w:val="0"/>
          <w:numId w:val="10"/>
        </w:numPr>
        <w:tabs>
          <w:tab w:val="num" w:pos="-31680"/>
        </w:tabs>
      </w:pPr>
      <w:r w:rsidRPr="00B47FC7">
        <w:t>L138 Dangerous substances and explosive atmospheres (DSEAR), HSG168 Fire safety in Construction, INDG370 Controlling fire and explosion risks in the workplace</w:t>
      </w:r>
      <w:r w:rsidR="006A62C6">
        <w:t>.</w:t>
      </w:r>
    </w:p>
    <w:p w14:paraId="2347E1E7" w14:textId="19F10C0E" w:rsidR="00E67477" w:rsidRPr="00E67477" w:rsidRDefault="00E67477" w:rsidP="00E67477">
      <w:pPr>
        <w:pStyle w:val="NumberedParagraph"/>
        <w:tabs>
          <w:tab w:val="left" w:pos="493"/>
        </w:tabs>
        <w:spacing w:before="60" w:after="60"/>
        <w:ind w:left="720" w:right="175"/>
        <w:jc w:val="left"/>
        <w:rPr>
          <w:rFonts w:cs="Helvetica 45 Light"/>
          <w:b/>
          <w:color w:val="000000"/>
        </w:rPr>
      </w:pPr>
      <w:r w:rsidRPr="00E67477">
        <w:rPr>
          <w:rFonts w:cs="Helvetica 45 Light"/>
          <w:b/>
          <w:color w:val="000000"/>
        </w:rPr>
        <w:t>Health and Safety Guide (HSG) Series</w:t>
      </w:r>
    </w:p>
    <w:p w14:paraId="6AF9F386" w14:textId="14988BAB" w:rsidR="00597F44" w:rsidRPr="00B47FC7" w:rsidRDefault="00597F44" w:rsidP="00B47FC7">
      <w:pPr>
        <w:pStyle w:val="TSBullet1Square"/>
        <w:numPr>
          <w:ilvl w:val="0"/>
          <w:numId w:val="10"/>
        </w:numPr>
        <w:tabs>
          <w:tab w:val="num" w:pos="-31680"/>
        </w:tabs>
      </w:pPr>
      <w:r w:rsidRPr="00B47FC7">
        <w:t>HSG85 Electricity at Work Safe Working Practices 2013 and HSR25 the Electricity at Work Regulations 1989</w:t>
      </w:r>
      <w:r w:rsidR="006A62C6">
        <w:t>,</w:t>
      </w:r>
    </w:p>
    <w:p w14:paraId="120042DC" w14:textId="3B32DBAA" w:rsidR="00597F44" w:rsidRPr="00B47FC7" w:rsidRDefault="00597F44" w:rsidP="00B47FC7">
      <w:pPr>
        <w:pStyle w:val="TSBullet1Square"/>
        <w:numPr>
          <w:ilvl w:val="0"/>
          <w:numId w:val="10"/>
        </w:numPr>
        <w:tabs>
          <w:tab w:val="num" w:pos="-31680"/>
        </w:tabs>
      </w:pPr>
      <w:r w:rsidRPr="00B47FC7">
        <w:t>HSG65 Managing for Health and Safety 2013, HSG 159 Managing Contractors</w:t>
      </w:r>
      <w:r w:rsidR="006A62C6">
        <w:t>,</w:t>
      </w:r>
    </w:p>
    <w:p w14:paraId="2F11AA0B" w14:textId="43143399" w:rsidR="00597F44" w:rsidRPr="00B47FC7" w:rsidRDefault="00597F44" w:rsidP="00B47FC7">
      <w:pPr>
        <w:pStyle w:val="TSBullet1Square"/>
        <w:numPr>
          <w:ilvl w:val="0"/>
          <w:numId w:val="10"/>
        </w:numPr>
        <w:tabs>
          <w:tab w:val="num" w:pos="-31680"/>
        </w:tabs>
      </w:pPr>
      <w:r w:rsidRPr="00B47FC7">
        <w:t xml:space="preserve">HSG268 The health and safety </w:t>
      </w:r>
      <w:r w:rsidR="000E29A8" w:rsidRPr="00B47FC7">
        <w:t>toolbox:</w:t>
      </w:r>
      <w:r w:rsidRPr="00B47FC7">
        <w:t xml:space="preserve"> how to control risks at work 2014</w:t>
      </w:r>
      <w:r w:rsidR="006A62C6">
        <w:t>,</w:t>
      </w:r>
    </w:p>
    <w:p w14:paraId="2FF3D13E" w14:textId="12A5E8C7" w:rsidR="00597F44" w:rsidRDefault="00597F44" w:rsidP="00B47FC7">
      <w:pPr>
        <w:pStyle w:val="TSBullet1Square"/>
        <w:numPr>
          <w:ilvl w:val="0"/>
          <w:numId w:val="10"/>
        </w:numPr>
        <w:tabs>
          <w:tab w:val="num" w:pos="-31680"/>
        </w:tabs>
      </w:pPr>
      <w:r>
        <w:t>HSG</w:t>
      </w:r>
      <w:r w:rsidRPr="00597F44">
        <w:t>264 Demol</w:t>
      </w:r>
      <w:r>
        <w:t>ition and Refurbishment surveys</w:t>
      </w:r>
      <w:r w:rsidR="006A62C6">
        <w:t>.</w:t>
      </w:r>
    </w:p>
    <w:p w14:paraId="21973186" w14:textId="5E879F33" w:rsidR="001E3308" w:rsidRPr="00E67477" w:rsidRDefault="001E3308" w:rsidP="001E3308">
      <w:pPr>
        <w:pStyle w:val="NumberedParagraph"/>
        <w:tabs>
          <w:tab w:val="left" w:pos="493"/>
        </w:tabs>
        <w:spacing w:before="60" w:after="60"/>
        <w:ind w:left="720" w:right="175"/>
        <w:jc w:val="left"/>
        <w:rPr>
          <w:rFonts w:cs="Helvetica 45 Light"/>
          <w:b/>
          <w:color w:val="000000"/>
        </w:rPr>
      </w:pPr>
      <w:r>
        <w:rPr>
          <w:rFonts w:cs="Helvetica 45 Light"/>
          <w:b/>
          <w:color w:val="000000"/>
        </w:rPr>
        <w:t xml:space="preserve">Industrial Guidance </w:t>
      </w:r>
      <w:r w:rsidRPr="00E67477">
        <w:rPr>
          <w:rFonts w:cs="Helvetica 45 Light"/>
          <w:b/>
          <w:color w:val="000000"/>
        </w:rPr>
        <w:t>(</w:t>
      </w:r>
      <w:r>
        <w:rPr>
          <w:rFonts w:cs="Helvetica 45 Light"/>
          <w:b/>
          <w:color w:val="000000"/>
        </w:rPr>
        <w:t>INDG</w:t>
      </w:r>
      <w:r w:rsidRPr="00E67477">
        <w:rPr>
          <w:rFonts w:cs="Helvetica 45 Light"/>
          <w:b/>
          <w:color w:val="000000"/>
        </w:rPr>
        <w:t>) Series</w:t>
      </w:r>
    </w:p>
    <w:p w14:paraId="633EB2F0" w14:textId="01DFC921" w:rsidR="001E3308" w:rsidRDefault="001E3308" w:rsidP="001E3308">
      <w:pPr>
        <w:pStyle w:val="TSBullet1Square"/>
        <w:numPr>
          <w:ilvl w:val="0"/>
          <w:numId w:val="10"/>
        </w:numPr>
        <w:tabs>
          <w:tab w:val="num" w:pos="-31680"/>
        </w:tabs>
      </w:pPr>
      <w:r>
        <w:t>HSE Industrial Guidance INDG401 Working at Height, a brief guide</w:t>
      </w:r>
      <w:r w:rsidR="006A62C6">
        <w:t>.</w:t>
      </w:r>
    </w:p>
    <w:p w14:paraId="3F878220" w14:textId="74426BF5" w:rsidR="001E3308" w:rsidRPr="00E67477" w:rsidRDefault="001E3308" w:rsidP="001E3308">
      <w:pPr>
        <w:pStyle w:val="NumberedParagraph"/>
        <w:tabs>
          <w:tab w:val="left" w:pos="493"/>
        </w:tabs>
        <w:spacing w:before="60" w:after="60"/>
        <w:ind w:left="720" w:right="175"/>
        <w:jc w:val="left"/>
        <w:rPr>
          <w:rFonts w:cs="Helvetica 45 Light"/>
          <w:b/>
          <w:color w:val="000000"/>
        </w:rPr>
      </w:pPr>
      <w:r>
        <w:rPr>
          <w:rFonts w:cs="Helvetica 45 Light"/>
          <w:b/>
          <w:color w:val="000000"/>
        </w:rPr>
        <w:t>Research Report</w:t>
      </w:r>
      <w:r w:rsidRPr="00E67477">
        <w:rPr>
          <w:rFonts w:cs="Helvetica 45 Light"/>
          <w:b/>
          <w:color w:val="000000"/>
        </w:rPr>
        <w:t xml:space="preserve"> (</w:t>
      </w:r>
      <w:r>
        <w:rPr>
          <w:rFonts w:cs="Helvetica 45 Light"/>
          <w:b/>
          <w:color w:val="000000"/>
        </w:rPr>
        <w:t>RR</w:t>
      </w:r>
      <w:r w:rsidRPr="00E67477">
        <w:rPr>
          <w:rFonts w:cs="Helvetica 45 Light"/>
          <w:b/>
          <w:color w:val="000000"/>
        </w:rPr>
        <w:t>) Series</w:t>
      </w:r>
    </w:p>
    <w:p w14:paraId="77639B18" w14:textId="13C1FE61" w:rsidR="009E2791" w:rsidRDefault="001E3308" w:rsidP="001E3308">
      <w:pPr>
        <w:pStyle w:val="TSBullet1Square"/>
        <w:numPr>
          <w:ilvl w:val="0"/>
          <w:numId w:val="10"/>
        </w:numPr>
        <w:tabs>
          <w:tab w:val="num" w:pos="-31680"/>
        </w:tabs>
      </w:pPr>
      <w:r w:rsidRPr="001E3308">
        <w:t>HSE Research Report RR834 preventing cata</w:t>
      </w:r>
      <w:r w:rsidR="006A62C6">
        <w:t>strophic events in construction.</w:t>
      </w:r>
    </w:p>
    <w:p w14:paraId="735DA004" w14:textId="273B1EA6" w:rsidR="008652B8" w:rsidRPr="00133AEF" w:rsidRDefault="00597F44" w:rsidP="00597F44">
      <w:pPr>
        <w:pStyle w:val="TSHeadingNumbered1"/>
        <w:numPr>
          <w:ilvl w:val="1"/>
          <w:numId w:val="11"/>
        </w:numPr>
        <w:tabs>
          <w:tab w:val="clear" w:pos="-31680"/>
        </w:tabs>
        <w:spacing w:before="240"/>
        <w:rPr>
          <w:caps w:val="0"/>
        </w:rPr>
      </w:pPr>
      <w:bookmarkStart w:id="80" w:name="_Toc57895908"/>
      <w:r>
        <w:rPr>
          <w:caps w:val="0"/>
        </w:rPr>
        <w:t xml:space="preserve">International </w:t>
      </w:r>
      <w:r w:rsidR="006668BB" w:rsidRPr="00133AEF">
        <w:rPr>
          <w:caps w:val="0"/>
        </w:rPr>
        <w:t>Guidance</w:t>
      </w:r>
      <w:r w:rsidR="00E67477">
        <w:rPr>
          <w:caps w:val="0"/>
        </w:rPr>
        <w:t xml:space="preserve"> (IAEA and WENRA)</w:t>
      </w:r>
      <w:bookmarkEnd w:id="80"/>
    </w:p>
    <w:p w14:paraId="4FCCDC3B" w14:textId="42290547" w:rsidR="00093C91" w:rsidRDefault="00093C91" w:rsidP="002833AC">
      <w:pPr>
        <w:pStyle w:val="TSNumberedParagraph1"/>
        <w:numPr>
          <w:ilvl w:val="0"/>
          <w:numId w:val="12"/>
        </w:numPr>
        <w:spacing w:before="220"/>
      </w:pPr>
      <w:bookmarkStart w:id="81" w:name="_Ref505780155"/>
      <w:r>
        <w:t>Nuclear</w:t>
      </w:r>
      <w:r w:rsidR="00597F44">
        <w:t xml:space="preserve"> decommissioning</w:t>
      </w:r>
      <w:r>
        <w:t xml:space="preserve"> specific</w:t>
      </w:r>
      <w:r w:rsidR="00E67477">
        <w:t xml:space="preserve"> IAEA international</w:t>
      </w:r>
      <w:r>
        <w:t xml:space="preserve"> guidance can be found in:</w:t>
      </w:r>
    </w:p>
    <w:p w14:paraId="34BC94AE" w14:textId="6CDC3CB5" w:rsidR="0066170C" w:rsidRPr="00B1477D" w:rsidRDefault="00787A1D" w:rsidP="0066170C">
      <w:pPr>
        <w:pStyle w:val="NumberedParagraph"/>
        <w:tabs>
          <w:tab w:val="left" w:pos="493"/>
        </w:tabs>
        <w:spacing w:before="60" w:after="60"/>
        <w:ind w:left="720" w:right="175" w:hanging="720"/>
        <w:jc w:val="left"/>
        <w:rPr>
          <w:b/>
        </w:rPr>
      </w:pPr>
      <w:r>
        <w:tab/>
      </w:r>
      <w:r>
        <w:tab/>
      </w:r>
      <w:r w:rsidR="0066170C" w:rsidRPr="00B1477D">
        <w:rPr>
          <w:b/>
        </w:rPr>
        <w:t>General Safety Requirement</w:t>
      </w:r>
    </w:p>
    <w:p w14:paraId="79017C55" w14:textId="2F73A571" w:rsidR="00B47E28" w:rsidRDefault="00B47E28" w:rsidP="00B47FC7">
      <w:pPr>
        <w:pStyle w:val="TSBullet1Square"/>
        <w:numPr>
          <w:ilvl w:val="0"/>
          <w:numId w:val="10"/>
        </w:numPr>
        <w:tabs>
          <w:tab w:val="num" w:pos="-31680"/>
        </w:tabs>
      </w:pPr>
      <w:r w:rsidRPr="00B47E28">
        <w:t xml:space="preserve">IAEA GSR Part 6 </w:t>
      </w:r>
      <w:r w:rsidR="003F08D4">
        <w:t>“</w:t>
      </w:r>
      <w:r w:rsidRPr="00B47E28">
        <w:t>Decommissioning of Facilities</w:t>
      </w:r>
      <w:r w:rsidR="003F08D4">
        <w:t>”</w:t>
      </w:r>
      <w:r w:rsidR="006A62C6">
        <w:t>.</w:t>
      </w:r>
    </w:p>
    <w:p w14:paraId="4D1C8CBD" w14:textId="5811EE6D" w:rsidR="0066170C" w:rsidRPr="00B1477D" w:rsidRDefault="00787A1D" w:rsidP="0066170C">
      <w:pPr>
        <w:pStyle w:val="NumberedParagraph"/>
        <w:tabs>
          <w:tab w:val="left" w:pos="493"/>
        </w:tabs>
        <w:spacing w:before="60" w:after="60"/>
        <w:ind w:left="720" w:right="175" w:hanging="720"/>
        <w:jc w:val="left"/>
        <w:rPr>
          <w:b/>
        </w:rPr>
      </w:pPr>
      <w:r>
        <w:tab/>
      </w:r>
      <w:r>
        <w:tab/>
      </w:r>
      <w:r w:rsidR="0066170C" w:rsidRPr="00B1477D">
        <w:rPr>
          <w:b/>
        </w:rPr>
        <w:t>Safety Guide</w:t>
      </w:r>
    </w:p>
    <w:p w14:paraId="183703B1" w14:textId="029EBBEB" w:rsidR="00093C91" w:rsidRDefault="00093C91" w:rsidP="00B47FC7">
      <w:pPr>
        <w:pStyle w:val="TSBullet1Square"/>
        <w:numPr>
          <w:ilvl w:val="0"/>
          <w:numId w:val="10"/>
        </w:numPr>
        <w:tabs>
          <w:tab w:val="num" w:pos="-31680"/>
        </w:tabs>
      </w:pPr>
      <w:r>
        <w:t xml:space="preserve">IAEA SSG-47 </w:t>
      </w:r>
      <w:r w:rsidR="003F08D4">
        <w:t>“</w:t>
      </w:r>
      <w:r>
        <w:t>Decommissioning of Nuclear Power Plants, Research Reactors and other Nuclear Fuel Cycle Facilities</w:t>
      </w:r>
      <w:r w:rsidR="003F08D4">
        <w:t>”</w:t>
      </w:r>
      <w:r w:rsidR="006A62C6">
        <w:t>,</w:t>
      </w:r>
    </w:p>
    <w:p w14:paraId="3DBFFBD6" w14:textId="1E9BCE03" w:rsidR="0066170C" w:rsidRDefault="0066170C" w:rsidP="00B47FC7">
      <w:pPr>
        <w:pStyle w:val="TSBullet1Square"/>
        <w:numPr>
          <w:ilvl w:val="0"/>
          <w:numId w:val="10"/>
        </w:numPr>
        <w:tabs>
          <w:tab w:val="num" w:pos="-31680"/>
        </w:tabs>
      </w:pPr>
      <w:r>
        <w:t xml:space="preserve">IAEA Safety Guide No. WS-G-5.1 </w:t>
      </w:r>
      <w:r w:rsidR="003F08D4">
        <w:t>“</w:t>
      </w:r>
      <w:r>
        <w:t>Release of Sites from Regulatory Control on Termination of Practices</w:t>
      </w:r>
      <w:r w:rsidR="003F08D4">
        <w:t>”</w:t>
      </w:r>
      <w:r w:rsidR="006A62C6">
        <w:t>.</w:t>
      </w:r>
    </w:p>
    <w:p w14:paraId="3700007D" w14:textId="4B03983B" w:rsidR="00E67477" w:rsidRPr="00B1477D" w:rsidRDefault="00E67477" w:rsidP="00E67477">
      <w:pPr>
        <w:pStyle w:val="NumberedParagraph"/>
        <w:tabs>
          <w:tab w:val="left" w:pos="493"/>
        </w:tabs>
        <w:spacing w:before="60" w:after="60"/>
        <w:ind w:left="720" w:right="175"/>
        <w:jc w:val="left"/>
        <w:rPr>
          <w:b/>
        </w:rPr>
      </w:pPr>
      <w:r w:rsidRPr="00B1477D">
        <w:rPr>
          <w:b/>
        </w:rPr>
        <w:t>WENRA</w:t>
      </w:r>
      <w:r w:rsidR="00B1477D">
        <w:rPr>
          <w:b/>
        </w:rPr>
        <w:t xml:space="preserve"> </w:t>
      </w:r>
      <w:r w:rsidR="003240D2">
        <w:rPr>
          <w:b/>
        </w:rPr>
        <w:t xml:space="preserve">Safety </w:t>
      </w:r>
      <w:r w:rsidR="00B1477D">
        <w:rPr>
          <w:b/>
        </w:rPr>
        <w:t>Reference Levels</w:t>
      </w:r>
    </w:p>
    <w:p w14:paraId="30D92487" w14:textId="00A35635" w:rsidR="00E67477" w:rsidRDefault="00E67477" w:rsidP="00B47FC7">
      <w:pPr>
        <w:pStyle w:val="TSBullet1Square"/>
        <w:numPr>
          <w:ilvl w:val="0"/>
          <w:numId w:val="10"/>
        </w:numPr>
        <w:tabs>
          <w:tab w:val="num" w:pos="-31680"/>
        </w:tabs>
      </w:pPr>
      <w:r>
        <w:t>Decommissioning Safety Reference Levels</w:t>
      </w:r>
      <w:r w:rsidR="006A62C6">
        <w:t>,</w:t>
      </w:r>
      <w:r w:rsidR="003240D2">
        <w:t xml:space="preserve"> (see table in Appendix A)</w:t>
      </w:r>
    </w:p>
    <w:p w14:paraId="60A48CAA" w14:textId="659DFD19" w:rsidR="00E67477" w:rsidRDefault="00E67477" w:rsidP="00B47FC7">
      <w:pPr>
        <w:pStyle w:val="TSBullet1Square"/>
        <w:numPr>
          <w:ilvl w:val="0"/>
          <w:numId w:val="10"/>
        </w:numPr>
        <w:tabs>
          <w:tab w:val="num" w:pos="-31680"/>
        </w:tabs>
      </w:pPr>
      <w:r>
        <w:t>Waste and Spent Fuel Storage Safety Reference levels</w:t>
      </w:r>
      <w:r w:rsidR="006A62C6">
        <w:t>.</w:t>
      </w:r>
    </w:p>
    <w:p w14:paraId="24EEFE2C" w14:textId="3468EBEB" w:rsidR="00787A1D" w:rsidRDefault="00787A1D" w:rsidP="00787A1D">
      <w:pPr>
        <w:pStyle w:val="TSNumberedParagraph1"/>
        <w:numPr>
          <w:ilvl w:val="0"/>
          <w:numId w:val="12"/>
        </w:numPr>
        <w:tabs>
          <w:tab w:val="clear" w:pos="-31680"/>
        </w:tabs>
        <w:spacing w:before="220"/>
      </w:pPr>
      <w:r>
        <w:t>Nuclear decommissioning specific IAEA reports can be found in:</w:t>
      </w:r>
    </w:p>
    <w:p w14:paraId="7F99B63F" w14:textId="34365F8F" w:rsidR="00787A1D" w:rsidRDefault="00787A1D" w:rsidP="00B1477D">
      <w:pPr>
        <w:pStyle w:val="NumberedParagraph"/>
        <w:tabs>
          <w:tab w:val="left" w:pos="493"/>
        </w:tabs>
        <w:spacing w:before="60" w:after="60"/>
        <w:ind w:left="720" w:right="175"/>
        <w:jc w:val="left"/>
      </w:pPr>
      <w:r w:rsidRPr="00B1477D">
        <w:rPr>
          <w:b/>
        </w:rPr>
        <w:t>Technical Report</w:t>
      </w:r>
    </w:p>
    <w:p w14:paraId="46F18E0A" w14:textId="790387FD" w:rsidR="00787A1D" w:rsidRDefault="00787A1D" w:rsidP="001E3308">
      <w:pPr>
        <w:pStyle w:val="TSBullet1Square"/>
        <w:numPr>
          <w:ilvl w:val="0"/>
          <w:numId w:val="10"/>
        </w:numPr>
        <w:tabs>
          <w:tab w:val="num" w:pos="-31680"/>
        </w:tabs>
      </w:pPr>
      <w:r>
        <w:t>IAEA Technical Reports Series No. 395 “State of the Art Technology for Decontamination and Dismantling of Nuclear Facilities”</w:t>
      </w:r>
      <w:r w:rsidR="006A62C6">
        <w:t>,</w:t>
      </w:r>
    </w:p>
    <w:p w14:paraId="3BE2F8EA" w14:textId="1784E1EF" w:rsidR="00787A1D" w:rsidRDefault="00787A1D" w:rsidP="001E3308">
      <w:pPr>
        <w:pStyle w:val="TSBullet1Square"/>
        <w:numPr>
          <w:ilvl w:val="0"/>
          <w:numId w:val="10"/>
        </w:numPr>
        <w:tabs>
          <w:tab w:val="num" w:pos="-31680"/>
        </w:tabs>
      </w:pPr>
      <w:r>
        <w:t>IAEA Technical Reports Series No. 439 “Decommissioning of Underground Structures, Systems and Components”</w:t>
      </w:r>
      <w:r w:rsidR="006A62C6">
        <w:t>,</w:t>
      </w:r>
    </w:p>
    <w:p w14:paraId="0D73F656" w14:textId="5FDC4C63" w:rsidR="00787A1D" w:rsidRDefault="00787A1D" w:rsidP="001E3308">
      <w:pPr>
        <w:pStyle w:val="TSBullet1Square"/>
        <w:numPr>
          <w:ilvl w:val="0"/>
          <w:numId w:val="10"/>
        </w:numPr>
        <w:tabs>
          <w:tab w:val="num" w:pos="-31680"/>
        </w:tabs>
      </w:pPr>
      <w:r>
        <w:t>IAEA Technical Reports Series No. 440 “Dismantling of Contaminated Stacks at Nuclear Facilities”</w:t>
      </w:r>
      <w:r w:rsidR="006A62C6">
        <w:t>.</w:t>
      </w:r>
    </w:p>
    <w:p w14:paraId="06BBF2B5" w14:textId="77777777" w:rsidR="00252161" w:rsidRDefault="00252161">
      <w:pPr>
        <w:rPr>
          <w:rFonts w:cs="Arial"/>
          <w:b/>
          <w:szCs w:val="22"/>
        </w:rPr>
      </w:pPr>
      <w:r>
        <w:rPr>
          <w:b/>
        </w:rPr>
        <w:br w:type="page"/>
      </w:r>
    </w:p>
    <w:p w14:paraId="34BE061A" w14:textId="4BB55648" w:rsidR="00787A1D" w:rsidRPr="00B1477D" w:rsidRDefault="00787A1D" w:rsidP="00787A1D">
      <w:pPr>
        <w:pStyle w:val="NumberedParagraph"/>
        <w:tabs>
          <w:tab w:val="left" w:pos="493"/>
        </w:tabs>
        <w:spacing w:before="60" w:after="60"/>
        <w:ind w:left="720" w:right="175"/>
        <w:jc w:val="left"/>
        <w:rPr>
          <w:b/>
        </w:rPr>
      </w:pPr>
      <w:r w:rsidRPr="00B1477D">
        <w:rPr>
          <w:b/>
        </w:rPr>
        <w:lastRenderedPageBreak/>
        <w:t>Nuclear Energy Series</w:t>
      </w:r>
    </w:p>
    <w:p w14:paraId="78FCEA82" w14:textId="216B6582" w:rsidR="00787A1D" w:rsidRDefault="00787A1D" w:rsidP="001E3308">
      <w:pPr>
        <w:pStyle w:val="TSBullet1Square"/>
        <w:numPr>
          <w:ilvl w:val="0"/>
          <w:numId w:val="10"/>
        </w:numPr>
        <w:tabs>
          <w:tab w:val="num" w:pos="-31680"/>
        </w:tabs>
      </w:pPr>
      <w:r>
        <w:t>IAEA Nuclear Energy Series No. NW-G-2.1 “Policies and Strategies for the Decommissioning of Nuclear and Radiological Facilities”</w:t>
      </w:r>
      <w:r w:rsidR="006A62C6">
        <w:t>,</w:t>
      </w:r>
    </w:p>
    <w:p w14:paraId="6A8D4902" w14:textId="0BAAD852" w:rsidR="00025F09" w:rsidRDefault="00025F09" w:rsidP="001E3308">
      <w:pPr>
        <w:pStyle w:val="TSBullet1Square"/>
        <w:numPr>
          <w:ilvl w:val="0"/>
          <w:numId w:val="10"/>
        </w:numPr>
        <w:tabs>
          <w:tab w:val="num" w:pos="-31680"/>
        </w:tabs>
      </w:pPr>
      <w:r>
        <w:t>IAEA Nuclear Energy Series No. NW-T-2.6 “Decommissioning of Pools in Nuclear Facilities”,</w:t>
      </w:r>
    </w:p>
    <w:p w14:paraId="19BD7FFB" w14:textId="3021E326" w:rsidR="00787A1D" w:rsidRDefault="00787A1D" w:rsidP="001E3308">
      <w:pPr>
        <w:pStyle w:val="TSBullet1Square"/>
        <w:numPr>
          <w:ilvl w:val="0"/>
          <w:numId w:val="10"/>
        </w:numPr>
        <w:tabs>
          <w:tab w:val="num" w:pos="-31680"/>
        </w:tabs>
      </w:pPr>
      <w:r>
        <w:t>IAEA Nuclear Energy Series No. NW-T-2.10 “Decommissioning after a Nuclear Accident: Approaches, Techniques, Practices and Implementation Considerations”</w:t>
      </w:r>
      <w:r w:rsidR="006A62C6">
        <w:t>.</w:t>
      </w:r>
    </w:p>
    <w:p w14:paraId="683D406E" w14:textId="5E881C2C" w:rsidR="00597F44" w:rsidRPr="00133AEF" w:rsidRDefault="00597F44" w:rsidP="00597F44">
      <w:pPr>
        <w:pStyle w:val="TSHeadingNumbered1"/>
        <w:numPr>
          <w:ilvl w:val="1"/>
          <w:numId w:val="11"/>
        </w:numPr>
        <w:tabs>
          <w:tab w:val="clear" w:pos="-31680"/>
        </w:tabs>
        <w:spacing w:before="240"/>
        <w:rPr>
          <w:caps w:val="0"/>
        </w:rPr>
      </w:pPr>
      <w:bookmarkStart w:id="82" w:name="_Toc57895909"/>
      <w:r>
        <w:rPr>
          <w:caps w:val="0"/>
        </w:rPr>
        <w:t xml:space="preserve">Design </w:t>
      </w:r>
      <w:r w:rsidR="006A62C6">
        <w:rPr>
          <w:caps w:val="0"/>
        </w:rPr>
        <w:t>s</w:t>
      </w:r>
      <w:r w:rsidRPr="00133AEF">
        <w:rPr>
          <w:caps w:val="0"/>
        </w:rPr>
        <w:t>tandards</w:t>
      </w:r>
      <w:r>
        <w:rPr>
          <w:caps w:val="0"/>
        </w:rPr>
        <w:t xml:space="preserve"> and industrial guidance</w:t>
      </w:r>
      <w:bookmarkEnd w:id="82"/>
    </w:p>
    <w:p w14:paraId="10DDB9C5" w14:textId="77777777" w:rsidR="00597F44" w:rsidRDefault="00597F44" w:rsidP="00597F44">
      <w:pPr>
        <w:pStyle w:val="TSNumberedParagraph1"/>
        <w:numPr>
          <w:ilvl w:val="0"/>
          <w:numId w:val="12"/>
        </w:numPr>
        <w:spacing w:before="220"/>
      </w:pPr>
      <w:r>
        <w:t xml:space="preserve">Those </w:t>
      </w:r>
      <w:r w:rsidRPr="006668BB">
        <w:t>relating to</w:t>
      </w:r>
      <w:r>
        <w:t xml:space="preserve"> decommissioning and</w:t>
      </w:r>
      <w:r w:rsidRPr="006668BB">
        <w:t xml:space="preserve"> demolition include:</w:t>
      </w:r>
    </w:p>
    <w:p w14:paraId="0513D67E" w14:textId="50940F4E" w:rsidR="00CC3C3B" w:rsidRPr="00B1477D" w:rsidRDefault="00CC3C3B" w:rsidP="00CC3C3B">
      <w:pPr>
        <w:pStyle w:val="TSNumberedParagraph1"/>
        <w:spacing w:before="220" w:after="0"/>
        <w:ind w:left="720"/>
        <w:rPr>
          <w:b/>
        </w:rPr>
      </w:pPr>
      <w:r w:rsidRPr="00B1477D">
        <w:rPr>
          <w:b/>
        </w:rPr>
        <w:t>Design standards</w:t>
      </w:r>
    </w:p>
    <w:p w14:paraId="252C6D12" w14:textId="26ADA372" w:rsidR="00597F44" w:rsidRDefault="00597F44" w:rsidP="001E3308">
      <w:pPr>
        <w:pStyle w:val="TSBullet1Square"/>
        <w:numPr>
          <w:ilvl w:val="0"/>
          <w:numId w:val="10"/>
        </w:numPr>
        <w:tabs>
          <w:tab w:val="num" w:pos="-31680"/>
        </w:tabs>
      </w:pPr>
      <w:r>
        <w:t>BS 6187:2011 Code of Practice for Full and Partial Demolition</w:t>
      </w:r>
      <w:r w:rsidR="006A62C6">
        <w:t>,</w:t>
      </w:r>
    </w:p>
    <w:p w14:paraId="34610F5A" w14:textId="6B9125A2" w:rsidR="00597F44" w:rsidRDefault="00597F44" w:rsidP="001E3308">
      <w:pPr>
        <w:pStyle w:val="TSBullet1Square"/>
        <w:numPr>
          <w:ilvl w:val="0"/>
          <w:numId w:val="10"/>
        </w:numPr>
        <w:tabs>
          <w:tab w:val="num" w:pos="-31680"/>
        </w:tabs>
      </w:pPr>
      <w:r>
        <w:t>BS 5607:2017 Code of Practice for the Use of Explosiv</w:t>
      </w:r>
      <w:r w:rsidR="006A62C6">
        <w:t>es in the Construction Industry,</w:t>
      </w:r>
    </w:p>
    <w:p w14:paraId="0A96B1EF" w14:textId="3A5D9F54" w:rsidR="00597F44" w:rsidRDefault="00597F44" w:rsidP="001E3308">
      <w:pPr>
        <w:pStyle w:val="TSBullet1Square"/>
        <w:numPr>
          <w:ilvl w:val="0"/>
          <w:numId w:val="10"/>
        </w:numPr>
        <w:tabs>
          <w:tab w:val="num" w:pos="-31680"/>
        </w:tabs>
      </w:pPr>
      <w:r>
        <w:t>BS EN 1991-1-4:2005 +A1 2010 Eurocode 1 Actions on structures: wind loads e.g. considering dominant openings for demolition activities</w:t>
      </w:r>
      <w:r w:rsidR="006A62C6">
        <w:t>,</w:t>
      </w:r>
    </w:p>
    <w:p w14:paraId="5300DB04" w14:textId="34B62D83" w:rsidR="00597F44" w:rsidRDefault="00597F44" w:rsidP="001E3308">
      <w:pPr>
        <w:pStyle w:val="TSBullet1Square"/>
        <w:numPr>
          <w:ilvl w:val="0"/>
          <w:numId w:val="10"/>
        </w:numPr>
        <w:tabs>
          <w:tab w:val="num" w:pos="-31680"/>
        </w:tabs>
      </w:pPr>
      <w:r>
        <w:t>BS 8560:2012 Code of Practice for the design of buildings incorporating safe working at height</w:t>
      </w:r>
      <w:r w:rsidR="006A62C6">
        <w:t>,</w:t>
      </w:r>
    </w:p>
    <w:p w14:paraId="5234E72E" w14:textId="4C9BE490" w:rsidR="00597F44" w:rsidRPr="00597F44" w:rsidRDefault="00597F44" w:rsidP="001E3308">
      <w:pPr>
        <w:pStyle w:val="TSBullet1Square"/>
        <w:numPr>
          <w:ilvl w:val="0"/>
          <w:numId w:val="10"/>
        </w:numPr>
        <w:tabs>
          <w:tab w:val="num" w:pos="-31680"/>
        </w:tabs>
      </w:pPr>
      <w:r w:rsidRPr="00597F44">
        <w:t>Historical Codes of Practice used for original desig</w:t>
      </w:r>
      <w:r>
        <w:t xml:space="preserve">n and </w:t>
      </w:r>
      <w:r w:rsidRPr="00597F44">
        <w:t>construction such as BS449, CP 110, CP114, CP115, B</w:t>
      </w:r>
      <w:r w:rsidR="006A62C6">
        <w:t>S 8110, BS 5950 and GS29/Part 1,</w:t>
      </w:r>
    </w:p>
    <w:p w14:paraId="5295A2E1" w14:textId="139C3A36" w:rsidR="00597F44" w:rsidRPr="00597F44" w:rsidRDefault="00597F44" w:rsidP="001E3308">
      <w:pPr>
        <w:pStyle w:val="TSBullet1Square"/>
        <w:numPr>
          <w:ilvl w:val="0"/>
          <w:numId w:val="10"/>
        </w:numPr>
        <w:tabs>
          <w:tab w:val="num" w:pos="-31680"/>
        </w:tabs>
      </w:pPr>
      <w:proofErr w:type="spellStart"/>
      <w:r w:rsidRPr="00597F44">
        <w:t>IStructE</w:t>
      </w:r>
      <w:proofErr w:type="spellEnd"/>
      <w:r w:rsidRPr="00597F44">
        <w:t xml:space="preserve"> guide Appraisal of existing Structures 3rd edition 2010</w:t>
      </w:r>
      <w:r w:rsidR="006A62C6">
        <w:t>,</w:t>
      </w:r>
    </w:p>
    <w:p w14:paraId="51968367" w14:textId="6B71F18C" w:rsidR="00597F44" w:rsidRPr="00597F44" w:rsidRDefault="00597F44" w:rsidP="001E3308">
      <w:pPr>
        <w:pStyle w:val="TSBullet1Square"/>
        <w:numPr>
          <w:ilvl w:val="0"/>
          <w:numId w:val="10"/>
        </w:numPr>
        <w:tabs>
          <w:tab w:val="num" w:pos="-31680"/>
        </w:tabs>
      </w:pPr>
      <w:r w:rsidRPr="00597F44">
        <w:t>ACI 318, Building code requirements for structural concrete</w:t>
      </w:r>
      <w:r w:rsidR="006A62C6">
        <w:t>,</w:t>
      </w:r>
    </w:p>
    <w:p w14:paraId="163BF551" w14:textId="40A57BA2" w:rsidR="009E2791" w:rsidRDefault="00597F44" w:rsidP="001E3308">
      <w:pPr>
        <w:pStyle w:val="TSBullet1Square"/>
        <w:numPr>
          <w:ilvl w:val="0"/>
          <w:numId w:val="10"/>
        </w:numPr>
        <w:tabs>
          <w:tab w:val="num" w:pos="-31680"/>
        </w:tabs>
      </w:pPr>
      <w:r w:rsidRPr="00597F44">
        <w:t>ACI 349, code requirements for nuclear safety related concrete structures, special provision for impulsive and impactive effects.</w:t>
      </w:r>
    </w:p>
    <w:p w14:paraId="73CB1290" w14:textId="5B4DFEB5" w:rsidR="00CC3C3B" w:rsidRPr="00B1477D" w:rsidRDefault="00CC3C3B" w:rsidP="00CC3C3B">
      <w:pPr>
        <w:pStyle w:val="TSNumberedParagraph1"/>
        <w:spacing w:before="220" w:after="0"/>
        <w:ind w:left="720"/>
        <w:rPr>
          <w:b/>
        </w:rPr>
      </w:pPr>
      <w:r w:rsidRPr="00B1477D">
        <w:rPr>
          <w:b/>
        </w:rPr>
        <w:t>Industrial Guidance</w:t>
      </w:r>
    </w:p>
    <w:p w14:paraId="79F35B37" w14:textId="0D4C7017" w:rsidR="001F6166" w:rsidRPr="001E3308" w:rsidRDefault="001F6166" w:rsidP="001E3308">
      <w:pPr>
        <w:pStyle w:val="TSBullet1Square"/>
        <w:numPr>
          <w:ilvl w:val="0"/>
          <w:numId w:val="10"/>
        </w:numPr>
        <w:tabs>
          <w:tab w:val="num" w:pos="-31680"/>
        </w:tabs>
      </w:pPr>
      <w:r w:rsidRPr="001E3308">
        <w:t xml:space="preserve">“Practical guide to structural robustness and disproportionate collapse in buildings” </w:t>
      </w:r>
      <w:proofErr w:type="spellStart"/>
      <w:r w:rsidRPr="001E3308">
        <w:t>IStructE</w:t>
      </w:r>
      <w:proofErr w:type="spellEnd"/>
      <w:r w:rsidRPr="001E3308">
        <w:t xml:space="preserve"> October 2010, but nuclear safety related structures may require more details and specific consideration on a case by case basis</w:t>
      </w:r>
      <w:r w:rsidR="006A62C6">
        <w:t>.</w:t>
      </w:r>
    </w:p>
    <w:p w14:paraId="1FEAF632" w14:textId="77777777" w:rsidR="001E3308" w:rsidRPr="007E4E7E" w:rsidRDefault="001E3308" w:rsidP="001E3308">
      <w:pPr>
        <w:pStyle w:val="TSNumberedParagraph1"/>
        <w:numPr>
          <w:ilvl w:val="0"/>
          <w:numId w:val="12"/>
        </w:numPr>
        <w:tabs>
          <w:tab w:val="clear" w:pos="-31680"/>
        </w:tabs>
        <w:spacing w:before="220"/>
      </w:pPr>
      <w:r>
        <w:t>Additional</w:t>
      </w:r>
      <w:r w:rsidRPr="007E4E7E">
        <w:t xml:space="preserve"> normative references to the above</w:t>
      </w:r>
      <w:r>
        <w:t>, including but not limited to:</w:t>
      </w:r>
    </w:p>
    <w:p w14:paraId="68D31A48" w14:textId="356DBD24" w:rsidR="00EA12F3" w:rsidRDefault="00EA12F3" w:rsidP="00EA12F3">
      <w:pPr>
        <w:pStyle w:val="TSNumberedParagraph1"/>
        <w:spacing w:before="220" w:after="0"/>
        <w:ind w:left="720"/>
      </w:pPr>
      <w:r>
        <w:t>Industrial i</w:t>
      </w:r>
      <w:r w:rsidR="001F6166">
        <w:t xml:space="preserve">nformation available on the websites </w:t>
      </w:r>
      <w:r>
        <w:t>of</w:t>
      </w:r>
      <w:r w:rsidR="001F6166">
        <w:t xml:space="preserve">: </w:t>
      </w:r>
    </w:p>
    <w:p w14:paraId="059BAA67" w14:textId="434DB44B" w:rsidR="00EA12F3" w:rsidRDefault="00597F44" w:rsidP="001E3308">
      <w:pPr>
        <w:pStyle w:val="TSBullet1Square"/>
        <w:numPr>
          <w:ilvl w:val="0"/>
          <w:numId w:val="10"/>
        </w:numPr>
        <w:tabs>
          <w:tab w:val="num" w:pos="-31680"/>
        </w:tabs>
      </w:pPr>
      <w:r w:rsidRPr="00597F44">
        <w:t>I</w:t>
      </w:r>
      <w:r>
        <w:t xml:space="preserve">nstitute of </w:t>
      </w:r>
      <w:r w:rsidRPr="00597F44">
        <w:t>Exp</w:t>
      </w:r>
      <w:r>
        <w:t xml:space="preserve">losives </w:t>
      </w:r>
      <w:r w:rsidRPr="00597F44">
        <w:t>E</w:t>
      </w:r>
      <w:r>
        <w:t>ngineers (</w:t>
      </w:r>
      <w:proofErr w:type="spellStart"/>
      <w:r>
        <w:t>IExpE</w:t>
      </w:r>
      <w:proofErr w:type="spellEnd"/>
      <w:r>
        <w:t>)</w:t>
      </w:r>
      <w:r w:rsidR="006A62C6">
        <w:t>,</w:t>
      </w:r>
    </w:p>
    <w:p w14:paraId="17ACEE13" w14:textId="72CEE11F" w:rsidR="00EA12F3" w:rsidRDefault="00597F44" w:rsidP="001E3308">
      <w:pPr>
        <w:pStyle w:val="TSBullet1Square"/>
        <w:numPr>
          <w:ilvl w:val="0"/>
          <w:numId w:val="10"/>
        </w:numPr>
        <w:tabs>
          <w:tab w:val="num" w:pos="-31680"/>
        </w:tabs>
      </w:pPr>
      <w:r w:rsidRPr="00597F44">
        <w:t>I</w:t>
      </w:r>
      <w:r>
        <w:t xml:space="preserve">nstitute of </w:t>
      </w:r>
      <w:r w:rsidRPr="00597F44">
        <w:t>D</w:t>
      </w:r>
      <w:r>
        <w:t xml:space="preserve">emolition </w:t>
      </w:r>
      <w:r w:rsidRPr="00597F44">
        <w:t>E</w:t>
      </w:r>
      <w:r>
        <w:t>ngineers</w:t>
      </w:r>
      <w:r w:rsidRPr="00597F44">
        <w:t xml:space="preserve"> </w:t>
      </w:r>
      <w:r w:rsidR="006A62C6">
        <w:t>(IDE),</w:t>
      </w:r>
    </w:p>
    <w:p w14:paraId="5D521CF2" w14:textId="4EB0DFA1" w:rsidR="00EA12F3" w:rsidRDefault="00597F44" w:rsidP="001E3308">
      <w:pPr>
        <w:pStyle w:val="TSBullet1Square"/>
        <w:numPr>
          <w:ilvl w:val="0"/>
          <w:numId w:val="10"/>
        </w:numPr>
        <w:tabs>
          <w:tab w:val="num" w:pos="-31680"/>
        </w:tabs>
      </w:pPr>
      <w:r w:rsidRPr="00597F44">
        <w:t>N</w:t>
      </w:r>
      <w:r>
        <w:t xml:space="preserve">ational </w:t>
      </w:r>
      <w:r w:rsidRPr="00597F44">
        <w:t>F</w:t>
      </w:r>
      <w:r>
        <w:t xml:space="preserve">ederation of </w:t>
      </w:r>
      <w:r w:rsidRPr="00597F44">
        <w:t>D</w:t>
      </w:r>
      <w:r>
        <w:t xml:space="preserve">emolition </w:t>
      </w:r>
      <w:r w:rsidRPr="00597F44">
        <w:t>C</w:t>
      </w:r>
      <w:r>
        <w:t>ontractors (NFDC)</w:t>
      </w:r>
      <w:r w:rsidR="006A62C6">
        <w:t>,</w:t>
      </w:r>
    </w:p>
    <w:p w14:paraId="5F2975E5" w14:textId="59F37463" w:rsidR="00EA12F3" w:rsidRPr="00EA12F3" w:rsidRDefault="001F6166" w:rsidP="001E3308">
      <w:pPr>
        <w:pStyle w:val="TSBullet1Square"/>
        <w:numPr>
          <w:ilvl w:val="0"/>
          <w:numId w:val="10"/>
        </w:numPr>
        <w:tabs>
          <w:tab w:val="num" w:pos="-31680"/>
        </w:tabs>
      </w:pPr>
      <w:r w:rsidRPr="001E3308">
        <w:t>Standing Committ</w:t>
      </w:r>
      <w:r w:rsidR="006A62C6">
        <w:t>ee on Structural Safety (SCOSS),</w:t>
      </w:r>
    </w:p>
    <w:p w14:paraId="25F095F9" w14:textId="6BC4EFC0" w:rsidR="00597F44" w:rsidRDefault="00597F44" w:rsidP="001E3308">
      <w:pPr>
        <w:pStyle w:val="TSBullet1Square"/>
        <w:numPr>
          <w:ilvl w:val="0"/>
          <w:numId w:val="10"/>
        </w:numPr>
        <w:tabs>
          <w:tab w:val="num" w:pos="-31680"/>
        </w:tabs>
      </w:pPr>
      <w:r w:rsidRPr="00597F44">
        <w:t>Construction Plant Association Guidance (CPA)</w:t>
      </w:r>
      <w:r w:rsidR="006A62C6">
        <w:t>.</w:t>
      </w:r>
    </w:p>
    <w:p w14:paraId="34ACE4AA" w14:textId="77777777" w:rsidR="00C24815" w:rsidRDefault="00C24815">
      <w:pPr>
        <w:rPr>
          <w:rFonts w:ascii="Arial Bold" w:hAnsi="Arial Bold"/>
          <w:b/>
          <w:caps/>
        </w:rPr>
      </w:pPr>
      <w:bookmarkStart w:id="83" w:name="_Toc519072433"/>
      <w:bookmarkEnd w:id="81"/>
      <w:r>
        <w:br w:type="page"/>
      </w:r>
    </w:p>
    <w:p w14:paraId="622B78E3" w14:textId="7A26919B" w:rsidR="00B05EF6" w:rsidRDefault="00B05EF6" w:rsidP="00C24815">
      <w:pPr>
        <w:pStyle w:val="TSHeadingNumbered1"/>
        <w:numPr>
          <w:ilvl w:val="0"/>
          <w:numId w:val="11"/>
        </w:numPr>
      </w:pPr>
      <w:bookmarkStart w:id="84" w:name="_Toc57895910"/>
      <w:r w:rsidRPr="00E125EA">
        <w:lastRenderedPageBreak/>
        <w:t>references</w:t>
      </w:r>
      <w:bookmarkEnd w:id="83"/>
      <w:bookmarkEnd w:id="84"/>
    </w:p>
    <w:p w14:paraId="41D0C0DF" w14:textId="77777777" w:rsidR="00771BAD" w:rsidRDefault="00771BAD" w:rsidP="00771BAD">
      <w:pPr>
        <w:pStyle w:val="TSNumberedParagraph1"/>
        <w:numPr>
          <w:ilvl w:val="0"/>
          <w:numId w:val="11"/>
        </w:numPr>
        <w:tabs>
          <w:tab w:val="clear" w:pos="-31680"/>
        </w:tabs>
        <w:rPr>
          <w:rFonts w:cs="Arial"/>
        </w:rPr>
      </w:pPr>
      <w:bookmarkStart w:id="85" w:name="_Ref45198995"/>
      <w:bookmarkStart w:id="86" w:name="_Ref38277417"/>
      <w:bookmarkStart w:id="87" w:name="_Ref38277396"/>
      <w:r w:rsidRPr="006858BE">
        <w:rPr>
          <w:rFonts w:cs="Arial"/>
        </w:rPr>
        <w:t xml:space="preserve">ONR, </w:t>
      </w:r>
      <w:r>
        <w:rPr>
          <w:rFonts w:cs="Arial"/>
        </w:rPr>
        <w:t>‘</w:t>
      </w:r>
      <w:r w:rsidRPr="006858BE">
        <w:rPr>
          <w:rFonts w:cs="Arial"/>
        </w:rPr>
        <w:t>Safety Assessment Principles for Nuclear Facilities</w:t>
      </w:r>
      <w:r>
        <w:rPr>
          <w:rFonts w:cs="Arial"/>
        </w:rPr>
        <w:t>’</w:t>
      </w:r>
      <w:r w:rsidRPr="006858BE">
        <w:rPr>
          <w:rFonts w:cs="Arial"/>
        </w:rPr>
        <w:t xml:space="preserve">, 2014 Edition, Rev 0, November 2014, </w:t>
      </w:r>
      <w:hyperlink r:id="rId15" w:history="1">
        <w:r w:rsidRPr="001662D6">
          <w:rPr>
            <w:rStyle w:val="Hyperlink"/>
            <w:rFonts w:cs="Arial"/>
          </w:rPr>
          <w:t>www.onr.org.uk/saps/saps2014.pdf</w:t>
        </w:r>
      </w:hyperlink>
      <w:r w:rsidRPr="006858BE">
        <w:rPr>
          <w:rFonts w:cs="Arial"/>
        </w:rPr>
        <w:t>.</w:t>
      </w:r>
      <w:bookmarkEnd w:id="85"/>
    </w:p>
    <w:p w14:paraId="384618A2" w14:textId="77777777" w:rsidR="00DB14DC" w:rsidRDefault="00DB14DC" w:rsidP="002B1AA5">
      <w:pPr>
        <w:pStyle w:val="TSNumberedParagraph1"/>
        <w:numPr>
          <w:ilvl w:val="0"/>
          <w:numId w:val="30"/>
        </w:numPr>
        <w:tabs>
          <w:tab w:val="clear" w:pos="-31680"/>
        </w:tabs>
        <w:rPr>
          <w:rFonts w:eastAsiaTheme="minorHAnsi" w:cs="Arial"/>
          <w:szCs w:val="22"/>
        </w:rPr>
      </w:pPr>
      <w:r>
        <w:rPr>
          <w:rFonts w:eastAsiaTheme="minorHAnsi" w:cs="Arial"/>
          <w:szCs w:val="22"/>
        </w:rPr>
        <w:t xml:space="preserve">WENRA Decommissioning Safety Reference Levels </w:t>
      </w:r>
    </w:p>
    <w:p w14:paraId="3ABAD596" w14:textId="77777777" w:rsidR="001D0476" w:rsidRPr="00D61686" w:rsidRDefault="00DB14DC" w:rsidP="002B1AA5">
      <w:pPr>
        <w:pStyle w:val="TSNumberedParagraph1"/>
        <w:numPr>
          <w:ilvl w:val="0"/>
          <w:numId w:val="30"/>
        </w:numPr>
        <w:tabs>
          <w:tab w:val="clear" w:pos="-31680"/>
        </w:tabs>
        <w:rPr>
          <w:rFonts w:eastAsiaTheme="minorHAnsi" w:cs="Arial"/>
          <w:szCs w:val="22"/>
        </w:rPr>
      </w:pPr>
      <w:r>
        <w:rPr>
          <w:rStyle w:val="TSExampleText"/>
          <w:i w:val="0"/>
          <w:color w:val="auto"/>
        </w:rPr>
        <w:t xml:space="preserve">IAEA Safety Standards SSG-47 ‘Decommissioning of Nuclear Power Plants, Research Reactors and other Nuclear Fuel Cycle Facilities’ 2018 </w:t>
      </w:r>
      <w:hyperlink r:id="rId16" w:history="1">
        <w:r w:rsidR="001D0476" w:rsidRPr="005C27A0">
          <w:rPr>
            <w:rStyle w:val="Hyperlink"/>
          </w:rPr>
          <w:t>www.iaea.org</w:t>
        </w:r>
      </w:hyperlink>
      <w:r w:rsidR="001D0476">
        <w:t xml:space="preserve"> (Last accessed November 2020)</w:t>
      </w:r>
    </w:p>
    <w:p w14:paraId="51D14836" w14:textId="33885002" w:rsidR="00DB14DC" w:rsidRPr="002B1AA5" w:rsidRDefault="00DB14DC" w:rsidP="002B1AA5">
      <w:pPr>
        <w:pStyle w:val="TSNumberedParagraph1"/>
        <w:numPr>
          <w:ilvl w:val="0"/>
          <w:numId w:val="30"/>
        </w:numPr>
        <w:tabs>
          <w:tab w:val="clear" w:pos="-31680"/>
        </w:tabs>
        <w:rPr>
          <w:rFonts w:eastAsiaTheme="minorHAnsi" w:cs="Arial"/>
          <w:szCs w:val="22"/>
        </w:rPr>
      </w:pPr>
      <w:r w:rsidRPr="007405B1">
        <w:rPr>
          <w:iCs/>
        </w:rPr>
        <w:t>IAEA G</w:t>
      </w:r>
      <w:r w:rsidR="001A24EB">
        <w:rPr>
          <w:iCs/>
        </w:rPr>
        <w:t xml:space="preserve">eneral </w:t>
      </w:r>
      <w:r w:rsidRPr="007405B1">
        <w:rPr>
          <w:iCs/>
        </w:rPr>
        <w:t>S</w:t>
      </w:r>
      <w:r w:rsidR="001A24EB">
        <w:rPr>
          <w:iCs/>
        </w:rPr>
        <w:t xml:space="preserve">afety </w:t>
      </w:r>
      <w:r w:rsidRPr="007405B1">
        <w:rPr>
          <w:iCs/>
        </w:rPr>
        <w:t>R</w:t>
      </w:r>
      <w:r w:rsidR="001A24EB">
        <w:rPr>
          <w:iCs/>
        </w:rPr>
        <w:t>equirements No. GSR</w:t>
      </w:r>
      <w:r w:rsidRPr="007405B1">
        <w:rPr>
          <w:iCs/>
        </w:rPr>
        <w:t xml:space="preserve"> Part</w:t>
      </w:r>
      <w:r w:rsidR="00531EAE">
        <w:rPr>
          <w:iCs/>
        </w:rPr>
        <w:t xml:space="preserve"> 2</w:t>
      </w:r>
      <w:r w:rsidR="009D413D">
        <w:rPr>
          <w:iCs/>
        </w:rPr>
        <w:t xml:space="preserve"> ‘</w:t>
      </w:r>
      <w:r w:rsidR="001A24EB">
        <w:rPr>
          <w:iCs/>
        </w:rPr>
        <w:t xml:space="preserve">Leadership and </w:t>
      </w:r>
      <w:r w:rsidR="00052F1B">
        <w:rPr>
          <w:iCs/>
        </w:rPr>
        <w:t>Management</w:t>
      </w:r>
      <w:r w:rsidR="001A24EB">
        <w:rPr>
          <w:iCs/>
        </w:rPr>
        <w:t xml:space="preserve"> for Safety</w:t>
      </w:r>
      <w:r w:rsidR="00052F1B">
        <w:rPr>
          <w:iCs/>
        </w:rPr>
        <w:t>’</w:t>
      </w:r>
      <w:r w:rsidR="001A24EB">
        <w:rPr>
          <w:iCs/>
        </w:rPr>
        <w:t xml:space="preserve"> </w:t>
      </w:r>
      <w:r w:rsidR="00052F1B">
        <w:rPr>
          <w:iCs/>
        </w:rPr>
        <w:t xml:space="preserve">2016 </w:t>
      </w:r>
      <w:r w:rsidR="009D413D">
        <w:rPr>
          <w:iCs/>
        </w:rPr>
        <w:t xml:space="preserve"> </w:t>
      </w:r>
      <w:hyperlink r:id="rId17" w:history="1">
        <w:r w:rsidR="001D0476" w:rsidRPr="005C27A0">
          <w:rPr>
            <w:rStyle w:val="Hyperlink"/>
          </w:rPr>
          <w:t>www.iaea.org</w:t>
        </w:r>
      </w:hyperlink>
      <w:r w:rsidR="001D0476">
        <w:t xml:space="preserve"> </w:t>
      </w:r>
      <w:r w:rsidR="00201025">
        <w:t>(Last accessed November 2020)</w:t>
      </w:r>
    </w:p>
    <w:p w14:paraId="074973E8" w14:textId="77777777" w:rsidR="001D0476" w:rsidRPr="00D61686" w:rsidRDefault="00E07C67" w:rsidP="002B1AA5">
      <w:pPr>
        <w:pStyle w:val="TSNumberedParagraph1"/>
        <w:numPr>
          <w:ilvl w:val="0"/>
          <w:numId w:val="30"/>
        </w:numPr>
        <w:tabs>
          <w:tab w:val="clear" w:pos="-31680"/>
        </w:tabs>
        <w:rPr>
          <w:rFonts w:eastAsiaTheme="minorHAnsi" w:cs="Arial"/>
          <w:szCs w:val="22"/>
        </w:rPr>
      </w:pPr>
      <w:r w:rsidRPr="00C14FD1">
        <w:t xml:space="preserve">IAEA GSR Part 6 </w:t>
      </w:r>
      <w:r>
        <w:t>‘</w:t>
      </w:r>
      <w:r w:rsidRPr="00C14FD1">
        <w:t>Decommissioning of Facilities</w:t>
      </w:r>
      <w:r>
        <w:t>’</w:t>
      </w:r>
      <w:r w:rsidR="00FF470E">
        <w:t xml:space="preserve"> 2014 </w:t>
      </w:r>
      <w:hyperlink r:id="rId18" w:history="1">
        <w:r w:rsidR="001D0476" w:rsidRPr="005C27A0">
          <w:rPr>
            <w:rStyle w:val="Hyperlink"/>
          </w:rPr>
          <w:t>www.iaea.org</w:t>
        </w:r>
      </w:hyperlink>
      <w:r w:rsidR="001D0476">
        <w:t xml:space="preserve"> (Last accessed November 2020)</w:t>
      </w:r>
    </w:p>
    <w:p w14:paraId="30A646DF" w14:textId="27F02E46" w:rsidR="00E07C67" w:rsidRPr="006B1713" w:rsidRDefault="00C36B8B" w:rsidP="002B1AA5">
      <w:pPr>
        <w:pStyle w:val="TSNumberedParagraph1"/>
        <w:rPr>
          <w:rFonts w:eastAsiaTheme="minorHAnsi" w:cs="Arial"/>
          <w:szCs w:val="22"/>
        </w:rPr>
      </w:pPr>
      <w:r>
        <w:t xml:space="preserve"> </w:t>
      </w:r>
    </w:p>
    <w:p w14:paraId="4522B902" w14:textId="77777777" w:rsidR="004D0FAA" w:rsidRDefault="004D0FAA" w:rsidP="003B5A81">
      <w:pPr>
        <w:rPr>
          <w:rFonts w:ascii="Arial Bold" w:hAnsi="Arial Bold"/>
          <w:b/>
          <w:caps/>
        </w:rPr>
      </w:pPr>
      <w:bookmarkStart w:id="88" w:name="_Toc473720875"/>
      <w:bookmarkStart w:id="89" w:name="_Toc473720874"/>
      <w:bookmarkStart w:id="90" w:name="_Toc473720873"/>
      <w:bookmarkStart w:id="91" w:name="_Toc473720872"/>
      <w:bookmarkStart w:id="92" w:name="_Toc473720871"/>
      <w:bookmarkStart w:id="93" w:name="_Toc473720870"/>
      <w:bookmarkStart w:id="94" w:name="_Toc473720869"/>
      <w:bookmarkStart w:id="95" w:name="_Toc473720868"/>
      <w:bookmarkStart w:id="96" w:name="_Toc473720867"/>
      <w:bookmarkStart w:id="97" w:name="_Toc473720866"/>
      <w:bookmarkStart w:id="98" w:name="_Toc473720865"/>
      <w:bookmarkStart w:id="99" w:name="_Toc473720864"/>
      <w:bookmarkStart w:id="100" w:name="_Toc473720863"/>
      <w:bookmarkStart w:id="101" w:name="_Toc473720862"/>
      <w:bookmarkStart w:id="102" w:name="_Toc473720861"/>
      <w:bookmarkStart w:id="103" w:name="_Toc473720860"/>
      <w:bookmarkStart w:id="104" w:name="_Toc473720859"/>
      <w:bookmarkStart w:id="105" w:name="_Toc473720858"/>
      <w:bookmarkStart w:id="106" w:name="_Toc473720857"/>
      <w:bookmarkStart w:id="107" w:name="_Toc473720856"/>
      <w:bookmarkStart w:id="108" w:name="_Toc473720855"/>
      <w:bookmarkStart w:id="109" w:name="_Toc473720854"/>
      <w:bookmarkStart w:id="110" w:name="_Toc473720853"/>
      <w:bookmarkStart w:id="111" w:name="_Toc473720852"/>
      <w:bookmarkStart w:id="112" w:name="_Toc473720851"/>
      <w:bookmarkStart w:id="113" w:name="_Toc473720850"/>
      <w:bookmarkStart w:id="114" w:name="_Toc473720849"/>
      <w:bookmarkStart w:id="115" w:name="_Toc473720848"/>
      <w:bookmarkStart w:id="116" w:name="_Toc473720847"/>
      <w:bookmarkStart w:id="117" w:name="_Toc473720846"/>
      <w:bookmarkStart w:id="118" w:name="_Toc473720845"/>
      <w:bookmarkStart w:id="119" w:name="_Toc473720844"/>
      <w:bookmarkStart w:id="120" w:name="_Toc473720843"/>
      <w:bookmarkStart w:id="121" w:name="_Toc473720842"/>
      <w:bookmarkStart w:id="122" w:name="_Toc473720841"/>
      <w:bookmarkStart w:id="123" w:name="_Toc473720840"/>
      <w:bookmarkStart w:id="124" w:name="_Toc473720839"/>
      <w:bookmarkStart w:id="125" w:name="_Toc473720838"/>
      <w:bookmarkStart w:id="126" w:name="_Toc473720837"/>
      <w:bookmarkStart w:id="127" w:name="_Toc473720836"/>
      <w:bookmarkStart w:id="128" w:name="_Toc473720835"/>
      <w:bookmarkStart w:id="129" w:name="_Toc473720834"/>
      <w:bookmarkStart w:id="130" w:name="_Toc473720833"/>
      <w:bookmarkStart w:id="131" w:name="_Toc473720832"/>
      <w:bookmarkStart w:id="132" w:name="_Toc473720831"/>
      <w:bookmarkStart w:id="133" w:name="_Toc473720830"/>
      <w:bookmarkStart w:id="134" w:name="_Toc473720829"/>
      <w:bookmarkStart w:id="135" w:name="_Toc473720828"/>
      <w:bookmarkStart w:id="136" w:name="_Toc473720827"/>
      <w:bookmarkStart w:id="137" w:name="_Toc473720826"/>
      <w:bookmarkStart w:id="138" w:name="_Toc473720825"/>
      <w:bookmarkStart w:id="139" w:name="_Toc473720824"/>
      <w:bookmarkStart w:id="140" w:name="_Toc473720823"/>
      <w:bookmarkStart w:id="141" w:name="_Toc473720822"/>
      <w:bookmarkStart w:id="142" w:name="_Toc473720821"/>
      <w:bookmarkStart w:id="143" w:name="_Toc473720820"/>
      <w:bookmarkStart w:id="144" w:name="_Toc473720819"/>
      <w:bookmarkStart w:id="145" w:name="_Toc473720818"/>
      <w:bookmarkStart w:id="146" w:name="_Toc473720817"/>
      <w:bookmarkStart w:id="147" w:name="_Toc473720816"/>
      <w:bookmarkStart w:id="148" w:name="_Toc473720815"/>
      <w:bookmarkStart w:id="149" w:name="_Toc473720814"/>
      <w:bookmarkStart w:id="150" w:name="_Toc473720813"/>
      <w:bookmarkStart w:id="151" w:name="_Toc473720812"/>
      <w:bookmarkStart w:id="152" w:name="_Toc473720811"/>
      <w:bookmarkStart w:id="153" w:name="_Toc473720810"/>
      <w:bookmarkStart w:id="154" w:name="_Toc473720809"/>
      <w:bookmarkStart w:id="155" w:name="_Toc473720808"/>
      <w:bookmarkStart w:id="156" w:name="_Toc473720807"/>
      <w:bookmarkStart w:id="157" w:name="_Toc473720806"/>
      <w:bookmarkStart w:id="158" w:name="_Toc473720805"/>
      <w:bookmarkStart w:id="159" w:name="_Toc473720804"/>
      <w:bookmarkStart w:id="160" w:name="_Toc473720803"/>
      <w:bookmarkStart w:id="161" w:name="_Toc473720802"/>
      <w:bookmarkStart w:id="162" w:name="_Toc473720801"/>
      <w:bookmarkStart w:id="163" w:name="_Toc473720800"/>
      <w:bookmarkStart w:id="164" w:name="_Toc473720799"/>
      <w:bookmarkStart w:id="165" w:name="_Toc473720798"/>
      <w:bookmarkStart w:id="166" w:name="_Toc473720797"/>
      <w:bookmarkStart w:id="167" w:name="_Toc473720796"/>
      <w:bookmarkStart w:id="168" w:name="_Toc473720795"/>
      <w:bookmarkStart w:id="169" w:name="_Toc473720794"/>
      <w:bookmarkStart w:id="170" w:name="_Toc473720793"/>
      <w:bookmarkStart w:id="171" w:name="_Toc473720792"/>
      <w:bookmarkStart w:id="172" w:name="_Toc473720791"/>
      <w:bookmarkStart w:id="173" w:name="_Toc473720790"/>
      <w:bookmarkStart w:id="174" w:name="_Toc473720789"/>
      <w:bookmarkStart w:id="175" w:name="_Toc473720788"/>
      <w:bookmarkStart w:id="176" w:name="_Toc473720787"/>
      <w:bookmarkStart w:id="177" w:name="_Toc473720786"/>
      <w:bookmarkStart w:id="178" w:name="_Toc473720785"/>
      <w:bookmarkStart w:id="179" w:name="_Toc473720784"/>
      <w:bookmarkStart w:id="180" w:name="_Toc473720783"/>
      <w:bookmarkStart w:id="181" w:name="_Toc473720782"/>
      <w:bookmarkStart w:id="182" w:name="_Toc473720781"/>
      <w:bookmarkStart w:id="183" w:name="_Toc473720780"/>
      <w:bookmarkStart w:id="184" w:name="_Toc473720779"/>
      <w:bookmarkStart w:id="185" w:name="_Toc473720778"/>
      <w:bookmarkStart w:id="186" w:name="_Toc473720777"/>
      <w:bookmarkStart w:id="187" w:name="_Toc473720776"/>
      <w:bookmarkStart w:id="188" w:name="_Toc473720775"/>
      <w:bookmarkStart w:id="189" w:name="_Toc473720774"/>
      <w:bookmarkStart w:id="190" w:name="_Toc473720773"/>
      <w:bookmarkStart w:id="191" w:name="_Toc473720772"/>
      <w:bookmarkStart w:id="192" w:name="_Toc473720771"/>
      <w:bookmarkStart w:id="193" w:name="_Toc473720770"/>
      <w:bookmarkStart w:id="194" w:name="_Toc473720769"/>
      <w:bookmarkStart w:id="195" w:name="_Toc473720768"/>
      <w:bookmarkStart w:id="196" w:name="_Toc473720767"/>
      <w:bookmarkStart w:id="197" w:name="_Toc473720766"/>
      <w:bookmarkStart w:id="198" w:name="_Toc473720765"/>
      <w:bookmarkStart w:id="199" w:name="_Toc473720764"/>
      <w:bookmarkStart w:id="200" w:name="_Toc473720763"/>
      <w:bookmarkStart w:id="201" w:name="_Toc473720762"/>
      <w:bookmarkStart w:id="202" w:name="_Toc473720761"/>
      <w:bookmarkStart w:id="203" w:name="_Toc473720760"/>
      <w:bookmarkStart w:id="204" w:name="_Toc473720759"/>
      <w:bookmarkStart w:id="205" w:name="_Toc473720758"/>
      <w:bookmarkStart w:id="206" w:name="_Toc473720757"/>
      <w:bookmarkStart w:id="207" w:name="_Toc473720756"/>
      <w:bookmarkStart w:id="208" w:name="_Toc473720755"/>
      <w:bookmarkStart w:id="209" w:name="_Toc473720754"/>
      <w:bookmarkStart w:id="210" w:name="_Toc473720753"/>
      <w:bookmarkStart w:id="211" w:name="_Toc473720752"/>
      <w:bookmarkStart w:id="212" w:name="_Toc473720751"/>
      <w:bookmarkStart w:id="213" w:name="_Toc473720750"/>
      <w:bookmarkStart w:id="214" w:name="_Toc473720749"/>
      <w:bookmarkStart w:id="215" w:name="_Toc473720748"/>
      <w:bookmarkStart w:id="216" w:name="_Toc473720747"/>
      <w:bookmarkStart w:id="217" w:name="_Toc473720746"/>
      <w:bookmarkStart w:id="218" w:name="_Toc473720745"/>
      <w:bookmarkStart w:id="219" w:name="_Toc473720744"/>
      <w:bookmarkStart w:id="220" w:name="_Toc473720743"/>
      <w:bookmarkStart w:id="221" w:name="_Toc473720742"/>
      <w:bookmarkStart w:id="222" w:name="_Toc473720741"/>
      <w:bookmarkStart w:id="223" w:name="_Toc473720740"/>
      <w:bookmarkStart w:id="224" w:name="_Toc473720739"/>
      <w:bookmarkStart w:id="225" w:name="_Toc473720738"/>
      <w:bookmarkStart w:id="226" w:name="_Toc473720737"/>
      <w:bookmarkStart w:id="227" w:name="_Toc473720736"/>
      <w:bookmarkStart w:id="228" w:name="_Toc473720735"/>
      <w:bookmarkStart w:id="229" w:name="_Toc473720734"/>
      <w:bookmarkStart w:id="230" w:name="_Toc473720733"/>
      <w:bookmarkStart w:id="231" w:name="_Toc473720732"/>
      <w:bookmarkStart w:id="232" w:name="_Toc473720731"/>
      <w:bookmarkStart w:id="233" w:name="_Toc473720730"/>
      <w:bookmarkStart w:id="234" w:name="_Toc473720729"/>
      <w:bookmarkStart w:id="235" w:name="_Toc473720728"/>
      <w:bookmarkStart w:id="236" w:name="_Toc473720727"/>
      <w:bookmarkStart w:id="237" w:name="_Toc473720726"/>
      <w:bookmarkStart w:id="238" w:name="_Toc473720725"/>
      <w:bookmarkStart w:id="239" w:name="_Toc473720724"/>
      <w:bookmarkStart w:id="240" w:name="_Toc473720723"/>
      <w:bookmarkStart w:id="241" w:name="_Toc473720722"/>
      <w:bookmarkStart w:id="242" w:name="_Toc473720721"/>
      <w:bookmarkStart w:id="243" w:name="_Toc473720720"/>
      <w:bookmarkStart w:id="244" w:name="_Toc473720719"/>
      <w:bookmarkStart w:id="245" w:name="_Toc473720718"/>
      <w:bookmarkStart w:id="246" w:name="_Toc473720717"/>
      <w:bookmarkStart w:id="247" w:name="_Toc473720716"/>
      <w:bookmarkStart w:id="248" w:name="_Toc473720715"/>
      <w:bookmarkStart w:id="249" w:name="_Toc473720714"/>
      <w:bookmarkStart w:id="250" w:name="_Toc473720713"/>
      <w:bookmarkStart w:id="251" w:name="_Toc473720712"/>
      <w:bookmarkStart w:id="252" w:name="_Toc473720711"/>
      <w:bookmarkStart w:id="253" w:name="_Toc473720710"/>
      <w:bookmarkStart w:id="254" w:name="_Toc473720709"/>
      <w:bookmarkStart w:id="255" w:name="_Toc473720708"/>
      <w:bookmarkStart w:id="256" w:name="_Toc473720707"/>
      <w:bookmarkStart w:id="257" w:name="_Toc473720706"/>
      <w:bookmarkStart w:id="258" w:name="_Toc473720705"/>
      <w:bookmarkStart w:id="259" w:name="_Toc473720704"/>
      <w:bookmarkStart w:id="260" w:name="_Toc473720703"/>
      <w:bookmarkStart w:id="261" w:name="_Toc473720702"/>
      <w:bookmarkStart w:id="262" w:name="_Toc473720701"/>
      <w:bookmarkStart w:id="263" w:name="_Toc473720700"/>
      <w:bookmarkStart w:id="264" w:name="_Toc473720699"/>
      <w:bookmarkStart w:id="265" w:name="_Toc473720698"/>
      <w:bookmarkStart w:id="266" w:name="_Toc473720697"/>
      <w:bookmarkStart w:id="267" w:name="_Toc473720696"/>
      <w:bookmarkStart w:id="268" w:name="_Toc473720695"/>
      <w:bookmarkStart w:id="269" w:name="_Toc473720694"/>
      <w:bookmarkStart w:id="270" w:name="_Toc473720693"/>
      <w:bookmarkStart w:id="271" w:name="_Toc473720692"/>
      <w:bookmarkStart w:id="272" w:name="_Toc473720691"/>
      <w:bookmarkStart w:id="273" w:name="_Toc473720690"/>
      <w:bookmarkStart w:id="274" w:name="_Toc473720689"/>
      <w:bookmarkStart w:id="275" w:name="_Toc473720688"/>
      <w:bookmarkStart w:id="276" w:name="_Toc473720687"/>
      <w:bookmarkStart w:id="277" w:name="_Toc473720686"/>
      <w:bookmarkStart w:id="278" w:name="_Toc473720685"/>
      <w:bookmarkStart w:id="279" w:name="_Toc473720684"/>
      <w:bookmarkStart w:id="280" w:name="_Toc473720683"/>
      <w:bookmarkStart w:id="281" w:name="_Toc473720682"/>
      <w:bookmarkStart w:id="282" w:name="_Toc473720681"/>
      <w:bookmarkStart w:id="283" w:name="_Toc473720680"/>
      <w:bookmarkStart w:id="284" w:name="_Toc473720679"/>
      <w:bookmarkStart w:id="285" w:name="_Toc473720678"/>
      <w:bookmarkStart w:id="286" w:name="_Toc473720677"/>
      <w:bookmarkStart w:id="287" w:name="_Toc473720676"/>
      <w:bookmarkStart w:id="288" w:name="_Toc473720675"/>
      <w:bookmarkStart w:id="289" w:name="_Toc473720674"/>
      <w:bookmarkStart w:id="290" w:name="_Toc473720673"/>
      <w:bookmarkStart w:id="291" w:name="_Toc473720672"/>
      <w:bookmarkStart w:id="292" w:name="_Toc473720671"/>
      <w:bookmarkStart w:id="293" w:name="_Toc473720670"/>
      <w:bookmarkStart w:id="294" w:name="_Toc473720669"/>
      <w:bookmarkStart w:id="295" w:name="_Toc473720668"/>
      <w:bookmarkStart w:id="296" w:name="_Toc473720667"/>
      <w:bookmarkStart w:id="297" w:name="_Toc473720666"/>
      <w:bookmarkStart w:id="298" w:name="_Toc473720665"/>
      <w:bookmarkStart w:id="299" w:name="_Toc473720664"/>
      <w:bookmarkStart w:id="300" w:name="_Toc473720663"/>
      <w:bookmarkStart w:id="301" w:name="_Toc473720662"/>
      <w:bookmarkStart w:id="302" w:name="_Toc473720661"/>
      <w:bookmarkStart w:id="303" w:name="_Toc473720660"/>
      <w:bookmarkStart w:id="304" w:name="_Toc473720659"/>
      <w:bookmarkStart w:id="305" w:name="_Toc473720658"/>
      <w:bookmarkStart w:id="306" w:name="_Toc473720657"/>
      <w:bookmarkStart w:id="307" w:name="_Toc473720656"/>
      <w:bookmarkStart w:id="308" w:name="_Toc473720655"/>
      <w:bookmarkStart w:id="309" w:name="_Toc473720654"/>
      <w:bookmarkStart w:id="310" w:name="_Toc473720653"/>
      <w:bookmarkStart w:id="311" w:name="_Toc473720652"/>
      <w:bookmarkStart w:id="312" w:name="_Toc473720651"/>
      <w:bookmarkStart w:id="313" w:name="_Toc473720650"/>
      <w:bookmarkStart w:id="314" w:name="_Toc473720649"/>
      <w:bookmarkStart w:id="315" w:name="_Toc473720648"/>
      <w:bookmarkStart w:id="316" w:name="_Toc473720647"/>
      <w:bookmarkStart w:id="317" w:name="_Toc473720646"/>
      <w:bookmarkStart w:id="318" w:name="_Toc473720645"/>
      <w:bookmarkStart w:id="319" w:name="_Toc473720644"/>
      <w:bookmarkStart w:id="320" w:name="_Toc473720643"/>
      <w:bookmarkStart w:id="321" w:name="_Toc473720642"/>
      <w:bookmarkStart w:id="322" w:name="_Toc473720641"/>
      <w:bookmarkStart w:id="323" w:name="_Toc473720640"/>
      <w:bookmarkStart w:id="324" w:name="_Toc473720639"/>
      <w:bookmarkStart w:id="325" w:name="_Toc473720638"/>
      <w:bookmarkStart w:id="326" w:name="_Toc473720637"/>
      <w:bookmarkStart w:id="327" w:name="_Toc473720636"/>
      <w:bookmarkStart w:id="328" w:name="_Toc473720635"/>
      <w:bookmarkStart w:id="329" w:name="_Toc473720634"/>
      <w:bookmarkStart w:id="330" w:name="_Toc473720633"/>
      <w:bookmarkStart w:id="331" w:name="_Toc473720632"/>
      <w:bookmarkStart w:id="332" w:name="_Toc473720631"/>
      <w:bookmarkStart w:id="333" w:name="_Toc473720630"/>
      <w:bookmarkStart w:id="334" w:name="_Toc473720629"/>
      <w:bookmarkStart w:id="335" w:name="_Toc473720628"/>
      <w:bookmarkStart w:id="336" w:name="_Toc473720627"/>
      <w:bookmarkStart w:id="337" w:name="_Toc473720626"/>
      <w:bookmarkStart w:id="338" w:name="_Toc473720625"/>
      <w:bookmarkStart w:id="339" w:name="_Toc473720624"/>
      <w:bookmarkStart w:id="340" w:name="_Toc473720623"/>
      <w:bookmarkStart w:id="341" w:name="_Toc473720622"/>
      <w:bookmarkStart w:id="342" w:name="_Toc473720621"/>
      <w:bookmarkStart w:id="343" w:name="_Toc473720620"/>
      <w:bookmarkStart w:id="344" w:name="_Toc473720619"/>
      <w:bookmarkStart w:id="345" w:name="_Toc473720618"/>
      <w:bookmarkStart w:id="346" w:name="_Toc473720617"/>
      <w:bookmarkStart w:id="347" w:name="_Toc473720616"/>
      <w:bookmarkStart w:id="348" w:name="_Toc473720615"/>
      <w:bookmarkStart w:id="349" w:name="_Toc473720614"/>
      <w:bookmarkStart w:id="350" w:name="_Toc473720613"/>
      <w:bookmarkStart w:id="351" w:name="_Toc473720612"/>
      <w:bookmarkStart w:id="352" w:name="_Toc473720611"/>
      <w:bookmarkStart w:id="353" w:name="_Toc473720610"/>
      <w:bookmarkStart w:id="354" w:name="_Toc473720609"/>
      <w:bookmarkStart w:id="355" w:name="_Toc473720608"/>
      <w:bookmarkStart w:id="356" w:name="_Toc473720607"/>
      <w:bookmarkStart w:id="357" w:name="_Toc473720606"/>
      <w:bookmarkStart w:id="358" w:name="_Toc473720605"/>
      <w:bookmarkStart w:id="359" w:name="_Toc473720604"/>
      <w:bookmarkStart w:id="360" w:name="_Toc473720603"/>
      <w:bookmarkStart w:id="361" w:name="_Toc473720602"/>
      <w:bookmarkStart w:id="362" w:name="_Toc473720601"/>
      <w:bookmarkStart w:id="363" w:name="_Toc473720600"/>
      <w:bookmarkStart w:id="364" w:name="_Toc473720599"/>
      <w:bookmarkStart w:id="365" w:name="_Toc473720598"/>
      <w:bookmarkStart w:id="366" w:name="_Toc473720597"/>
      <w:bookmarkStart w:id="367" w:name="_Toc473720596"/>
      <w:bookmarkStart w:id="368" w:name="_Toc473720595"/>
      <w:bookmarkStart w:id="369" w:name="_Toc473720594"/>
      <w:bookmarkStart w:id="370" w:name="_Toc473720593"/>
      <w:bookmarkStart w:id="371" w:name="_Toc473720592"/>
      <w:bookmarkStart w:id="372" w:name="_Toc473720591"/>
      <w:bookmarkStart w:id="373" w:name="_Toc473720590"/>
      <w:bookmarkStart w:id="374" w:name="_Toc473720552"/>
      <w:bookmarkStart w:id="375" w:name="_Toc473720551"/>
      <w:bookmarkStart w:id="376" w:name="_Toc473720550"/>
      <w:bookmarkStart w:id="377" w:name="_Toc473720549"/>
      <w:bookmarkStart w:id="378" w:name="_Toc473720548"/>
      <w:bookmarkStart w:id="379" w:name="_Toc473720547"/>
      <w:bookmarkStart w:id="380" w:name="_Toc473720546"/>
      <w:bookmarkStart w:id="381" w:name="_Toc473720545"/>
      <w:bookmarkStart w:id="382" w:name="_Toc473720544"/>
      <w:bookmarkStart w:id="383" w:name="_Toc473720543"/>
      <w:bookmarkStart w:id="384" w:name="_Toc473720542"/>
      <w:bookmarkStart w:id="385" w:name="_Toc473720541"/>
      <w:bookmarkStart w:id="386" w:name="_Toc473720540"/>
      <w:bookmarkStart w:id="387" w:name="_Toc473720539"/>
      <w:bookmarkStart w:id="388" w:name="_Toc473720538"/>
      <w:bookmarkStart w:id="389" w:name="_Toc473720537"/>
      <w:bookmarkStart w:id="390" w:name="_Toc473720536"/>
      <w:bookmarkStart w:id="391" w:name="_Toc473720535"/>
      <w:bookmarkStart w:id="392" w:name="_Toc473720534"/>
      <w:bookmarkStart w:id="393" w:name="_Toc473720533"/>
      <w:bookmarkStart w:id="394" w:name="_Toc473720532"/>
      <w:bookmarkStart w:id="395" w:name="_Toc473720531"/>
      <w:bookmarkStart w:id="396" w:name="_Toc473720530"/>
      <w:bookmarkStart w:id="397" w:name="_Toc473720529"/>
      <w:bookmarkStart w:id="398" w:name="_Toc473720528"/>
      <w:bookmarkStart w:id="399" w:name="_Toc473720527"/>
      <w:bookmarkStart w:id="400" w:name="_Toc473720526"/>
      <w:bookmarkStart w:id="401" w:name="_Toc473720525"/>
      <w:bookmarkStart w:id="402" w:name="_Toc473720524"/>
      <w:bookmarkStart w:id="403" w:name="_Toc473720523"/>
      <w:bookmarkStart w:id="404" w:name="_Toc473720522"/>
      <w:bookmarkStart w:id="405" w:name="_Toc473720521"/>
      <w:bookmarkStart w:id="406" w:name="_Toc473720520"/>
      <w:bookmarkStart w:id="407" w:name="_Toc473720519"/>
      <w:bookmarkStart w:id="408" w:name="_Toc473720518"/>
      <w:bookmarkStart w:id="409" w:name="_Toc473720517"/>
      <w:bookmarkStart w:id="410" w:name="_Toc473720516"/>
      <w:bookmarkStart w:id="411" w:name="_Toc473720515"/>
      <w:bookmarkStart w:id="412" w:name="_Toc473720514"/>
      <w:bookmarkStart w:id="413" w:name="_Toc473720513"/>
      <w:bookmarkStart w:id="414" w:name="_Toc473720512"/>
      <w:bookmarkStart w:id="415" w:name="_Toc473720511"/>
      <w:bookmarkStart w:id="416" w:name="_Toc473720510"/>
      <w:bookmarkStart w:id="417" w:name="_Toc473720509"/>
      <w:bookmarkStart w:id="418" w:name="_Toc473720508"/>
      <w:bookmarkStart w:id="419" w:name="_Toc473720507"/>
      <w:bookmarkStart w:id="420" w:name="_Toc473720506"/>
      <w:bookmarkStart w:id="421" w:name="_Toc473720505"/>
      <w:bookmarkStart w:id="422" w:name="_Toc473720504"/>
      <w:bookmarkStart w:id="423" w:name="_Toc473720503"/>
      <w:bookmarkStart w:id="424" w:name="_Toc473720502"/>
      <w:bookmarkStart w:id="425" w:name="_Toc473720501"/>
      <w:bookmarkStart w:id="426" w:name="_Toc473720500"/>
      <w:bookmarkStart w:id="427" w:name="_Toc473720499"/>
      <w:bookmarkStart w:id="428" w:name="_Toc473720498"/>
      <w:bookmarkStart w:id="429" w:name="_Toc473720497"/>
      <w:bookmarkStart w:id="430" w:name="_Toc473720496"/>
      <w:bookmarkStart w:id="431" w:name="_Toc473720495"/>
      <w:bookmarkStart w:id="432" w:name="_Toc473720494"/>
      <w:bookmarkStart w:id="433" w:name="_Toc473720493"/>
      <w:bookmarkStart w:id="434" w:name="_Toc473720492"/>
      <w:bookmarkStart w:id="435" w:name="_Toc473720491"/>
      <w:bookmarkStart w:id="436" w:name="_Toc473720490"/>
      <w:bookmarkStart w:id="437" w:name="_Toc473720489"/>
      <w:bookmarkStart w:id="438" w:name="_Toc473720488"/>
      <w:bookmarkStart w:id="439" w:name="_Toc473720487"/>
      <w:bookmarkStart w:id="440" w:name="_Toc473720486"/>
      <w:bookmarkStart w:id="441" w:name="_Toc473720485"/>
      <w:bookmarkStart w:id="442" w:name="_Toc473720484"/>
      <w:bookmarkStart w:id="443" w:name="_Toc473720483"/>
      <w:bookmarkStart w:id="444" w:name="_Toc473720482"/>
      <w:bookmarkStart w:id="445" w:name="_Toc473720481"/>
      <w:bookmarkStart w:id="446" w:name="_Toc473720480"/>
      <w:bookmarkStart w:id="447" w:name="_Toc473720479"/>
      <w:bookmarkStart w:id="448" w:name="_Toc473720478"/>
      <w:bookmarkStart w:id="449" w:name="_Toc473720477"/>
      <w:bookmarkStart w:id="450" w:name="_Toc473720476"/>
      <w:bookmarkStart w:id="451" w:name="_Toc473720475"/>
      <w:bookmarkStart w:id="452" w:name="_Toc473720474"/>
      <w:bookmarkStart w:id="453" w:name="_Toc473720473"/>
      <w:bookmarkStart w:id="454" w:name="_Toc473720472"/>
      <w:bookmarkStart w:id="455" w:name="_Toc473720471"/>
      <w:bookmarkStart w:id="456" w:name="_Toc473720470"/>
      <w:bookmarkStart w:id="457" w:name="_Toc473720469"/>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E8BCF78" w14:textId="77777777" w:rsidR="006B1713" w:rsidRDefault="006B1713">
      <w:pPr>
        <w:rPr>
          <w:rFonts w:ascii="Arial Bold" w:hAnsi="Arial Bold"/>
          <w:b/>
          <w:caps/>
        </w:rPr>
      </w:pPr>
      <w:r>
        <w:br w:type="page"/>
      </w:r>
    </w:p>
    <w:p w14:paraId="29E9D498" w14:textId="6AF1EFDD" w:rsidR="00DC4D54" w:rsidRPr="00DF303A" w:rsidRDefault="00C24815" w:rsidP="00C24815">
      <w:pPr>
        <w:pStyle w:val="TSHeadingNumbered1"/>
        <w:ind w:left="720"/>
      </w:pPr>
      <w:bookmarkStart w:id="458" w:name="_Toc57895911"/>
      <w:r>
        <w:lastRenderedPageBreak/>
        <w:t xml:space="preserve">Table 1: </w:t>
      </w:r>
      <w:r w:rsidR="00DF303A" w:rsidRPr="00DF303A">
        <w:t>WENRA</w:t>
      </w:r>
      <w:r>
        <w:t xml:space="preserve"> Decommissioning Safety Reference Levels</w:t>
      </w:r>
      <w:bookmarkEnd w:id="458"/>
    </w:p>
    <w:p w14:paraId="236962B9" w14:textId="621F45AE" w:rsidR="00DF303A" w:rsidRPr="004C5980" w:rsidRDefault="00DF303A" w:rsidP="00DF303A">
      <w:pPr>
        <w:tabs>
          <w:tab w:val="left" w:pos="1134"/>
        </w:tabs>
        <w:spacing w:after="120"/>
      </w:pPr>
      <w:r>
        <w:t>Written by the WENRA WGWD (Working Group on Waste and Decommissioning)</w:t>
      </w:r>
    </w:p>
    <w:p w14:paraId="1ECC52C9" w14:textId="77777777" w:rsidR="00DF303A" w:rsidRPr="00DF303A" w:rsidRDefault="00DF303A" w:rsidP="003B5A81">
      <w:pPr>
        <w:rPr>
          <w:rFonts w:ascii="Arial Bold" w:hAnsi="Arial Bold"/>
          <w:caps/>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04"/>
        <w:gridCol w:w="6804"/>
        <w:gridCol w:w="923"/>
        <w:gridCol w:w="993"/>
      </w:tblGrid>
      <w:tr w:rsidR="00C24815" w:rsidRPr="005C5978" w14:paraId="1F4E6F7E" w14:textId="39AE0861" w:rsidTr="00F3223E">
        <w:tc>
          <w:tcPr>
            <w:tcW w:w="704" w:type="dxa"/>
          </w:tcPr>
          <w:p w14:paraId="5907347F" w14:textId="1FCE0B05" w:rsidR="00C24815" w:rsidRPr="005C5978" w:rsidRDefault="00F3223E" w:rsidP="00C24815">
            <w:pPr>
              <w:tabs>
                <w:tab w:val="left" w:pos="720"/>
              </w:tabs>
              <w:spacing w:before="100" w:beforeAutospacing="1" w:after="100" w:afterAutospacing="1"/>
              <w:rPr>
                <w:rFonts w:cs="Arial"/>
                <w:b/>
                <w:szCs w:val="22"/>
              </w:rPr>
            </w:pPr>
            <w:r>
              <w:rPr>
                <w:rFonts w:cs="Arial"/>
                <w:b/>
                <w:szCs w:val="22"/>
              </w:rPr>
              <w:t>Ref</w:t>
            </w:r>
          </w:p>
        </w:tc>
        <w:tc>
          <w:tcPr>
            <w:tcW w:w="6804" w:type="dxa"/>
          </w:tcPr>
          <w:p w14:paraId="0475E1DA" w14:textId="77777777" w:rsidR="00C24815" w:rsidRPr="005C5978" w:rsidRDefault="00C24815" w:rsidP="00C24815">
            <w:pPr>
              <w:tabs>
                <w:tab w:val="left" w:pos="720"/>
              </w:tabs>
              <w:spacing w:before="100" w:beforeAutospacing="1" w:after="100" w:afterAutospacing="1"/>
              <w:rPr>
                <w:rFonts w:cs="Arial"/>
                <w:b/>
                <w:szCs w:val="22"/>
              </w:rPr>
            </w:pPr>
            <w:r w:rsidRPr="005C5978">
              <w:rPr>
                <w:rFonts w:cs="Arial"/>
                <w:b/>
                <w:szCs w:val="22"/>
              </w:rPr>
              <w:t>Subject</w:t>
            </w:r>
          </w:p>
        </w:tc>
        <w:tc>
          <w:tcPr>
            <w:tcW w:w="923" w:type="dxa"/>
          </w:tcPr>
          <w:p w14:paraId="3F2D6D36" w14:textId="5F9EFAF8" w:rsidR="00C24815" w:rsidRPr="005C5978" w:rsidRDefault="00C24815" w:rsidP="00C24815">
            <w:pPr>
              <w:tabs>
                <w:tab w:val="left" w:pos="720"/>
              </w:tabs>
              <w:spacing w:before="100" w:beforeAutospacing="1" w:after="100" w:afterAutospacing="1"/>
              <w:rPr>
                <w:rFonts w:cs="Arial"/>
                <w:b/>
                <w:szCs w:val="22"/>
              </w:rPr>
            </w:pPr>
            <w:r w:rsidRPr="005C5978">
              <w:rPr>
                <w:rFonts w:cs="Arial"/>
                <w:b/>
                <w:szCs w:val="22"/>
              </w:rPr>
              <w:t>SAP</w:t>
            </w:r>
          </w:p>
        </w:tc>
        <w:tc>
          <w:tcPr>
            <w:tcW w:w="993" w:type="dxa"/>
          </w:tcPr>
          <w:p w14:paraId="648440CF" w14:textId="70BF5B29" w:rsidR="00C24815" w:rsidRPr="005C5978" w:rsidRDefault="00C24815" w:rsidP="00C24815">
            <w:pPr>
              <w:tabs>
                <w:tab w:val="left" w:pos="720"/>
              </w:tabs>
              <w:spacing w:before="100" w:beforeAutospacing="1" w:after="100" w:afterAutospacing="1"/>
              <w:rPr>
                <w:rFonts w:cs="Arial"/>
                <w:b/>
                <w:szCs w:val="22"/>
              </w:rPr>
            </w:pPr>
            <w:r w:rsidRPr="005C5978">
              <w:rPr>
                <w:rFonts w:cs="Arial"/>
                <w:b/>
                <w:szCs w:val="22"/>
              </w:rPr>
              <w:t>Section Ref</w:t>
            </w:r>
          </w:p>
        </w:tc>
      </w:tr>
      <w:tr w:rsidR="008C6CB1" w:rsidRPr="005C5978" w14:paraId="3937B71E" w14:textId="40B741A8" w:rsidTr="00F3223E">
        <w:tc>
          <w:tcPr>
            <w:tcW w:w="704" w:type="dxa"/>
          </w:tcPr>
          <w:p w14:paraId="1F17F4EA" w14:textId="4F41AC74"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DE-03</w:t>
            </w:r>
          </w:p>
        </w:tc>
        <w:tc>
          <w:tcPr>
            <w:tcW w:w="6804" w:type="dxa"/>
          </w:tcPr>
          <w:p w14:paraId="751B7B10" w14:textId="75D46429"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ultimate responsibility for safety shall remain with the licensee, although it is permissible to delegate the performance of specific tasks to subcontractors. The licensee shall ensure that the work of contractors is appropriately controlled so that it is conducted safely</w:t>
            </w:r>
            <w:r w:rsidRPr="00323565">
              <w:rPr>
                <w:rFonts w:cs="Arial"/>
                <w:i/>
                <w:iCs/>
                <w:sz w:val="20"/>
                <w:szCs w:val="20"/>
                <w:lang w:eastAsia="en-GB"/>
              </w:rPr>
              <w:t>.</w:t>
            </w:r>
          </w:p>
        </w:tc>
        <w:tc>
          <w:tcPr>
            <w:tcW w:w="923" w:type="dxa"/>
          </w:tcPr>
          <w:p w14:paraId="050537C8" w14:textId="746F3951"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SC.8, MS.2, DC.7</w:t>
            </w:r>
          </w:p>
        </w:tc>
        <w:tc>
          <w:tcPr>
            <w:tcW w:w="993" w:type="dxa"/>
          </w:tcPr>
          <w:p w14:paraId="515E988E" w14:textId="3E8B02AE"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2.3</w:t>
            </w:r>
          </w:p>
        </w:tc>
      </w:tr>
      <w:tr w:rsidR="008C6CB1" w:rsidRPr="005C5978" w14:paraId="34EB22A9" w14:textId="350F6736" w:rsidTr="00F3223E">
        <w:tc>
          <w:tcPr>
            <w:tcW w:w="704" w:type="dxa"/>
          </w:tcPr>
          <w:p w14:paraId="2978D84F" w14:textId="50394331"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DE-05</w:t>
            </w:r>
          </w:p>
        </w:tc>
        <w:tc>
          <w:tcPr>
            <w:tcW w:w="6804" w:type="dxa"/>
          </w:tcPr>
          <w:p w14:paraId="1C0F2372" w14:textId="16F82BC2"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establish an organizational structure for the management and implementation of decommissioning, with the responsibility to ensure that decommissioning will be conducted safely.</w:t>
            </w:r>
          </w:p>
        </w:tc>
        <w:tc>
          <w:tcPr>
            <w:tcW w:w="923" w:type="dxa"/>
            <w:tcBorders>
              <w:bottom w:val="single" w:sz="4" w:space="0" w:color="auto"/>
            </w:tcBorders>
          </w:tcPr>
          <w:p w14:paraId="24BBFEC8" w14:textId="75F2A79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MS.2</w:t>
            </w:r>
          </w:p>
        </w:tc>
        <w:tc>
          <w:tcPr>
            <w:tcW w:w="993" w:type="dxa"/>
            <w:tcBorders>
              <w:bottom w:val="single" w:sz="4" w:space="0" w:color="auto"/>
            </w:tcBorders>
          </w:tcPr>
          <w:p w14:paraId="2AF7647A" w14:textId="3BFC7B96" w:rsidR="008C6CB1" w:rsidRPr="00323565" w:rsidRDefault="00DF7207" w:rsidP="008C6CB1">
            <w:pPr>
              <w:tabs>
                <w:tab w:val="left" w:pos="720"/>
              </w:tabs>
              <w:spacing w:before="100" w:beforeAutospacing="1" w:after="100" w:afterAutospacing="1"/>
              <w:rPr>
                <w:rFonts w:cs="Arial"/>
                <w:sz w:val="20"/>
                <w:szCs w:val="20"/>
              </w:rPr>
            </w:pPr>
            <w:r w:rsidRPr="00323565">
              <w:rPr>
                <w:rFonts w:cs="Arial"/>
                <w:sz w:val="20"/>
                <w:szCs w:val="20"/>
              </w:rPr>
              <w:t>2.3</w:t>
            </w:r>
          </w:p>
        </w:tc>
      </w:tr>
      <w:tr w:rsidR="008C6CB1" w:rsidRPr="005C5978" w14:paraId="106D1339" w14:textId="6FD65856" w:rsidTr="00F3223E">
        <w:tc>
          <w:tcPr>
            <w:tcW w:w="704" w:type="dxa"/>
          </w:tcPr>
          <w:p w14:paraId="3B9D8882" w14:textId="7A61AC6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DE-07</w:t>
            </w:r>
          </w:p>
        </w:tc>
        <w:tc>
          <w:tcPr>
            <w:tcW w:w="6804" w:type="dxa"/>
          </w:tcPr>
          <w:p w14:paraId="258AB846" w14:textId="01860B95"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ensure that there is a clear allocation of authorities and responsibilities, together with the interfaces and communication routes that will be used especially when contractors or outside organizations are used.</w:t>
            </w:r>
          </w:p>
        </w:tc>
        <w:tc>
          <w:tcPr>
            <w:tcW w:w="923" w:type="dxa"/>
          </w:tcPr>
          <w:p w14:paraId="762BF223" w14:textId="193CB83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MS.2, DC.7</w:t>
            </w:r>
          </w:p>
        </w:tc>
        <w:tc>
          <w:tcPr>
            <w:tcW w:w="993" w:type="dxa"/>
          </w:tcPr>
          <w:p w14:paraId="0D07C80B" w14:textId="05E5965A"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 xml:space="preserve">2.3 </w:t>
            </w:r>
          </w:p>
        </w:tc>
      </w:tr>
      <w:tr w:rsidR="008C6CB1" w:rsidRPr="005C5978" w14:paraId="10A24506" w14:textId="7E91F794" w:rsidTr="00F3223E">
        <w:tc>
          <w:tcPr>
            <w:tcW w:w="704" w:type="dxa"/>
          </w:tcPr>
          <w:p w14:paraId="438727F5" w14:textId="3C3EAC93"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DE-08</w:t>
            </w:r>
          </w:p>
        </w:tc>
        <w:tc>
          <w:tcPr>
            <w:tcW w:w="6804" w:type="dxa"/>
          </w:tcPr>
          <w:p w14:paraId="3314A8F6" w14:textId="0753B53E"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evaluate the skills needed for safe decommissioning and shall determine the minimum number and qualification requirements of staff responsible for safety at the various stages of decommissioning.</w:t>
            </w:r>
          </w:p>
        </w:tc>
        <w:tc>
          <w:tcPr>
            <w:tcW w:w="923" w:type="dxa"/>
            <w:tcBorders>
              <w:bottom w:val="single" w:sz="4" w:space="0" w:color="auto"/>
            </w:tcBorders>
          </w:tcPr>
          <w:p w14:paraId="6D499B76" w14:textId="29C46C4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MS.2, SC.1, EHF.8, DC.7</w:t>
            </w:r>
          </w:p>
        </w:tc>
        <w:tc>
          <w:tcPr>
            <w:tcW w:w="993" w:type="dxa"/>
            <w:tcBorders>
              <w:bottom w:val="single" w:sz="4" w:space="0" w:color="auto"/>
            </w:tcBorders>
          </w:tcPr>
          <w:p w14:paraId="40D3E1B3" w14:textId="63A6096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2.3</w:t>
            </w:r>
          </w:p>
        </w:tc>
      </w:tr>
      <w:tr w:rsidR="008C6CB1" w:rsidRPr="005C5978" w14:paraId="1043B96B" w14:textId="1B867050" w:rsidTr="00F3223E">
        <w:tc>
          <w:tcPr>
            <w:tcW w:w="704" w:type="dxa"/>
          </w:tcPr>
          <w:p w14:paraId="3C3EB3B9" w14:textId="0BF3F2B5"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DE-09</w:t>
            </w:r>
          </w:p>
        </w:tc>
        <w:tc>
          <w:tcPr>
            <w:tcW w:w="6804" w:type="dxa"/>
          </w:tcPr>
          <w:p w14:paraId="4C81910E" w14:textId="177D04EE"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 xml:space="preserve">The licensee shall ensure that sufficient knowledge of the facility and technical expertise is maintained during </w:t>
            </w:r>
            <w:r w:rsidR="000E29A8" w:rsidRPr="00323565">
              <w:rPr>
                <w:rFonts w:cs="Arial"/>
                <w:sz w:val="20"/>
                <w:szCs w:val="20"/>
                <w:lang w:eastAsia="en-GB"/>
              </w:rPr>
              <w:t>lifetime</w:t>
            </w:r>
            <w:r w:rsidRPr="00323565">
              <w:rPr>
                <w:rFonts w:cs="Arial"/>
                <w:sz w:val="20"/>
                <w:szCs w:val="20"/>
                <w:lang w:eastAsia="en-GB"/>
              </w:rPr>
              <w:t xml:space="preserve"> of the facility. The licensee shall ensure that appropriate records and reports that are relevant to decommissioning (e.g. records on the use of the facility, events and incidents, radionuclide inventories, dose rates and contamination levels) shall be retained during </w:t>
            </w:r>
            <w:r w:rsidR="000E29A8" w:rsidRPr="00323565">
              <w:rPr>
                <w:rFonts w:cs="Arial"/>
                <w:sz w:val="20"/>
                <w:szCs w:val="20"/>
                <w:lang w:eastAsia="en-GB"/>
              </w:rPr>
              <w:t>lifetime</w:t>
            </w:r>
            <w:r w:rsidRPr="00323565">
              <w:rPr>
                <w:rFonts w:cs="Arial"/>
                <w:sz w:val="20"/>
                <w:szCs w:val="20"/>
                <w:lang w:eastAsia="en-GB"/>
              </w:rPr>
              <w:t xml:space="preserve"> of the facility. In this way, the design and modifications of the facility and its operating history will be identified and factored into the decommissioning plan.</w:t>
            </w:r>
          </w:p>
        </w:tc>
        <w:tc>
          <w:tcPr>
            <w:tcW w:w="923" w:type="dxa"/>
          </w:tcPr>
          <w:p w14:paraId="4D0CF9DC" w14:textId="4A74F988"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DC.6, DC.3 EMC.2, ENM.4, RL.1, RL.7, MS.2, RW.6</w:t>
            </w:r>
          </w:p>
        </w:tc>
        <w:tc>
          <w:tcPr>
            <w:tcW w:w="993" w:type="dxa"/>
          </w:tcPr>
          <w:p w14:paraId="0F8F7034" w14:textId="0495A71C"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2.5</w:t>
            </w:r>
          </w:p>
        </w:tc>
      </w:tr>
      <w:tr w:rsidR="008C6CB1" w:rsidRPr="005C5978" w14:paraId="5826C0E2" w14:textId="0CD024C7" w:rsidTr="00F3223E">
        <w:tc>
          <w:tcPr>
            <w:tcW w:w="704" w:type="dxa"/>
          </w:tcPr>
          <w:p w14:paraId="112D0581" w14:textId="6742311B"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DE-12</w:t>
            </w:r>
          </w:p>
        </w:tc>
        <w:tc>
          <w:tcPr>
            <w:tcW w:w="6804" w:type="dxa"/>
          </w:tcPr>
          <w:p w14:paraId="0738F238" w14:textId="4362C027"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ensure that the management system is applied to all phases of decommissioning taking into account the continuous change during decommissioning.</w:t>
            </w:r>
          </w:p>
        </w:tc>
        <w:tc>
          <w:tcPr>
            <w:tcW w:w="923" w:type="dxa"/>
          </w:tcPr>
          <w:p w14:paraId="21C5596B" w14:textId="7C388255"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MS.2, DC.3</w:t>
            </w:r>
          </w:p>
        </w:tc>
        <w:tc>
          <w:tcPr>
            <w:tcW w:w="993" w:type="dxa"/>
          </w:tcPr>
          <w:p w14:paraId="281FAE60" w14:textId="1EECFAAE"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2.3</w:t>
            </w:r>
          </w:p>
        </w:tc>
      </w:tr>
      <w:tr w:rsidR="008C6CB1" w:rsidRPr="005C5978" w14:paraId="6E132505" w14:textId="627168AC" w:rsidTr="00F3223E">
        <w:tc>
          <w:tcPr>
            <w:tcW w:w="704" w:type="dxa"/>
          </w:tcPr>
          <w:p w14:paraId="61C2759E" w14:textId="52F1299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DE-13</w:t>
            </w:r>
          </w:p>
        </w:tc>
        <w:tc>
          <w:tcPr>
            <w:tcW w:w="6804" w:type="dxa"/>
          </w:tcPr>
          <w:p w14:paraId="7C270E3A" w14:textId="65438D20"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ensure, that processes of the management system that are needed to achieve the goals, provide the means to meet all requirements and deliver the products of the organization are identified, and their development are planned, implemented, assessed and continually improved. The work performed in each process shall be carried out under controlled conditions, by using approved current procedures, instructions, drawings or other appropriate means that are periodically reviewed to ensure their adequacy and effectiveness</w:t>
            </w:r>
          </w:p>
        </w:tc>
        <w:tc>
          <w:tcPr>
            <w:tcW w:w="923" w:type="dxa"/>
          </w:tcPr>
          <w:p w14:paraId="5A5BC3FD" w14:textId="5DC82BD5"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DC.8, ECE.17</w:t>
            </w:r>
          </w:p>
        </w:tc>
        <w:tc>
          <w:tcPr>
            <w:tcW w:w="993" w:type="dxa"/>
          </w:tcPr>
          <w:p w14:paraId="33C9797C" w14:textId="63466231"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2.4</w:t>
            </w:r>
          </w:p>
        </w:tc>
      </w:tr>
      <w:tr w:rsidR="008C6CB1" w:rsidRPr="005C5978" w14:paraId="32E00598" w14:textId="53464C35" w:rsidTr="00F3223E">
        <w:tc>
          <w:tcPr>
            <w:tcW w:w="704" w:type="dxa"/>
          </w:tcPr>
          <w:p w14:paraId="6F801D03" w14:textId="3762521A"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DE-14</w:t>
            </w:r>
          </w:p>
        </w:tc>
        <w:tc>
          <w:tcPr>
            <w:tcW w:w="6804" w:type="dxa"/>
          </w:tcPr>
          <w:p w14:paraId="3228BCED" w14:textId="589462F2"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The licensee shall ensure that the documentation of the management system includes the following:</w:t>
            </w:r>
          </w:p>
          <w:p w14:paraId="5FE4AB35"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 The policy statements of the licensee;</w:t>
            </w:r>
          </w:p>
          <w:p w14:paraId="62890BA9"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 A description of the management system;</w:t>
            </w:r>
          </w:p>
          <w:p w14:paraId="3E913274"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 A description of the organisational structure of the licensee;</w:t>
            </w:r>
          </w:p>
          <w:p w14:paraId="634960BC"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 A description of the functional responsibilities, accountabilities, levels of authority and</w:t>
            </w:r>
          </w:p>
          <w:p w14:paraId="1110E8E9"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interactions of those managing, performing and assessing work;</w:t>
            </w:r>
          </w:p>
          <w:p w14:paraId="50C3F99A"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 A description of the interactions with relevant external organisations;</w:t>
            </w:r>
          </w:p>
          <w:p w14:paraId="20E5EC8F" w14:textId="7D1EB94D"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 A description of the processes and supporting information that explain how work is to be prepared, reviewed, carried out, recorded, assessed and improved.</w:t>
            </w:r>
          </w:p>
        </w:tc>
        <w:tc>
          <w:tcPr>
            <w:tcW w:w="923" w:type="dxa"/>
            <w:tcBorders>
              <w:bottom w:val="single" w:sz="4" w:space="0" w:color="auto"/>
            </w:tcBorders>
          </w:tcPr>
          <w:p w14:paraId="3524D730" w14:textId="6B094EB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DC.2</w:t>
            </w:r>
          </w:p>
        </w:tc>
        <w:tc>
          <w:tcPr>
            <w:tcW w:w="993" w:type="dxa"/>
            <w:tcBorders>
              <w:bottom w:val="single" w:sz="4" w:space="0" w:color="auto"/>
            </w:tcBorders>
          </w:tcPr>
          <w:p w14:paraId="4AE67601" w14:textId="1E31ED83"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2.4</w:t>
            </w:r>
          </w:p>
        </w:tc>
      </w:tr>
      <w:tr w:rsidR="008C6CB1" w:rsidRPr="005C5978" w14:paraId="679D3E0A" w14:textId="0649DBA9" w:rsidTr="00F3223E">
        <w:tc>
          <w:tcPr>
            <w:tcW w:w="704" w:type="dxa"/>
          </w:tcPr>
          <w:p w14:paraId="57436060" w14:textId="36B4F9F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DE-15</w:t>
            </w:r>
          </w:p>
        </w:tc>
        <w:tc>
          <w:tcPr>
            <w:tcW w:w="6804" w:type="dxa"/>
          </w:tcPr>
          <w:p w14:paraId="4ED519A4" w14:textId="1A289C25"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take account of the need to decommission a facility at the time it is being planned, designed, constructed and operated. Measures, including design features, contamination and activation control, shall be described and justified.</w:t>
            </w:r>
          </w:p>
        </w:tc>
        <w:tc>
          <w:tcPr>
            <w:tcW w:w="923" w:type="dxa"/>
          </w:tcPr>
          <w:p w14:paraId="3FC06DF1" w14:textId="7C7169CB"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DC.1</w:t>
            </w:r>
          </w:p>
        </w:tc>
        <w:tc>
          <w:tcPr>
            <w:tcW w:w="993" w:type="dxa"/>
          </w:tcPr>
          <w:p w14:paraId="5A7C86F5" w14:textId="25F47B3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2.3</w:t>
            </w:r>
          </w:p>
        </w:tc>
      </w:tr>
      <w:tr w:rsidR="008C6CB1" w:rsidRPr="005C5978" w14:paraId="0EB7BFCA" w14:textId="7652576B" w:rsidTr="00F3223E">
        <w:tc>
          <w:tcPr>
            <w:tcW w:w="704" w:type="dxa"/>
          </w:tcPr>
          <w:p w14:paraId="1661EADD" w14:textId="7DD7158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DE-17</w:t>
            </w:r>
          </w:p>
        </w:tc>
        <w:tc>
          <w:tcPr>
            <w:tcW w:w="6804" w:type="dxa"/>
          </w:tcPr>
          <w:p w14:paraId="457BE2F9" w14:textId="1139E995"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 xml:space="preserve">The licensee shall establish a decommissioning strategy for its facility. This decommissioning strategy shall be consistent with existing related national </w:t>
            </w:r>
            <w:r w:rsidRPr="00323565">
              <w:rPr>
                <w:rFonts w:cs="Arial"/>
                <w:sz w:val="20"/>
                <w:szCs w:val="20"/>
                <w:lang w:eastAsia="en-GB"/>
              </w:rPr>
              <w:lastRenderedPageBreak/>
              <w:t>strategies and regulatory requirements, e. g. on decommissioning or radioactive waste management.</w:t>
            </w:r>
          </w:p>
        </w:tc>
        <w:tc>
          <w:tcPr>
            <w:tcW w:w="923" w:type="dxa"/>
          </w:tcPr>
          <w:p w14:paraId="30551290" w14:textId="2F27F188"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lastRenderedPageBreak/>
              <w:t>DC.2</w:t>
            </w:r>
          </w:p>
        </w:tc>
        <w:tc>
          <w:tcPr>
            <w:tcW w:w="993" w:type="dxa"/>
          </w:tcPr>
          <w:p w14:paraId="4FF08BB9" w14:textId="2A69AE3F"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2.1</w:t>
            </w:r>
          </w:p>
        </w:tc>
      </w:tr>
      <w:tr w:rsidR="008C6CB1" w:rsidRPr="005C5978" w14:paraId="12BC85A5" w14:textId="5A2D089B" w:rsidTr="00F3223E">
        <w:tc>
          <w:tcPr>
            <w:tcW w:w="704" w:type="dxa"/>
          </w:tcPr>
          <w:p w14:paraId="3A454F92" w14:textId="380133C5"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DE-18</w:t>
            </w:r>
          </w:p>
        </w:tc>
        <w:tc>
          <w:tcPr>
            <w:tcW w:w="6804" w:type="dxa"/>
          </w:tcPr>
          <w:p w14:paraId="100A6DCE" w14:textId="7862BADC"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decommissioning strategy shall be documented including a description of the options, overall timescales for the decommissioning of the facility and the end</w:t>
            </w:r>
            <w:r w:rsidRPr="00323565">
              <w:rPr>
                <w:rFonts w:ascii="Cambria Math" w:hAnsi="Cambria Math" w:cs="Cambria Math"/>
                <w:sz w:val="20"/>
                <w:szCs w:val="20"/>
                <w:lang w:eastAsia="en-GB"/>
              </w:rPr>
              <w:t>‐</w:t>
            </w:r>
            <w:r w:rsidRPr="00323565">
              <w:rPr>
                <w:rFonts w:cs="Arial"/>
                <w:sz w:val="20"/>
                <w:szCs w:val="20"/>
                <w:lang w:eastAsia="en-GB"/>
              </w:rPr>
              <w:t>state after completion of all decommissioning activities. The reasons for the preferred option shall be explained, and options not involving immediate dismantling shall be rigorously justified.</w:t>
            </w:r>
          </w:p>
        </w:tc>
        <w:tc>
          <w:tcPr>
            <w:tcW w:w="923" w:type="dxa"/>
          </w:tcPr>
          <w:p w14:paraId="42625D50" w14:textId="334E7770"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DC.2</w:t>
            </w:r>
          </w:p>
        </w:tc>
        <w:tc>
          <w:tcPr>
            <w:tcW w:w="993" w:type="dxa"/>
          </w:tcPr>
          <w:p w14:paraId="0CAFF854" w14:textId="6448C147"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2.1</w:t>
            </w:r>
          </w:p>
        </w:tc>
      </w:tr>
      <w:tr w:rsidR="008C6CB1" w:rsidRPr="005C5978" w14:paraId="1CEED311" w14:textId="55D67612" w:rsidTr="00F3223E">
        <w:tc>
          <w:tcPr>
            <w:tcW w:w="704" w:type="dxa"/>
          </w:tcPr>
          <w:p w14:paraId="655FD8CA" w14:textId="08BF5F71"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DE-19</w:t>
            </w:r>
          </w:p>
        </w:tc>
        <w:tc>
          <w:tcPr>
            <w:tcW w:w="6804" w:type="dxa"/>
          </w:tcPr>
          <w:p w14:paraId="290CB306" w14:textId="58735458"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Based on the established decommissioning strategy the licensee shall establish an initial decommissioning plan for the facility. The details of the plan shall be commensurate with the type and status of the facility (graded approach).</w:t>
            </w:r>
          </w:p>
        </w:tc>
        <w:tc>
          <w:tcPr>
            <w:tcW w:w="923" w:type="dxa"/>
          </w:tcPr>
          <w:p w14:paraId="452D8375" w14:textId="562BA678"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DC.2</w:t>
            </w:r>
          </w:p>
        </w:tc>
        <w:tc>
          <w:tcPr>
            <w:tcW w:w="993" w:type="dxa"/>
          </w:tcPr>
          <w:p w14:paraId="1F7C7C4A" w14:textId="639E3617"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2.2</w:t>
            </w:r>
          </w:p>
        </w:tc>
      </w:tr>
      <w:tr w:rsidR="008C6CB1" w:rsidRPr="005C5978" w14:paraId="449B961E" w14:textId="05B8DE01" w:rsidTr="00F3223E">
        <w:tc>
          <w:tcPr>
            <w:tcW w:w="704" w:type="dxa"/>
          </w:tcPr>
          <w:p w14:paraId="1123F2F1" w14:textId="26E3405A"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DE-20</w:t>
            </w:r>
          </w:p>
        </w:tc>
        <w:tc>
          <w:tcPr>
            <w:tcW w:w="6804" w:type="dxa"/>
          </w:tcPr>
          <w:p w14:paraId="2B2BD122" w14:textId="251B4F92"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licensee shall submit the initial decommissioning plan to the regulatory body in support of the licence application for construction for a new facility.</w:t>
            </w:r>
          </w:p>
        </w:tc>
        <w:tc>
          <w:tcPr>
            <w:tcW w:w="923" w:type="dxa"/>
          </w:tcPr>
          <w:p w14:paraId="218C7AD6" w14:textId="2A7550CE"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DC.4,</w:t>
            </w:r>
          </w:p>
        </w:tc>
        <w:tc>
          <w:tcPr>
            <w:tcW w:w="993" w:type="dxa"/>
          </w:tcPr>
          <w:p w14:paraId="20298BE8" w14:textId="68B15A78"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 xml:space="preserve">2.2, 3.1, </w:t>
            </w:r>
          </w:p>
        </w:tc>
      </w:tr>
      <w:tr w:rsidR="008C6CB1" w:rsidRPr="005C5978" w14:paraId="7E9A697E" w14:textId="74E8F7F4" w:rsidTr="00F3223E">
        <w:tc>
          <w:tcPr>
            <w:tcW w:w="704" w:type="dxa"/>
          </w:tcPr>
          <w:p w14:paraId="1FDAC68E" w14:textId="7AD765CE"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DE-21</w:t>
            </w:r>
          </w:p>
        </w:tc>
        <w:tc>
          <w:tcPr>
            <w:tcW w:w="6804" w:type="dxa"/>
          </w:tcPr>
          <w:p w14:paraId="56CB7C45"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The initial decommissioning plan shall:</w:t>
            </w:r>
          </w:p>
          <w:p w14:paraId="576B5A5A"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(a) take into account major safety issues;</w:t>
            </w:r>
          </w:p>
          <w:p w14:paraId="4C760F21"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(b) support the fact that decommissioning can be safely conducted using proven techniques</w:t>
            </w:r>
          </w:p>
          <w:p w14:paraId="682F360F"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or ones being developed;</w:t>
            </w:r>
          </w:p>
          <w:p w14:paraId="7639CBD1"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(c) include a generic study showing the feasibility of decommissioning;</w:t>
            </w:r>
          </w:p>
          <w:p w14:paraId="224D001F"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(d) include consideration of environmental aspects of decommissioning, such as</w:t>
            </w:r>
          </w:p>
          <w:p w14:paraId="7F0A6E03"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management of waste and radioactive effluents;</w:t>
            </w:r>
          </w:p>
          <w:p w14:paraId="26FFFE45" w14:textId="0A09B8CC"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(e) provide a basis to assess the costs of the decommissioning work and the means of financing it.</w:t>
            </w:r>
          </w:p>
        </w:tc>
        <w:tc>
          <w:tcPr>
            <w:tcW w:w="923" w:type="dxa"/>
            <w:tcBorders>
              <w:bottom w:val="single" w:sz="4" w:space="0" w:color="auto"/>
            </w:tcBorders>
          </w:tcPr>
          <w:p w14:paraId="381915C9" w14:textId="5397885D"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DC.4, DC.5</w:t>
            </w:r>
          </w:p>
        </w:tc>
        <w:tc>
          <w:tcPr>
            <w:tcW w:w="993" w:type="dxa"/>
            <w:tcBorders>
              <w:bottom w:val="single" w:sz="4" w:space="0" w:color="auto"/>
            </w:tcBorders>
          </w:tcPr>
          <w:p w14:paraId="287D4015" w14:textId="68314C1F"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2.2, 3.3</w:t>
            </w:r>
          </w:p>
        </w:tc>
      </w:tr>
      <w:tr w:rsidR="008C6CB1" w:rsidRPr="005C5978" w14:paraId="3BB4A069" w14:textId="68102371" w:rsidTr="00F3223E">
        <w:tc>
          <w:tcPr>
            <w:tcW w:w="704" w:type="dxa"/>
          </w:tcPr>
          <w:p w14:paraId="04CDF24D" w14:textId="137E058F"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DE-22</w:t>
            </w:r>
          </w:p>
        </w:tc>
        <w:tc>
          <w:tcPr>
            <w:tcW w:w="6804" w:type="dxa"/>
          </w:tcPr>
          <w:p w14:paraId="6BD51A42" w14:textId="2873B878"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If several facilities are located at the same site it shall be ensured that in each facility decommissioning plan any interactions and interdependencies between the facilities are taken into account.</w:t>
            </w:r>
          </w:p>
        </w:tc>
        <w:tc>
          <w:tcPr>
            <w:tcW w:w="923" w:type="dxa"/>
            <w:tcBorders>
              <w:bottom w:val="single" w:sz="4" w:space="0" w:color="auto"/>
            </w:tcBorders>
          </w:tcPr>
          <w:p w14:paraId="1495EC90" w14:textId="46422CC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DC.3</w:t>
            </w:r>
          </w:p>
        </w:tc>
        <w:tc>
          <w:tcPr>
            <w:tcW w:w="993" w:type="dxa"/>
            <w:tcBorders>
              <w:bottom w:val="single" w:sz="4" w:space="0" w:color="auto"/>
            </w:tcBorders>
          </w:tcPr>
          <w:p w14:paraId="4E2CA0A2" w14:textId="73BCE798"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2.6</w:t>
            </w:r>
          </w:p>
        </w:tc>
      </w:tr>
      <w:tr w:rsidR="008C6CB1" w:rsidRPr="005C5978" w14:paraId="682C374A" w14:textId="211B46FD" w:rsidTr="00F3223E">
        <w:tc>
          <w:tcPr>
            <w:tcW w:w="704" w:type="dxa"/>
          </w:tcPr>
          <w:p w14:paraId="1B7AB529" w14:textId="01F6D2DB"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DE-23</w:t>
            </w:r>
          </w:p>
        </w:tc>
        <w:tc>
          <w:tcPr>
            <w:tcW w:w="6804" w:type="dxa"/>
          </w:tcPr>
          <w:p w14:paraId="4D84B7A4" w14:textId="21413283"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During operation the decommissioning plan shall be reviewed by the licensee regularly, at least as frequently as the periodic safety review, and shall be updated as required. These reviews of the decommissioning plan shall consider, in particular, changes in the facility operation experiences or regulatory requirements, and advances in technology to further evolve the decommissioning plan.</w:t>
            </w:r>
          </w:p>
        </w:tc>
        <w:tc>
          <w:tcPr>
            <w:tcW w:w="923" w:type="dxa"/>
            <w:tcBorders>
              <w:bottom w:val="single" w:sz="4" w:space="0" w:color="auto"/>
            </w:tcBorders>
          </w:tcPr>
          <w:p w14:paraId="7D7F46FF" w14:textId="310DA47C"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DC.5</w:t>
            </w:r>
          </w:p>
        </w:tc>
        <w:tc>
          <w:tcPr>
            <w:tcW w:w="993" w:type="dxa"/>
            <w:tcBorders>
              <w:bottom w:val="single" w:sz="4" w:space="0" w:color="auto"/>
            </w:tcBorders>
          </w:tcPr>
          <w:p w14:paraId="2E7F0D1C" w14:textId="736C0308"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4.3</w:t>
            </w:r>
          </w:p>
        </w:tc>
      </w:tr>
      <w:tr w:rsidR="008C6CB1" w:rsidRPr="005C5978" w14:paraId="1CC9D822" w14:textId="5B26C3A9" w:rsidTr="00F3223E">
        <w:tc>
          <w:tcPr>
            <w:tcW w:w="704" w:type="dxa"/>
          </w:tcPr>
          <w:p w14:paraId="03520474" w14:textId="2C69F21F"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DE-24</w:t>
            </w:r>
          </w:p>
        </w:tc>
        <w:tc>
          <w:tcPr>
            <w:tcW w:w="6804" w:type="dxa"/>
          </w:tcPr>
          <w:p w14:paraId="7C817F33" w14:textId="7A2BED83"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The decommissioning plan shall be supported by an appropriate safety assessment for the decommissioning activities the details of which are commensurate with the type and status of the facility (graded approach).</w:t>
            </w:r>
          </w:p>
        </w:tc>
        <w:tc>
          <w:tcPr>
            <w:tcW w:w="923" w:type="dxa"/>
            <w:tcBorders>
              <w:bottom w:val="single" w:sz="4" w:space="0" w:color="auto"/>
            </w:tcBorders>
          </w:tcPr>
          <w:p w14:paraId="4DCCBBDB" w14:textId="1961F603"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SAPs para 826</w:t>
            </w:r>
          </w:p>
        </w:tc>
        <w:tc>
          <w:tcPr>
            <w:tcW w:w="993" w:type="dxa"/>
            <w:tcBorders>
              <w:bottom w:val="single" w:sz="4" w:space="0" w:color="auto"/>
            </w:tcBorders>
          </w:tcPr>
          <w:p w14:paraId="792D1816" w14:textId="5E278A7C"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2.2</w:t>
            </w:r>
          </w:p>
        </w:tc>
      </w:tr>
      <w:tr w:rsidR="008C6CB1" w:rsidRPr="005C5978" w14:paraId="19FDC97D" w14:textId="52020132" w:rsidTr="00F3223E">
        <w:tc>
          <w:tcPr>
            <w:tcW w:w="704" w:type="dxa"/>
          </w:tcPr>
          <w:p w14:paraId="067547CD" w14:textId="34844907"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DE-25</w:t>
            </w:r>
          </w:p>
        </w:tc>
        <w:tc>
          <w:tcPr>
            <w:tcW w:w="6804" w:type="dxa"/>
          </w:tcPr>
          <w:p w14:paraId="06020342" w14:textId="34B1FB12"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The decommissioning plan shall identify major existing systems and equipment that may be used during decommissioning to ensure that they are available when needed. The decommissioning plan shall also identify necessary changes or replacements of these existing</w:t>
            </w:r>
          </w:p>
          <w:p w14:paraId="5C5046D5" w14:textId="49570CC1"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systems. The decommissioning plan shall also identify the need for existing and new facilities to carry out decommissioning and waste management.</w:t>
            </w:r>
          </w:p>
        </w:tc>
        <w:tc>
          <w:tcPr>
            <w:tcW w:w="923" w:type="dxa"/>
          </w:tcPr>
          <w:p w14:paraId="036A26A7" w14:textId="2DF8962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DC.4</w:t>
            </w:r>
          </w:p>
        </w:tc>
        <w:tc>
          <w:tcPr>
            <w:tcW w:w="993" w:type="dxa"/>
          </w:tcPr>
          <w:p w14:paraId="31F4C916" w14:textId="34A45D16"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2.2</w:t>
            </w:r>
          </w:p>
        </w:tc>
      </w:tr>
      <w:tr w:rsidR="008C6CB1" w:rsidRPr="005C5978" w14:paraId="79BBF6B8" w14:textId="16D31661" w:rsidTr="00F3223E">
        <w:tc>
          <w:tcPr>
            <w:tcW w:w="704" w:type="dxa"/>
          </w:tcPr>
          <w:p w14:paraId="38279155" w14:textId="6252898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DE-26</w:t>
            </w:r>
          </w:p>
        </w:tc>
        <w:tc>
          <w:tcPr>
            <w:tcW w:w="6804" w:type="dxa"/>
          </w:tcPr>
          <w:p w14:paraId="60FF4A4F" w14:textId="4A2FE6C7"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As soon as it has been decided to permanently shut down a nuclear facility, the licensee shall inform the regulatory body.</w:t>
            </w:r>
          </w:p>
        </w:tc>
        <w:tc>
          <w:tcPr>
            <w:tcW w:w="923" w:type="dxa"/>
          </w:tcPr>
          <w:p w14:paraId="776FA91F" w14:textId="2093DA74" w:rsidR="008C6CB1" w:rsidRPr="00323565" w:rsidRDefault="008C6CB1" w:rsidP="008C6CB1">
            <w:pPr>
              <w:tabs>
                <w:tab w:val="left" w:pos="720"/>
              </w:tabs>
              <w:spacing w:before="100" w:beforeAutospacing="1" w:after="100" w:afterAutospacing="1"/>
              <w:rPr>
                <w:rFonts w:cs="Arial"/>
                <w:color w:val="000000"/>
                <w:sz w:val="20"/>
                <w:szCs w:val="20"/>
              </w:rPr>
            </w:pPr>
            <w:r w:rsidRPr="00323565">
              <w:rPr>
                <w:rFonts w:cs="Arial"/>
                <w:sz w:val="20"/>
                <w:szCs w:val="20"/>
              </w:rPr>
              <w:t>DC.4</w:t>
            </w:r>
          </w:p>
        </w:tc>
        <w:tc>
          <w:tcPr>
            <w:tcW w:w="993" w:type="dxa"/>
          </w:tcPr>
          <w:p w14:paraId="5068D0DA" w14:textId="22BDE750" w:rsidR="008C6CB1" w:rsidRPr="00323565" w:rsidRDefault="00EE520B" w:rsidP="00EA51BF">
            <w:pPr>
              <w:tabs>
                <w:tab w:val="left" w:pos="720"/>
              </w:tabs>
              <w:spacing w:before="100" w:beforeAutospacing="1" w:after="100" w:afterAutospacing="1"/>
              <w:rPr>
                <w:rFonts w:cs="Arial"/>
                <w:sz w:val="20"/>
                <w:szCs w:val="20"/>
              </w:rPr>
            </w:pPr>
            <w:r w:rsidRPr="00323565">
              <w:rPr>
                <w:rFonts w:cs="Arial"/>
                <w:sz w:val="20"/>
                <w:szCs w:val="20"/>
                <w:lang w:eastAsia="en-GB"/>
              </w:rPr>
              <w:t>ONR-</w:t>
            </w:r>
            <w:r w:rsidR="008C6CB1" w:rsidRPr="00323565">
              <w:rPr>
                <w:rFonts w:cs="Arial"/>
                <w:sz w:val="20"/>
                <w:szCs w:val="20"/>
              </w:rPr>
              <w:t>NS-TAST-GD-026 para 5.9.19</w:t>
            </w:r>
          </w:p>
          <w:p w14:paraId="3B0E425B" w14:textId="560CE8C8" w:rsidR="008C6CB1" w:rsidRPr="00323565" w:rsidRDefault="008C6CB1" w:rsidP="008C6CB1">
            <w:pPr>
              <w:tabs>
                <w:tab w:val="left" w:pos="720"/>
              </w:tabs>
              <w:spacing w:before="100" w:beforeAutospacing="1" w:after="100" w:afterAutospacing="1"/>
              <w:rPr>
                <w:rFonts w:cs="Arial"/>
                <w:color w:val="000000"/>
                <w:sz w:val="20"/>
                <w:szCs w:val="20"/>
              </w:rPr>
            </w:pPr>
            <w:r w:rsidRPr="00323565">
              <w:rPr>
                <w:rFonts w:cs="Arial"/>
                <w:sz w:val="20"/>
                <w:szCs w:val="20"/>
              </w:rPr>
              <w:t>2.2</w:t>
            </w:r>
          </w:p>
        </w:tc>
      </w:tr>
      <w:tr w:rsidR="008C6CB1" w:rsidRPr="005C5978" w14:paraId="298032CF" w14:textId="2D1482F6" w:rsidTr="00F3223E">
        <w:tc>
          <w:tcPr>
            <w:tcW w:w="704" w:type="dxa"/>
          </w:tcPr>
          <w:p w14:paraId="3AF4E00A" w14:textId="10D131B5"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DE-27</w:t>
            </w:r>
          </w:p>
        </w:tc>
        <w:tc>
          <w:tcPr>
            <w:tcW w:w="6804" w:type="dxa"/>
          </w:tcPr>
          <w:p w14:paraId="5F43A863" w14:textId="3FDC5778"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 xml:space="preserve">If a facility is shut down and no longer used for its intended purpose, a final decommissioning plan shall be submitted to the regulatory body not later than two years after the </w:t>
            </w:r>
            <w:r w:rsidR="00EA51BF" w:rsidRPr="00323565">
              <w:rPr>
                <w:rFonts w:cs="Arial"/>
                <w:sz w:val="20"/>
                <w:szCs w:val="20"/>
                <w:lang w:eastAsia="en-GB"/>
              </w:rPr>
              <w:t>shutdown</w:t>
            </w:r>
            <w:r w:rsidRPr="00323565">
              <w:rPr>
                <w:rFonts w:cs="Arial"/>
                <w:sz w:val="20"/>
                <w:szCs w:val="20"/>
                <w:lang w:eastAsia="en-GB"/>
              </w:rPr>
              <w:t xml:space="preserve"> of the facility, unless an alternative schedule for the submission of the final decommissioning plan is specifically authorized by the regulatory body.</w:t>
            </w:r>
          </w:p>
        </w:tc>
        <w:tc>
          <w:tcPr>
            <w:tcW w:w="923" w:type="dxa"/>
            <w:tcBorders>
              <w:bottom w:val="single" w:sz="4" w:space="0" w:color="auto"/>
            </w:tcBorders>
          </w:tcPr>
          <w:p w14:paraId="588B1609" w14:textId="706D2939"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DC.4</w:t>
            </w:r>
          </w:p>
        </w:tc>
        <w:tc>
          <w:tcPr>
            <w:tcW w:w="993" w:type="dxa"/>
            <w:tcBorders>
              <w:bottom w:val="single" w:sz="4" w:space="0" w:color="auto"/>
            </w:tcBorders>
          </w:tcPr>
          <w:p w14:paraId="06F0F269" w14:textId="33FA9FF0"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2.2</w:t>
            </w:r>
          </w:p>
        </w:tc>
      </w:tr>
      <w:tr w:rsidR="008C6CB1" w:rsidRPr="005C5978" w14:paraId="298451DA" w14:textId="64904DDB" w:rsidTr="00F3223E">
        <w:tc>
          <w:tcPr>
            <w:tcW w:w="704" w:type="dxa"/>
          </w:tcPr>
          <w:p w14:paraId="3629F4BC" w14:textId="446CB6A2"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DE-28</w:t>
            </w:r>
          </w:p>
        </w:tc>
        <w:tc>
          <w:tcPr>
            <w:tcW w:w="6804" w:type="dxa"/>
          </w:tcPr>
          <w:p w14:paraId="742E600F" w14:textId="77777777"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A final decommissioning plan shall</w:t>
            </w:r>
          </w:p>
          <w:p w14:paraId="322819E2" w14:textId="77777777" w:rsidR="008C6CB1" w:rsidRPr="00323565" w:rsidRDefault="008C6CB1" w:rsidP="008C6CB1">
            <w:pPr>
              <w:autoSpaceDE w:val="0"/>
              <w:autoSpaceDN w:val="0"/>
              <w:adjustRightInd w:val="0"/>
              <w:rPr>
                <w:rFonts w:cs="Arial"/>
                <w:sz w:val="20"/>
                <w:szCs w:val="20"/>
                <w:lang w:eastAsia="en-GB"/>
              </w:rPr>
            </w:pPr>
            <w:r w:rsidRPr="00323565">
              <w:rPr>
                <w:rFonts w:ascii="Cambria Math" w:hAnsi="Cambria Math" w:cs="Cambria Math"/>
                <w:sz w:val="20"/>
                <w:szCs w:val="20"/>
                <w:lang w:eastAsia="en-GB"/>
              </w:rPr>
              <w:t>‐</w:t>
            </w:r>
            <w:r w:rsidRPr="00323565">
              <w:rPr>
                <w:rFonts w:cs="Arial"/>
                <w:sz w:val="20"/>
                <w:szCs w:val="20"/>
                <w:lang w:eastAsia="en-GB"/>
              </w:rPr>
              <w:t xml:space="preserve"> be consistent with the decommissioning strategy proposed for the facility,</w:t>
            </w:r>
          </w:p>
          <w:p w14:paraId="4775C54C" w14:textId="77777777" w:rsidR="008C6CB1" w:rsidRPr="00323565" w:rsidRDefault="008C6CB1" w:rsidP="008C6CB1">
            <w:pPr>
              <w:autoSpaceDE w:val="0"/>
              <w:autoSpaceDN w:val="0"/>
              <w:adjustRightInd w:val="0"/>
              <w:rPr>
                <w:rFonts w:cs="Arial"/>
                <w:sz w:val="20"/>
                <w:szCs w:val="20"/>
                <w:lang w:eastAsia="en-GB"/>
              </w:rPr>
            </w:pPr>
            <w:r w:rsidRPr="00323565">
              <w:rPr>
                <w:rFonts w:ascii="Cambria Math" w:hAnsi="Cambria Math" w:cs="Cambria Math"/>
                <w:sz w:val="20"/>
                <w:szCs w:val="20"/>
                <w:lang w:eastAsia="en-GB"/>
              </w:rPr>
              <w:t>‐</w:t>
            </w:r>
            <w:r w:rsidRPr="00323565">
              <w:rPr>
                <w:rFonts w:cs="Arial"/>
                <w:sz w:val="20"/>
                <w:szCs w:val="20"/>
                <w:lang w:eastAsia="en-GB"/>
              </w:rPr>
              <w:t xml:space="preserve"> be consistent with the safety case for decommissioning (ref. DE</w:t>
            </w:r>
            <w:r w:rsidRPr="00323565">
              <w:rPr>
                <w:rFonts w:ascii="Cambria Math" w:hAnsi="Cambria Math" w:cs="Cambria Math"/>
                <w:sz w:val="20"/>
                <w:szCs w:val="20"/>
                <w:lang w:eastAsia="en-GB"/>
              </w:rPr>
              <w:t>‐</w:t>
            </w:r>
            <w:r w:rsidRPr="00323565">
              <w:rPr>
                <w:rFonts w:cs="Arial"/>
                <w:sz w:val="20"/>
                <w:szCs w:val="20"/>
                <w:lang w:eastAsia="en-GB"/>
              </w:rPr>
              <w:t>50),</w:t>
            </w:r>
          </w:p>
          <w:p w14:paraId="29D18FA0" w14:textId="7C4A5769" w:rsidR="008C6CB1" w:rsidRPr="00323565" w:rsidRDefault="008C6CB1" w:rsidP="008C6CB1">
            <w:pPr>
              <w:autoSpaceDE w:val="0"/>
              <w:autoSpaceDN w:val="0"/>
              <w:adjustRightInd w:val="0"/>
              <w:rPr>
                <w:rFonts w:cs="Arial"/>
                <w:sz w:val="20"/>
                <w:szCs w:val="20"/>
                <w:lang w:eastAsia="en-GB"/>
              </w:rPr>
            </w:pPr>
            <w:r w:rsidRPr="00323565">
              <w:rPr>
                <w:rFonts w:ascii="Cambria Math" w:hAnsi="Cambria Math" w:cs="Cambria Math"/>
                <w:sz w:val="20"/>
                <w:szCs w:val="20"/>
                <w:lang w:eastAsia="en-GB"/>
              </w:rPr>
              <w:lastRenderedPageBreak/>
              <w:t>‐</w:t>
            </w:r>
            <w:r w:rsidRPr="00323565">
              <w:rPr>
                <w:rFonts w:cs="Arial"/>
                <w:sz w:val="20"/>
                <w:szCs w:val="20"/>
                <w:lang w:eastAsia="en-GB"/>
              </w:rPr>
              <w:t xml:space="preserve"> describe the decommissioning activities, including the timeframe and the end</w:t>
            </w:r>
            <w:r w:rsidRPr="00323565">
              <w:rPr>
                <w:rFonts w:ascii="Cambria Math" w:hAnsi="Cambria Math" w:cs="Cambria Math"/>
                <w:sz w:val="20"/>
                <w:szCs w:val="20"/>
                <w:lang w:eastAsia="en-GB"/>
              </w:rPr>
              <w:t>‐</w:t>
            </w:r>
            <w:r w:rsidRPr="00323565">
              <w:rPr>
                <w:rFonts w:cs="Arial"/>
                <w:sz w:val="20"/>
                <w:szCs w:val="20"/>
                <w:lang w:eastAsia="en-GB"/>
              </w:rPr>
              <w:t>state of the decommissioning project, and the content of the individual phases, if a phased approach is applied,</w:t>
            </w:r>
          </w:p>
          <w:p w14:paraId="2BFB03AA" w14:textId="1BF46D19" w:rsidR="008C6CB1" w:rsidRPr="00323565" w:rsidRDefault="008C6CB1" w:rsidP="008C6CB1">
            <w:pPr>
              <w:autoSpaceDE w:val="0"/>
              <w:autoSpaceDN w:val="0"/>
              <w:adjustRightInd w:val="0"/>
              <w:rPr>
                <w:rFonts w:cs="Arial"/>
                <w:sz w:val="20"/>
                <w:szCs w:val="20"/>
                <w:lang w:eastAsia="en-GB"/>
              </w:rPr>
            </w:pPr>
            <w:r w:rsidRPr="00323565">
              <w:rPr>
                <w:rFonts w:ascii="Cambria Math" w:hAnsi="Cambria Math" w:cs="Cambria Math"/>
                <w:sz w:val="20"/>
                <w:szCs w:val="20"/>
                <w:lang w:eastAsia="en-GB"/>
              </w:rPr>
              <w:t>‐</w:t>
            </w:r>
            <w:r w:rsidRPr="00323565">
              <w:rPr>
                <w:rFonts w:cs="Arial"/>
                <w:sz w:val="20"/>
                <w:szCs w:val="20"/>
                <w:lang w:eastAsia="en-GB"/>
              </w:rPr>
              <w:t xml:space="preserve"> describe the facilities, systems and equipment needed to perform the decommissioning project,</w:t>
            </w:r>
          </w:p>
          <w:p w14:paraId="57C84C06" w14:textId="77777777" w:rsidR="008C6CB1" w:rsidRPr="00323565" w:rsidRDefault="008C6CB1" w:rsidP="008C6CB1">
            <w:pPr>
              <w:autoSpaceDE w:val="0"/>
              <w:autoSpaceDN w:val="0"/>
              <w:adjustRightInd w:val="0"/>
              <w:rPr>
                <w:rFonts w:cs="Arial"/>
                <w:sz w:val="20"/>
                <w:szCs w:val="20"/>
                <w:lang w:eastAsia="en-GB"/>
              </w:rPr>
            </w:pPr>
            <w:r w:rsidRPr="00323565">
              <w:rPr>
                <w:rFonts w:ascii="Cambria Math" w:hAnsi="Cambria Math" w:cs="Cambria Math"/>
                <w:sz w:val="20"/>
                <w:szCs w:val="20"/>
                <w:lang w:eastAsia="en-GB"/>
              </w:rPr>
              <w:t>‐</w:t>
            </w:r>
            <w:r w:rsidRPr="00323565">
              <w:rPr>
                <w:rFonts w:cs="Arial"/>
                <w:sz w:val="20"/>
                <w:szCs w:val="20"/>
                <w:lang w:eastAsia="en-GB"/>
              </w:rPr>
              <w:t xml:space="preserve"> describe the organisational structure, skills and qualifications required for safe decommissioning,</w:t>
            </w:r>
          </w:p>
          <w:p w14:paraId="029E995B" w14:textId="15B686C6" w:rsidR="008C6CB1" w:rsidRPr="00323565" w:rsidRDefault="008C6CB1" w:rsidP="008C6CB1">
            <w:pPr>
              <w:autoSpaceDE w:val="0"/>
              <w:autoSpaceDN w:val="0"/>
              <w:adjustRightInd w:val="0"/>
              <w:rPr>
                <w:rFonts w:cs="Arial"/>
                <w:sz w:val="20"/>
                <w:szCs w:val="20"/>
              </w:rPr>
            </w:pPr>
            <w:r w:rsidRPr="00323565">
              <w:rPr>
                <w:rFonts w:ascii="Cambria Math" w:hAnsi="Cambria Math" w:cs="Cambria Math"/>
                <w:sz w:val="20"/>
                <w:szCs w:val="20"/>
                <w:lang w:eastAsia="en-GB"/>
              </w:rPr>
              <w:t>‐</w:t>
            </w:r>
            <w:r w:rsidRPr="00323565">
              <w:rPr>
                <w:rFonts w:cs="Arial"/>
                <w:sz w:val="20"/>
                <w:szCs w:val="20"/>
                <w:lang w:eastAsia="en-GB"/>
              </w:rPr>
              <w:t xml:space="preserve"> describe the management of residual material and waste in accordance with the national waste strategy, and </w:t>
            </w:r>
            <w:r w:rsidRPr="00323565">
              <w:rPr>
                <w:rFonts w:ascii="Cambria Math" w:hAnsi="Cambria Math" w:cs="Cambria Math"/>
                <w:sz w:val="20"/>
                <w:szCs w:val="20"/>
                <w:lang w:eastAsia="en-GB"/>
              </w:rPr>
              <w:t>‐</w:t>
            </w:r>
            <w:r w:rsidRPr="00323565">
              <w:rPr>
                <w:rFonts w:cs="Arial"/>
                <w:sz w:val="20"/>
                <w:szCs w:val="20"/>
                <w:lang w:eastAsia="en-GB"/>
              </w:rPr>
              <w:t xml:space="preserve"> describe the program of the final radiation survey of the end</w:t>
            </w:r>
            <w:r w:rsidRPr="00323565">
              <w:rPr>
                <w:rFonts w:ascii="Cambria Math" w:hAnsi="Cambria Math" w:cs="Cambria Math"/>
                <w:sz w:val="20"/>
                <w:szCs w:val="20"/>
                <w:lang w:eastAsia="en-GB"/>
              </w:rPr>
              <w:t>‐</w:t>
            </w:r>
            <w:r w:rsidRPr="00323565">
              <w:rPr>
                <w:rFonts w:cs="Arial"/>
                <w:sz w:val="20"/>
                <w:szCs w:val="20"/>
                <w:lang w:eastAsia="en-GB"/>
              </w:rPr>
              <w:t>state of decommissioning.</w:t>
            </w:r>
          </w:p>
        </w:tc>
        <w:tc>
          <w:tcPr>
            <w:tcW w:w="923" w:type="dxa"/>
            <w:tcBorders>
              <w:bottom w:val="single" w:sz="4" w:space="0" w:color="auto"/>
            </w:tcBorders>
          </w:tcPr>
          <w:p w14:paraId="2BFE1129" w14:textId="291EC9DA"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lastRenderedPageBreak/>
              <w:t>DC.4</w:t>
            </w:r>
          </w:p>
        </w:tc>
        <w:tc>
          <w:tcPr>
            <w:tcW w:w="993" w:type="dxa"/>
            <w:tcBorders>
              <w:bottom w:val="single" w:sz="4" w:space="0" w:color="auto"/>
            </w:tcBorders>
          </w:tcPr>
          <w:p w14:paraId="0F07AEBE" w14:textId="30D69A9F"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2.2</w:t>
            </w:r>
          </w:p>
        </w:tc>
      </w:tr>
      <w:tr w:rsidR="008C6CB1" w:rsidRPr="005C5978" w14:paraId="62192163" w14:textId="34C75CE1" w:rsidTr="00F3223E">
        <w:tc>
          <w:tcPr>
            <w:tcW w:w="704" w:type="dxa"/>
          </w:tcPr>
          <w:p w14:paraId="5444CFDE" w14:textId="19A74271"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DE-29</w:t>
            </w:r>
          </w:p>
        </w:tc>
        <w:tc>
          <w:tcPr>
            <w:tcW w:w="6804" w:type="dxa"/>
          </w:tcPr>
          <w:p w14:paraId="6EE74FE9" w14:textId="400DBC4F"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 xml:space="preserve">Depending on the timeframe of decommissioning, the decommissioning plan shall be reviewed regularly by the licensee during decommissioning </w:t>
            </w:r>
            <w:r w:rsidR="00EA51BF" w:rsidRPr="00323565">
              <w:rPr>
                <w:rFonts w:cs="Arial"/>
                <w:sz w:val="20"/>
                <w:szCs w:val="20"/>
                <w:lang w:eastAsia="en-GB"/>
              </w:rPr>
              <w:t>operations and</w:t>
            </w:r>
            <w:r w:rsidRPr="00323565">
              <w:rPr>
                <w:rFonts w:cs="Arial"/>
                <w:sz w:val="20"/>
                <w:szCs w:val="20"/>
                <w:lang w:eastAsia="en-GB"/>
              </w:rPr>
              <w:t xml:space="preserve"> shall be updated as required. These updates of the decommissioning plan are to reflect, in particular, changes in the decommissioning strategy, deviations from the scheduled program, experiences from ongoing decommissioning or changes of regulatory requirements and advances in technology.</w:t>
            </w:r>
          </w:p>
        </w:tc>
        <w:tc>
          <w:tcPr>
            <w:tcW w:w="923" w:type="dxa"/>
            <w:tcBorders>
              <w:bottom w:val="single" w:sz="4" w:space="0" w:color="auto"/>
            </w:tcBorders>
          </w:tcPr>
          <w:p w14:paraId="0CE8B2B3" w14:textId="5C638890"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DC.9</w:t>
            </w:r>
          </w:p>
        </w:tc>
        <w:tc>
          <w:tcPr>
            <w:tcW w:w="993" w:type="dxa"/>
            <w:tcBorders>
              <w:bottom w:val="single" w:sz="4" w:space="0" w:color="auto"/>
            </w:tcBorders>
          </w:tcPr>
          <w:p w14:paraId="5F4303DF" w14:textId="0C517FF7"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2.</w:t>
            </w:r>
            <w:r w:rsidR="00431254" w:rsidRPr="00323565">
              <w:rPr>
                <w:rFonts w:cs="Arial"/>
                <w:sz w:val="20"/>
                <w:szCs w:val="20"/>
              </w:rPr>
              <w:t>2</w:t>
            </w:r>
          </w:p>
        </w:tc>
      </w:tr>
      <w:tr w:rsidR="008C6CB1" w:rsidRPr="005C5978" w14:paraId="52808173" w14:textId="7CBAAD15" w:rsidTr="00F3223E">
        <w:tc>
          <w:tcPr>
            <w:tcW w:w="704" w:type="dxa"/>
          </w:tcPr>
          <w:p w14:paraId="7922C6A7" w14:textId="713F4374"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DE-30</w:t>
            </w:r>
          </w:p>
        </w:tc>
        <w:tc>
          <w:tcPr>
            <w:tcW w:w="6804" w:type="dxa"/>
          </w:tcPr>
          <w:p w14:paraId="462BDFE4" w14:textId="6622DAA7" w:rsidR="008C6CB1" w:rsidRPr="00323565" w:rsidRDefault="008C6CB1" w:rsidP="008C6CB1">
            <w:pPr>
              <w:autoSpaceDE w:val="0"/>
              <w:autoSpaceDN w:val="0"/>
              <w:adjustRightInd w:val="0"/>
              <w:rPr>
                <w:rFonts w:cs="Arial"/>
                <w:sz w:val="20"/>
                <w:szCs w:val="20"/>
              </w:rPr>
            </w:pPr>
            <w:r w:rsidRPr="00323565">
              <w:rPr>
                <w:rFonts w:cs="Arial"/>
                <w:sz w:val="20"/>
                <w:szCs w:val="20"/>
                <w:lang w:eastAsia="en-GB"/>
              </w:rPr>
              <w:t>SSCs may be re</w:t>
            </w:r>
            <w:r w:rsidRPr="00323565">
              <w:rPr>
                <w:rFonts w:ascii="Cambria Math" w:hAnsi="Cambria Math" w:cs="Cambria Math"/>
                <w:sz w:val="20"/>
                <w:szCs w:val="20"/>
                <w:lang w:eastAsia="en-GB"/>
              </w:rPr>
              <w:t>‐</w:t>
            </w:r>
            <w:r w:rsidRPr="00323565">
              <w:rPr>
                <w:rFonts w:cs="Arial"/>
                <w:sz w:val="20"/>
                <w:szCs w:val="20"/>
                <w:lang w:eastAsia="en-GB"/>
              </w:rPr>
              <w:t>classified as they change in importance to safety in the course of decommissioning activities. The licensee shall reflect this re</w:t>
            </w:r>
            <w:r w:rsidRPr="00323565">
              <w:rPr>
                <w:rFonts w:ascii="Cambria Math" w:hAnsi="Cambria Math" w:cs="Cambria Math"/>
                <w:sz w:val="20"/>
                <w:szCs w:val="20"/>
                <w:lang w:eastAsia="en-GB"/>
              </w:rPr>
              <w:t>‐</w:t>
            </w:r>
            <w:r w:rsidRPr="00323565">
              <w:rPr>
                <w:rFonts w:cs="Arial"/>
                <w:sz w:val="20"/>
                <w:szCs w:val="20"/>
                <w:lang w:eastAsia="en-GB"/>
              </w:rPr>
              <w:t>classification in the safety case.</w:t>
            </w:r>
          </w:p>
        </w:tc>
        <w:tc>
          <w:tcPr>
            <w:tcW w:w="923" w:type="dxa"/>
          </w:tcPr>
          <w:p w14:paraId="12B15436" w14:textId="68F0586F" w:rsidR="008C6CB1" w:rsidRPr="00323565" w:rsidRDefault="001A04BE" w:rsidP="008C6CB1">
            <w:pPr>
              <w:tabs>
                <w:tab w:val="left" w:pos="720"/>
              </w:tabs>
              <w:spacing w:before="100" w:beforeAutospacing="1" w:after="100" w:afterAutospacing="1"/>
              <w:rPr>
                <w:rFonts w:cs="Arial"/>
                <w:sz w:val="20"/>
                <w:szCs w:val="20"/>
              </w:rPr>
            </w:pPr>
            <w:r w:rsidRPr="00323565">
              <w:rPr>
                <w:rFonts w:cs="Arial"/>
                <w:sz w:val="20"/>
                <w:szCs w:val="20"/>
              </w:rPr>
              <w:t>ECS.1</w:t>
            </w:r>
          </w:p>
        </w:tc>
        <w:tc>
          <w:tcPr>
            <w:tcW w:w="993" w:type="dxa"/>
          </w:tcPr>
          <w:p w14:paraId="5B2AA8E4" w14:textId="08A78790" w:rsidR="008C6CB1" w:rsidRPr="00323565" w:rsidRDefault="00B96152" w:rsidP="008C6CB1">
            <w:pPr>
              <w:tabs>
                <w:tab w:val="left" w:pos="720"/>
              </w:tabs>
              <w:spacing w:before="100" w:beforeAutospacing="1" w:after="100" w:afterAutospacing="1"/>
              <w:rPr>
                <w:rFonts w:cs="Arial"/>
                <w:sz w:val="20"/>
                <w:szCs w:val="20"/>
              </w:rPr>
            </w:pPr>
            <w:r w:rsidRPr="00323565">
              <w:rPr>
                <w:rFonts w:cs="Arial"/>
                <w:sz w:val="20"/>
                <w:szCs w:val="20"/>
              </w:rPr>
              <w:t>2.6</w:t>
            </w:r>
          </w:p>
        </w:tc>
      </w:tr>
      <w:tr w:rsidR="005D3B64" w:rsidRPr="005C5978" w14:paraId="27B40C7F" w14:textId="77777777" w:rsidTr="00F3223E">
        <w:tc>
          <w:tcPr>
            <w:tcW w:w="704" w:type="dxa"/>
          </w:tcPr>
          <w:p w14:paraId="136FBC9C" w14:textId="60A3CAAB"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DE-43</w:t>
            </w:r>
          </w:p>
        </w:tc>
        <w:tc>
          <w:tcPr>
            <w:tcW w:w="6804" w:type="dxa"/>
          </w:tcPr>
          <w:p w14:paraId="40A37295" w14:textId="1F7A3ED1" w:rsidR="005D3B64" w:rsidRPr="00323565" w:rsidRDefault="005D3B64" w:rsidP="005D3B64">
            <w:pPr>
              <w:autoSpaceDE w:val="0"/>
              <w:autoSpaceDN w:val="0"/>
              <w:adjustRightInd w:val="0"/>
              <w:rPr>
                <w:rFonts w:cs="Arial"/>
                <w:sz w:val="20"/>
                <w:szCs w:val="20"/>
              </w:rPr>
            </w:pPr>
            <w:r w:rsidRPr="00323565">
              <w:rPr>
                <w:rFonts w:cs="Arial"/>
                <w:sz w:val="20"/>
                <w:szCs w:val="20"/>
                <w:lang w:eastAsia="en-GB"/>
              </w:rPr>
              <w:t>The licensee shall address the ageing of SSCs and other equipment significant to safety by establishing, if necessary, provisions for their maintenance, testing and inspection.</w:t>
            </w:r>
          </w:p>
        </w:tc>
        <w:tc>
          <w:tcPr>
            <w:tcW w:w="923" w:type="dxa"/>
          </w:tcPr>
          <w:p w14:paraId="4D55FB03" w14:textId="77777777"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ECE.18 ECE.20 ECE.26</w:t>
            </w:r>
          </w:p>
          <w:p w14:paraId="261AD9D1" w14:textId="122C6CC8" w:rsidR="005D3B64" w:rsidRPr="00323565" w:rsidRDefault="005D3B64" w:rsidP="005D3B64">
            <w:pPr>
              <w:tabs>
                <w:tab w:val="left" w:pos="720"/>
              </w:tabs>
              <w:spacing w:before="100" w:beforeAutospacing="1" w:after="100" w:afterAutospacing="1"/>
              <w:rPr>
                <w:rFonts w:cs="Arial"/>
                <w:sz w:val="20"/>
                <w:szCs w:val="20"/>
              </w:rPr>
            </w:pPr>
          </w:p>
        </w:tc>
        <w:tc>
          <w:tcPr>
            <w:tcW w:w="993" w:type="dxa"/>
          </w:tcPr>
          <w:p w14:paraId="6F22DE38" w14:textId="768B916E"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2.3.2</w:t>
            </w:r>
          </w:p>
        </w:tc>
      </w:tr>
      <w:tr w:rsidR="005D3B64" w:rsidRPr="005C5978" w14:paraId="2BFA71DB" w14:textId="77777777" w:rsidTr="00F3223E">
        <w:tc>
          <w:tcPr>
            <w:tcW w:w="704" w:type="dxa"/>
          </w:tcPr>
          <w:p w14:paraId="13CD8B4F" w14:textId="40F54D5C"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 xml:space="preserve">DE-44 </w:t>
            </w:r>
          </w:p>
        </w:tc>
        <w:tc>
          <w:tcPr>
            <w:tcW w:w="6804" w:type="dxa"/>
          </w:tcPr>
          <w:p w14:paraId="4F660CB2" w14:textId="20B93103" w:rsidR="005D3B64" w:rsidRPr="00323565" w:rsidRDefault="005D3B64" w:rsidP="005D3B64">
            <w:pPr>
              <w:autoSpaceDE w:val="0"/>
              <w:autoSpaceDN w:val="0"/>
              <w:adjustRightInd w:val="0"/>
              <w:rPr>
                <w:rFonts w:cs="Arial"/>
                <w:sz w:val="20"/>
                <w:szCs w:val="20"/>
                <w:lang w:eastAsia="en-GB"/>
              </w:rPr>
            </w:pPr>
            <w:r w:rsidRPr="00323565">
              <w:rPr>
                <w:rFonts w:cs="Arial"/>
                <w:sz w:val="20"/>
                <w:szCs w:val="20"/>
                <w:lang w:eastAsia="en-GB"/>
              </w:rPr>
              <w:t>The licensee shall record, store, analyse and review data on maintenance, testing, surveillance, inspection of SSCs and other equipment relevant for safety. Where necessary corrective measures such as repair, replacement or changes in the maintenance programme shall be implemented.</w:t>
            </w:r>
          </w:p>
        </w:tc>
        <w:tc>
          <w:tcPr>
            <w:tcW w:w="923" w:type="dxa"/>
          </w:tcPr>
          <w:p w14:paraId="7A386B10" w14:textId="215A4770"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DC.6, DC.3, ECE.20</w:t>
            </w:r>
          </w:p>
        </w:tc>
        <w:tc>
          <w:tcPr>
            <w:tcW w:w="993" w:type="dxa"/>
          </w:tcPr>
          <w:p w14:paraId="61704B02" w14:textId="1F736151"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2.3.2,   2.5</w:t>
            </w:r>
          </w:p>
        </w:tc>
      </w:tr>
      <w:tr w:rsidR="005D3B64" w:rsidRPr="005C5978" w14:paraId="03E01697" w14:textId="77777777" w:rsidTr="00F3223E">
        <w:tc>
          <w:tcPr>
            <w:tcW w:w="704" w:type="dxa"/>
          </w:tcPr>
          <w:p w14:paraId="7C21EAEF" w14:textId="5727C79A"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DE-46</w:t>
            </w:r>
          </w:p>
        </w:tc>
        <w:tc>
          <w:tcPr>
            <w:tcW w:w="6804" w:type="dxa"/>
          </w:tcPr>
          <w:p w14:paraId="3C3EDCC5" w14:textId="14591D44" w:rsidR="005D3B64" w:rsidRPr="00323565" w:rsidRDefault="005D3B64" w:rsidP="005D3B64">
            <w:pPr>
              <w:autoSpaceDE w:val="0"/>
              <w:autoSpaceDN w:val="0"/>
              <w:adjustRightInd w:val="0"/>
              <w:rPr>
                <w:rFonts w:cs="Arial"/>
                <w:sz w:val="20"/>
                <w:szCs w:val="20"/>
                <w:lang w:eastAsia="en-GB"/>
              </w:rPr>
            </w:pPr>
            <w:r w:rsidRPr="00323565">
              <w:rPr>
                <w:rFonts w:cs="Arial"/>
                <w:sz w:val="20"/>
                <w:szCs w:val="20"/>
                <w:lang w:eastAsia="en-GB"/>
              </w:rPr>
              <w:t>No decommissioning activity shall be undertaken without a prior assessment of its impact on safety taking into account the postulated initiating events with internal causes included in the safety case for decommissioning. Due consideration shall be given to different decommissioning activities executed in parallel which might adversely affect safety of each other.</w:t>
            </w:r>
          </w:p>
        </w:tc>
        <w:tc>
          <w:tcPr>
            <w:tcW w:w="923" w:type="dxa"/>
          </w:tcPr>
          <w:p w14:paraId="19F20E08" w14:textId="2298E9C5"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 xml:space="preserve">ECS.1 </w:t>
            </w:r>
          </w:p>
        </w:tc>
        <w:tc>
          <w:tcPr>
            <w:tcW w:w="993" w:type="dxa"/>
          </w:tcPr>
          <w:p w14:paraId="7610F6FC" w14:textId="0BB941CB"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2.</w:t>
            </w:r>
            <w:r w:rsidR="001C5407">
              <w:rPr>
                <w:rFonts w:cs="Arial"/>
                <w:sz w:val="20"/>
                <w:szCs w:val="20"/>
              </w:rPr>
              <w:t>6</w:t>
            </w:r>
            <w:r w:rsidRPr="00323565">
              <w:rPr>
                <w:rFonts w:cs="Arial"/>
                <w:sz w:val="20"/>
                <w:szCs w:val="20"/>
              </w:rPr>
              <w:t>, 2.3.3</w:t>
            </w:r>
          </w:p>
        </w:tc>
      </w:tr>
      <w:tr w:rsidR="005D3B64" w:rsidRPr="005C5978" w14:paraId="678370D3" w14:textId="77777777" w:rsidTr="00F3223E">
        <w:tc>
          <w:tcPr>
            <w:tcW w:w="704" w:type="dxa"/>
          </w:tcPr>
          <w:p w14:paraId="792D968B" w14:textId="2C213D0F"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DE-47</w:t>
            </w:r>
          </w:p>
        </w:tc>
        <w:tc>
          <w:tcPr>
            <w:tcW w:w="6804" w:type="dxa"/>
          </w:tcPr>
          <w:p w14:paraId="64F54BF4" w14:textId="799817FC" w:rsidR="005D3B64" w:rsidRPr="00323565" w:rsidRDefault="005D3B64" w:rsidP="005D3B64">
            <w:pPr>
              <w:autoSpaceDE w:val="0"/>
              <w:autoSpaceDN w:val="0"/>
              <w:adjustRightInd w:val="0"/>
              <w:rPr>
                <w:rFonts w:cs="Arial"/>
                <w:sz w:val="20"/>
                <w:szCs w:val="20"/>
                <w:lang w:eastAsia="en-GB"/>
              </w:rPr>
            </w:pPr>
            <w:r w:rsidRPr="00323565">
              <w:rPr>
                <w:rFonts w:cs="Arial"/>
                <w:sz w:val="20"/>
                <w:szCs w:val="20"/>
                <w:lang w:eastAsia="en-GB"/>
              </w:rPr>
              <w:t>The licensee shall control modifications of planned decommissioning activities according to their safety significance thereby ensuring that they do not compromise the safety of decommissioning activities.</w:t>
            </w:r>
          </w:p>
        </w:tc>
        <w:tc>
          <w:tcPr>
            <w:tcW w:w="923" w:type="dxa"/>
          </w:tcPr>
          <w:p w14:paraId="50B82EF0" w14:textId="77777777"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ECE.18 ECE.20 ECE.26</w:t>
            </w:r>
          </w:p>
          <w:p w14:paraId="264F4821" w14:textId="52A2F5AF" w:rsidR="005D3B64" w:rsidRPr="00323565" w:rsidRDefault="005D3B64" w:rsidP="005D3B64">
            <w:pPr>
              <w:tabs>
                <w:tab w:val="left" w:pos="720"/>
              </w:tabs>
              <w:spacing w:before="100" w:beforeAutospacing="1" w:after="100" w:afterAutospacing="1"/>
              <w:rPr>
                <w:rFonts w:cs="Arial"/>
                <w:sz w:val="20"/>
                <w:szCs w:val="20"/>
              </w:rPr>
            </w:pPr>
          </w:p>
        </w:tc>
        <w:tc>
          <w:tcPr>
            <w:tcW w:w="993" w:type="dxa"/>
          </w:tcPr>
          <w:p w14:paraId="4A8EE8BD" w14:textId="44ED8A66" w:rsidR="005D3B64" w:rsidRPr="00323565" w:rsidRDefault="005D3B64" w:rsidP="005D3B64">
            <w:pPr>
              <w:tabs>
                <w:tab w:val="left" w:pos="720"/>
              </w:tabs>
              <w:spacing w:before="100" w:beforeAutospacing="1" w:after="100" w:afterAutospacing="1"/>
              <w:rPr>
                <w:rFonts w:cs="Arial"/>
                <w:sz w:val="20"/>
                <w:szCs w:val="20"/>
              </w:rPr>
            </w:pPr>
            <w:r w:rsidRPr="00323565">
              <w:rPr>
                <w:rFonts w:cs="Arial"/>
                <w:sz w:val="20"/>
                <w:szCs w:val="20"/>
              </w:rPr>
              <w:t>2.3.2</w:t>
            </w:r>
          </w:p>
        </w:tc>
      </w:tr>
      <w:tr w:rsidR="008C6CB1" w:rsidRPr="005C5978" w14:paraId="3D9CAB21" w14:textId="77777777" w:rsidTr="00F3223E">
        <w:tc>
          <w:tcPr>
            <w:tcW w:w="704" w:type="dxa"/>
          </w:tcPr>
          <w:p w14:paraId="192DE3B3" w14:textId="1CD93B16" w:rsidR="008C6CB1" w:rsidRPr="00323565" w:rsidRDefault="008C6CB1" w:rsidP="008C6CB1">
            <w:pPr>
              <w:tabs>
                <w:tab w:val="left" w:pos="720"/>
              </w:tabs>
              <w:spacing w:before="100" w:beforeAutospacing="1" w:after="100" w:afterAutospacing="1"/>
              <w:rPr>
                <w:rFonts w:cs="Arial"/>
                <w:sz w:val="20"/>
                <w:szCs w:val="20"/>
              </w:rPr>
            </w:pPr>
            <w:r w:rsidRPr="00323565">
              <w:rPr>
                <w:rFonts w:cs="Arial"/>
                <w:sz w:val="20"/>
                <w:szCs w:val="20"/>
              </w:rPr>
              <w:t>DE-48</w:t>
            </w:r>
          </w:p>
        </w:tc>
        <w:tc>
          <w:tcPr>
            <w:tcW w:w="6804" w:type="dxa"/>
          </w:tcPr>
          <w:p w14:paraId="10851376" w14:textId="5CC5616F" w:rsidR="008C6CB1" w:rsidRPr="00323565" w:rsidRDefault="008C6CB1" w:rsidP="008C6CB1">
            <w:pPr>
              <w:autoSpaceDE w:val="0"/>
              <w:autoSpaceDN w:val="0"/>
              <w:adjustRightInd w:val="0"/>
              <w:rPr>
                <w:rFonts w:cs="Arial"/>
                <w:sz w:val="20"/>
                <w:szCs w:val="20"/>
                <w:lang w:eastAsia="en-GB"/>
              </w:rPr>
            </w:pPr>
            <w:r w:rsidRPr="00323565">
              <w:rPr>
                <w:rFonts w:cs="Arial"/>
                <w:sz w:val="20"/>
                <w:szCs w:val="20"/>
                <w:lang w:eastAsia="en-GB"/>
              </w:rPr>
              <w:t>In case of deferred dismantling the licensee shall make the facility passively safe as far as it is reasonably practicable before entering the period of deferment, so as to minimize the need for active safety systems, monitoring, and human intervention in order to ensure safety.</w:t>
            </w:r>
          </w:p>
        </w:tc>
        <w:tc>
          <w:tcPr>
            <w:tcW w:w="923" w:type="dxa"/>
          </w:tcPr>
          <w:p w14:paraId="5C3E061F" w14:textId="44E96222" w:rsidR="008C6CB1" w:rsidRPr="00323565" w:rsidRDefault="00193BC8" w:rsidP="008C6CB1">
            <w:pPr>
              <w:tabs>
                <w:tab w:val="left" w:pos="720"/>
              </w:tabs>
              <w:spacing w:before="100" w:beforeAutospacing="1" w:after="100" w:afterAutospacing="1"/>
              <w:rPr>
                <w:rFonts w:cs="Arial"/>
                <w:sz w:val="20"/>
                <w:szCs w:val="20"/>
              </w:rPr>
            </w:pPr>
            <w:r w:rsidRPr="00323565">
              <w:rPr>
                <w:rFonts w:cs="Arial"/>
                <w:sz w:val="20"/>
                <w:szCs w:val="20"/>
              </w:rPr>
              <w:t>EHA.7, EHA.18 ECE.6</w:t>
            </w:r>
            <w:r w:rsidR="009C7B4F" w:rsidRPr="00323565">
              <w:rPr>
                <w:rFonts w:cs="Arial"/>
                <w:sz w:val="20"/>
                <w:szCs w:val="20"/>
              </w:rPr>
              <w:t xml:space="preserve"> DC</w:t>
            </w:r>
            <w:r w:rsidR="0078797A" w:rsidRPr="00323565">
              <w:rPr>
                <w:rFonts w:cs="Arial"/>
                <w:sz w:val="20"/>
                <w:szCs w:val="20"/>
              </w:rPr>
              <w:t>.5</w:t>
            </w:r>
          </w:p>
        </w:tc>
        <w:tc>
          <w:tcPr>
            <w:tcW w:w="993" w:type="dxa"/>
          </w:tcPr>
          <w:p w14:paraId="527DC288" w14:textId="1D2F6EF7" w:rsidR="008C6CB1" w:rsidRPr="00323565" w:rsidRDefault="00DF7207" w:rsidP="008C6CB1">
            <w:pPr>
              <w:tabs>
                <w:tab w:val="left" w:pos="720"/>
              </w:tabs>
              <w:spacing w:before="100" w:beforeAutospacing="1" w:after="100" w:afterAutospacing="1"/>
              <w:rPr>
                <w:rFonts w:cs="Arial"/>
                <w:sz w:val="20"/>
                <w:szCs w:val="20"/>
              </w:rPr>
            </w:pPr>
            <w:r w:rsidRPr="00323565">
              <w:rPr>
                <w:rFonts w:cs="Arial"/>
                <w:sz w:val="20"/>
                <w:szCs w:val="20"/>
              </w:rPr>
              <w:t>2.7</w:t>
            </w:r>
          </w:p>
        </w:tc>
      </w:tr>
      <w:tr w:rsidR="00FC3264" w:rsidRPr="005C5978" w14:paraId="4AB7C44F" w14:textId="77777777" w:rsidTr="00F3223E">
        <w:tc>
          <w:tcPr>
            <w:tcW w:w="704" w:type="dxa"/>
          </w:tcPr>
          <w:p w14:paraId="73A6E6A7" w14:textId="2927DDEF"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DE-58</w:t>
            </w:r>
          </w:p>
        </w:tc>
        <w:tc>
          <w:tcPr>
            <w:tcW w:w="6804" w:type="dxa"/>
          </w:tcPr>
          <w:p w14:paraId="64EB7DCA" w14:textId="012B2B7F" w:rsidR="00FC3264" w:rsidRPr="00323565" w:rsidRDefault="00FC3264" w:rsidP="00FC3264">
            <w:pPr>
              <w:autoSpaceDE w:val="0"/>
              <w:autoSpaceDN w:val="0"/>
              <w:adjustRightInd w:val="0"/>
              <w:rPr>
                <w:rFonts w:cs="Arial"/>
                <w:sz w:val="20"/>
                <w:szCs w:val="20"/>
                <w:lang w:eastAsia="en-GB"/>
              </w:rPr>
            </w:pPr>
            <w:r w:rsidRPr="00323565">
              <w:rPr>
                <w:rFonts w:cs="Arial"/>
                <w:sz w:val="20"/>
                <w:szCs w:val="20"/>
                <w:lang w:eastAsia="en-GB"/>
              </w:rPr>
              <w:t>The licensee shall prepare a final decommissioning report to demonstrate, that the decommissioning has been completed and the proposed end state of the facility or site has been achieved.</w:t>
            </w:r>
          </w:p>
        </w:tc>
        <w:tc>
          <w:tcPr>
            <w:tcW w:w="923" w:type="dxa"/>
          </w:tcPr>
          <w:p w14:paraId="40618C83" w14:textId="25568418"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DC.6</w:t>
            </w:r>
          </w:p>
        </w:tc>
        <w:tc>
          <w:tcPr>
            <w:tcW w:w="993" w:type="dxa"/>
          </w:tcPr>
          <w:p w14:paraId="79584764" w14:textId="03165B19"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4.5</w:t>
            </w:r>
          </w:p>
        </w:tc>
      </w:tr>
      <w:tr w:rsidR="00FC3264" w:rsidRPr="005C5978" w14:paraId="2C445B35" w14:textId="77777777" w:rsidTr="00F3223E">
        <w:tc>
          <w:tcPr>
            <w:tcW w:w="704" w:type="dxa"/>
          </w:tcPr>
          <w:p w14:paraId="689C56CA" w14:textId="1F1C9D35"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DE-59</w:t>
            </w:r>
          </w:p>
        </w:tc>
        <w:tc>
          <w:tcPr>
            <w:tcW w:w="6804" w:type="dxa"/>
          </w:tcPr>
          <w:p w14:paraId="50BA82FC" w14:textId="6E0A7EDE" w:rsidR="00FC3264" w:rsidRPr="00323565" w:rsidRDefault="00FC3264" w:rsidP="00FC3264">
            <w:pPr>
              <w:autoSpaceDE w:val="0"/>
              <w:autoSpaceDN w:val="0"/>
              <w:adjustRightInd w:val="0"/>
              <w:rPr>
                <w:rFonts w:cs="Arial"/>
                <w:sz w:val="20"/>
                <w:szCs w:val="20"/>
                <w:lang w:eastAsia="en-GB"/>
              </w:rPr>
            </w:pPr>
            <w:r w:rsidRPr="00323565">
              <w:rPr>
                <w:rFonts w:cs="Arial"/>
                <w:sz w:val="20"/>
                <w:szCs w:val="20"/>
                <w:lang w:eastAsia="en-GB"/>
              </w:rPr>
              <w:t>The licensee shall ensure that relevant records and the final decommissioning report are available and accessible at the end of decommissioning according to the national regulatory system.</w:t>
            </w:r>
          </w:p>
        </w:tc>
        <w:tc>
          <w:tcPr>
            <w:tcW w:w="923" w:type="dxa"/>
          </w:tcPr>
          <w:p w14:paraId="14224C86" w14:textId="33BE5CE2"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ECE.20 DC.6 DC.3</w:t>
            </w:r>
          </w:p>
        </w:tc>
        <w:tc>
          <w:tcPr>
            <w:tcW w:w="993" w:type="dxa"/>
          </w:tcPr>
          <w:p w14:paraId="02DE7BE9" w14:textId="28FE1C5D"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2.5</w:t>
            </w:r>
          </w:p>
        </w:tc>
      </w:tr>
      <w:tr w:rsidR="00FC3264" w:rsidRPr="005C5978" w14:paraId="1DF415DC" w14:textId="77777777" w:rsidTr="00F3223E">
        <w:tc>
          <w:tcPr>
            <w:tcW w:w="704" w:type="dxa"/>
          </w:tcPr>
          <w:p w14:paraId="20A14A0A" w14:textId="59F92132"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DE-60</w:t>
            </w:r>
          </w:p>
        </w:tc>
        <w:tc>
          <w:tcPr>
            <w:tcW w:w="6804" w:type="dxa"/>
          </w:tcPr>
          <w:p w14:paraId="66A23853" w14:textId="12C2D923" w:rsidR="00FC3264" w:rsidRPr="00323565" w:rsidRDefault="00FC3264" w:rsidP="00FC3264">
            <w:pPr>
              <w:autoSpaceDE w:val="0"/>
              <w:autoSpaceDN w:val="0"/>
              <w:adjustRightInd w:val="0"/>
              <w:rPr>
                <w:rFonts w:cs="Arial"/>
                <w:sz w:val="20"/>
                <w:szCs w:val="20"/>
                <w:lang w:eastAsia="en-GB"/>
              </w:rPr>
            </w:pPr>
            <w:r w:rsidRPr="00323565">
              <w:rPr>
                <w:rFonts w:cs="Arial"/>
                <w:sz w:val="20"/>
                <w:szCs w:val="20"/>
                <w:lang w:eastAsia="en-GB"/>
              </w:rPr>
              <w:t>Before a facility or site can be released from regulatory control, the licensee shall perform a final survey to demonstrate that the end</w:t>
            </w:r>
            <w:r w:rsidRPr="00323565">
              <w:rPr>
                <w:rFonts w:ascii="Cambria Math" w:hAnsi="Cambria Math" w:cs="Cambria Math"/>
                <w:sz w:val="20"/>
                <w:szCs w:val="20"/>
                <w:lang w:eastAsia="en-GB"/>
              </w:rPr>
              <w:t>‐</w:t>
            </w:r>
            <w:r w:rsidRPr="00323565">
              <w:rPr>
                <w:rFonts w:cs="Arial"/>
                <w:sz w:val="20"/>
                <w:szCs w:val="20"/>
                <w:lang w:eastAsia="en-GB"/>
              </w:rPr>
              <w:t>state, as approved by the regulatory body, has been met.</w:t>
            </w:r>
          </w:p>
        </w:tc>
        <w:tc>
          <w:tcPr>
            <w:tcW w:w="923" w:type="dxa"/>
          </w:tcPr>
          <w:p w14:paraId="55D73478" w14:textId="39078439"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DC.6</w:t>
            </w:r>
          </w:p>
        </w:tc>
        <w:tc>
          <w:tcPr>
            <w:tcW w:w="993" w:type="dxa"/>
          </w:tcPr>
          <w:p w14:paraId="3C04C486" w14:textId="70685911" w:rsidR="00FC3264" w:rsidRPr="00323565" w:rsidRDefault="00FC3264" w:rsidP="00FC3264">
            <w:pPr>
              <w:tabs>
                <w:tab w:val="left" w:pos="720"/>
              </w:tabs>
              <w:spacing w:before="100" w:beforeAutospacing="1" w:after="100" w:afterAutospacing="1"/>
              <w:rPr>
                <w:rFonts w:cs="Arial"/>
                <w:sz w:val="20"/>
                <w:szCs w:val="20"/>
              </w:rPr>
            </w:pPr>
            <w:r w:rsidRPr="00323565">
              <w:rPr>
                <w:rFonts w:cs="Arial"/>
                <w:sz w:val="20"/>
                <w:szCs w:val="20"/>
              </w:rPr>
              <w:t>4.5</w:t>
            </w:r>
          </w:p>
        </w:tc>
      </w:tr>
    </w:tbl>
    <w:p w14:paraId="28517BCD" w14:textId="77777777" w:rsidR="00F26824" w:rsidRPr="00DC4D54" w:rsidRDefault="00F26824" w:rsidP="003B5A81">
      <w:pPr>
        <w:rPr>
          <w:rFonts w:ascii="Arial Bold" w:hAnsi="Arial Bold"/>
          <w:b/>
        </w:rPr>
      </w:pPr>
    </w:p>
    <w:sectPr w:rsidR="00F26824" w:rsidRPr="00DC4D54" w:rsidSect="00B05EF6">
      <w:headerReference w:type="default" r:id="rId19"/>
      <w:footerReference w:type="default" r:id="rId20"/>
      <w:footerReference w:type="first" r:id="rId21"/>
      <w:pgSz w:w="11906" w:h="16838" w:code="9"/>
      <w:pgMar w:top="907" w:right="1134" w:bottom="1134" w:left="1588"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74FD" w14:textId="77777777" w:rsidR="00906D07" w:rsidRDefault="00906D07">
      <w:r>
        <w:separator/>
      </w:r>
    </w:p>
  </w:endnote>
  <w:endnote w:type="continuationSeparator" w:id="0">
    <w:p w14:paraId="36F7791C" w14:textId="77777777" w:rsidR="00906D07" w:rsidRDefault="0090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9D6B" w14:textId="77777777" w:rsidR="008767B7" w:rsidRPr="00793476" w:rsidRDefault="008767B7" w:rsidP="008767B7">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S-TAST-GD-017 Annex 6</w:t>
    </w:r>
    <w:r w:rsidRPr="00793476">
      <w:rPr>
        <w:rFonts w:cs="Arial"/>
        <w:color w:val="006D68"/>
        <w:sz w:val="14"/>
        <w:szCs w:val="14"/>
      </w:rPr>
      <w:t xml:space="preserve"> Revision </w:t>
    </w:r>
    <w:r>
      <w:rPr>
        <w:rFonts w:cs="Arial"/>
        <w:color w:val="006D68"/>
        <w:sz w:val="14"/>
        <w:szCs w:val="14"/>
      </w:rPr>
      <w:t>0</w:t>
    </w:r>
  </w:p>
  <w:p w14:paraId="364F9B52" w14:textId="0B151BB0" w:rsidR="007D0C46" w:rsidRPr="00487A22" w:rsidRDefault="00E45EC2" w:rsidP="008767B7">
    <w:pPr>
      <w:pStyle w:val="Footer"/>
      <w:tabs>
        <w:tab w:val="clear" w:pos="4153"/>
        <w:tab w:val="clear" w:pos="8306"/>
        <w:tab w:val="right" w:pos="9216"/>
      </w:tabs>
      <w:rPr>
        <w:b/>
        <w:color w:val="006D68"/>
        <w:sz w:val="14"/>
        <w:szCs w:val="14"/>
      </w:rPr>
    </w:pPr>
    <w:r>
      <w:rPr>
        <w:rFonts w:cs="Arial"/>
        <w:color w:val="006D68"/>
        <w:sz w:val="14"/>
        <w:szCs w:val="14"/>
        <w:lang w:val="fr-FR"/>
      </w:rPr>
      <w:t>C</w:t>
    </w:r>
    <w:r w:rsidR="008767B7" w:rsidRPr="00793476">
      <w:rPr>
        <w:rFonts w:cs="Arial"/>
        <w:color w:val="006D68"/>
        <w:sz w:val="14"/>
        <w:szCs w:val="14"/>
        <w:lang w:val="fr-FR"/>
      </w:rPr>
      <w:t>M</w:t>
    </w:r>
    <w:r>
      <w:rPr>
        <w:rFonts w:cs="Arial"/>
        <w:color w:val="006D68"/>
        <w:sz w:val="14"/>
        <w:szCs w:val="14"/>
        <w:lang w:val="fr-FR"/>
      </w:rPr>
      <w:t>9</w:t>
    </w:r>
    <w:r w:rsidR="008767B7" w:rsidRPr="00793476">
      <w:rPr>
        <w:rFonts w:cs="Arial"/>
        <w:color w:val="006D68"/>
        <w:sz w:val="14"/>
        <w:szCs w:val="14"/>
      </w:rPr>
      <w:t xml:space="preserve"> Ref</w:t>
    </w:r>
    <w:r w:rsidR="008767B7">
      <w:rPr>
        <w:rFonts w:cs="Arial"/>
        <w:color w:val="006D68"/>
        <w:sz w:val="14"/>
        <w:szCs w:val="14"/>
      </w:rPr>
      <w:t xml:space="preserve"> </w:t>
    </w:r>
    <w:r w:rsidR="008767B7" w:rsidRPr="00793476">
      <w:rPr>
        <w:rFonts w:cs="Arial"/>
        <w:color w:val="006D68"/>
        <w:sz w:val="14"/>
        <w:szCs w:val="14"/>
        <w:lang w:val="fr-FR"/>
      </w:rPr>
      <w:t>: 20</w:t>
    </w:r>
    <w:r w:rsidR="008767B7">
      <w:rPr>
        <w:rFonts w:cs="Arial"/>
        <w:color w:val="006D68"/>
        <w:sz w:val="14"/>
        <w:szCs w:val="14"/>
        <w:lang w:val="fr-FR"/>
      </w:rPr>
      <w:t>20/22640</w:t>
    </w:r>
    <w:r w:rsidR="007D0C46" w:rsidRPr="00487A22">
      <w:rPr>
        <w:b/>
        <w:color w:val="006D68"/>
        <w:sz w:val="14"/>
        <w:szCs w:val="14"/>
      </w:rPr>
      <w:tab/>
      <w:t xml:space="preserve">Page </w:t>
    </w:r>
    <w:r w:rsidR="007D0C46" w:rsidRPr="00487A22">
      <w:rPr>
        <w:b/>
        <w:color w:val="006D68"/>
        <w:sz w:val="14"/>
        <w:szCs w:val="14"/>
      </w:rPr>
      <w:fldChar w:fldCharType="begin"/>
    </w:r>
    <w:r w:rsidR="007D0C46" w:rsidRPr="00487A22">
      <w:rPr>
        <w:b/>
        <w:color w:val="006D68"/>
        <w:sz w:val="14"/>
        <w:szCs w:val="14"/>
      </w:rPr>
      <w:instrText xml:space="preserve"> PAGE </w:instrText>
    </w:r>
    <w:r w:rsidR="007D0C46" w:rsidRPr="00487A22">
      <w:rPr>
        <w:b/>
        <w:color w:val="006D68"/>
        <w:sz w:val="14"/>
        <w:szCs w:val="14"/>
      </w:rPr>
      <w:fldChar w:fldCharType="separate"/>
    </w:r>
    <w:r w:rsidR="001465E2">
      <w:rPr>
        <w:b/>
        <w:noProof/>
        <w:color w:val="006D68"/>
        <w:sz w:val="14"/>
        <w:szCs w:val="14"/>
      </w:rPr>
      <w:t>23</w:t>
    </w:r>
    <w:r w:rsidR="007D0C46" w:rsidRPr="00487A22">
      <w:rPr>
        <w:b/>
        <w:color w:val="006D68"/>
        <w:sz w:val="14"/>
        <w:szCs w:val="14"/>
      </w:rPr>
      <w:fldChar w:fldCharType="end"/>
    </w:r>
    <w:r w:rsidR="007D0C46" w:rsidRPr="00487A22">
      <w:rPr>
        <w:b/>
        <w:color w:val="006D68"/>
        <w:sz w:val="14"/>
        <w:szCs w:val="14"/>
      </w:rPr>
      <w:t xml:space="preserve"> of </w:t>
    </w:r>
    <w:r w:rsidR="007D0C46" w:rsidRPr="00487A22">
      <w:rPr>
        <w:b/>
        <w:color w:val="006D68"/>
        <w:sz w:val="14"/>
        <w:szCs w:val="14"/>
      </w:rPr>
      <w:fldChar w:fldCharType="begin"/>
    </w:r>
    <w:r w:rsidR="007D0C46" w:rsidRPr="00487A22">
      <w:rPr>
        <w:b/>
        <w:color w:val="006D68"/>
        <w:sz w:val="14"/>
        <w:szCs w:val="14"/>
      </w:rPr>
      <w:instrText xml:space="preserve"> NUMPAGES </w:instrText>
    </w:r>
    <w:r w:rsidR="007D0C46" w:rsidRPr="00487A22">
      <w:rPr>
        <w:b/>
        <w:color w:val="006D68"/>
        <w:sz w:val="14"/>
        <w:szCs w:val="14"/>
      </w:rPr>
      <w:fldChar w:fldCharType="separate"/>
    </w:r>
    <w:r w:rsidR="001465E2">
      <w:rPr>
        <w:b/>
        <w:noProof/>
        <w:color w:val="006D68"/>
        <w:sz w:val="14"/>
        <w:szCs w:val="14"/>
      </w:rPr>
      <w:t>36</w:t>
    </w:r>
    <w:r w:rsidR="007D0C46"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2C77" w14:textId="5213F35A" w:rsidR="007D0C46" w:rsidRPr="00793476" w:rsidRDefault="007D0C46" w:rsidP="00D20C3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 xml:space="preserve">S-TAST-GD-017 Annex </w:t>
    </w:r>
    <w:r w:rsidR="00097515">
      <w:rPr>
        <w:rFonts w:cs="Arial"/>
        <w:color w:val="006D68"/>
        <w:sz w:val="14"/>
        <w:szCs w:val="14"/>
      </w:rPr>
      <w:t>6</w:t>
    </w:r>
    <w:r w:rsidRPr="00793476">
      <w:rPr>
        <w:rFonts w:cs="Arial"/>
        <w:color w:val="006D68"/>
        <w:sz w:val="14"/>
        <w:szCs w:val="14"/>
      </w:rPr>
      <w:t xml:space="preserve"> Revision </w:t>
    </w:r>
    <w:r w:rsidR="00097515">
      <w:rPr>
        <w:rFonts w:cs="Arial"/>
        <w:color w:val="006D68"/>
        <w:sz w:val="14"/>
        <w:szCs w:val="14"/>
      </w:rPr>
      <w:t>0</w:t>
    </w:r>
  </w:p>
  <w:p w14:paraId="712B96E9" w14:textId="2CC029EE" w:rsidR="007D0C46" w:rsidRPr="00784E02" w:rsidRDefault="00E45EC2" w:rsidP="00D20C3C">
    <w:pPr>
      <w:pStyle w:val="Footer"/>
      <w:tabs>
        <w:tab w:val="clear" w:pos="4153"/>
        <w:tab w:val="clear" w:pos="8306"/>
        <w:tab w:val="right" w:pos="9214"/>
      </w:tabs>
      <w:rPr>
        <w:rFonts w:cs="Arial"/>
        <w:b/>
        <w:color w:val="006D68"/>
        <w:sz w:val="14"/>
        <w:szCs w:val="14"/>
      </w:rPr>
    </w:pPr>
    <w:r>
      <w:rPr>
        <w:rFonts w:cs="Arial"/>
        <w:color w:val="006D68"/>
        <w:sz w:val="14"/>
        <w:szCs w:val="14"/>
        <w:lang w:val="fr-FR"/>
      </w:rPr>
      <w:t>C</w:t>
    </w:r>
    <w:r w:rsidR="007D0C46" w:rsidRPr="00793476">
      <w:rPr>
        <w:rFonts w:cs="Arial"/>
        <w:color w:val="006D68"/>
        <w:sz w:val="14"/>
        <w:szCs w:val="14"/>
        <w:lang w:val="fr-FR"/>
      </w:rPr>
      <w:t>M</w:t>
    </w:r>
    <w:r>
      <w:rPr>
        <w:rFonts w:cs="Arial"/>
        <w:color w:val="006D68"/>
        <w:sz w:val="14"/>
        <w:szCs w:val="14"/>
        <w:lang w:val="fr-FR"/>
      </w:rPr>
      <w:t>9</w:t>
    </w:r>
    <w:r w:rsidR="007D0C46" w:rsidRPr="00793476">
      <w:rPr>
        <w:rFonts w:cs="Arial"/>
        <w:color w:val="006D68"/>
        <w:sz w:val="14"/>
        <w:szCs w:val="14"/>
      </w:rPr>
      <w:t xml:space="preserve"> Ref</w:t>
    </w:r>
    <w:r w:rsidR="001375C2">
      <w:rPr>
        <w:rFonts w:cs="Arial"/>
        <w:color w:val="006D68"/>
        <w:sz w:val="14"/>
        <w:szCs w:val="14"/>
      </w:rPr>
      <w:t xml:space="preserve"> </w:t>
    </w:r>
    <w:r w:rsidR="007D0C46" w:rsidRPr="00793476">
      <w:rPr>
        <w:rFonts w:cs="Arial"/>
        <w:color w:val="006D68"/>
        <w:sz w:val="14"/>
        <w:szCs w:val="14"/>
        <w:lang w:val="fr-FR"/>
      </w:rPr>
      <w:t>: 20</w:t>
    </w:r>
    <w:r w:rsidR="00097515">
      <w:rPr>
        <w:rFonts w:cs="Arial"/>
        <w:color w:val="006D68"/>
        <w:sz w:val="14"/>
        <w:szCs w:val="14"/>
        <w:lang w:val="fr-FR"/>
      </w:rPr>
      <w:t>20/22640</w:t>
    </w:r>
    <w:r w:rsidR="007D0C46">
      <w:rPr>
        <w:rFonts w:cs="Arial"/>
        <w:color w:val="006D68"/>
        <w:sz w:val="14"/>
        <w:szCs w:val="14"/>
      </w:rPr>
      <w:tab/>
    </w:r>
    <w:r w:rsidR="007D0C46" w:rsidRPr="00784E02">
      <w:rPr>
        <w:rFonts w:cs="Arial"/>
        <w:b/>
        <w:color w:val="006D68"/>
        <w:sz w:val="14"/>
        <w:szCs w:val="14"/>
      </w:rPr>
      <w:t xml:space="preserve">Page </w:t>
    </w:r>
    <w:r w:rsidR="007D0C46" w:rsidRPr="00784E02">
      <w:rPr>
        <w:rFonts w:cs="Arial"/>
        <w:b/>
        <w:color w:val="006D68"/>
        <w:sz w:val="14"/>
        <w:szCs w:val="14"/>
      </w:rPr>
      <w:fldChar w:fldCharType="begin"/>
    </w:r>
    <w:r w:rsidR="007D0C46" w:rsidRPr="00784E02">
      <w:rPr>
        <w:rFonts w:cs="Arial"/>
        <w:b/>
        <w:color w:val="006D68"/>
        <w:sz w:val="14"/>
        <w:szCs w:val="14"/>
      </w:rPr>
      <w:instrText xml:space="preserve"> PAGE </w:instrText>
    </w:r>
    <w:r w:rsidR="007D0C46" w:rsidRPr="00784E02">
      <w:rPr>
        <w:rFonts w:cs="Arial"/>
        <w:b/>
        <w:color w:val="006D68"/>
        <w:sz w:val="14"/>
        <w:szCs w:val="14"/>
      </w:rPr>
      <w:fldChar w:fldCharType="separate"/>
    </w:r>
    <w:r w:rsidR="004764D5">
      <w:rPr>
        <w:rFonts w:cs="Arial"/>
        <w:b/>
        <w:noProof/>
        <w:color w:val="006D68"/>
        <w:sz w:val="14"/>
        <w:szCs w:val="14"/>
      </w:rPr>
      <w:t>1</w:t>
    </w:r>
    <w:r w:rsidR="007D0C46" w:rsidRPr="00784E02">
      <w:rPr>
        <w:rFonts w:cs="Arial"/>
        <w:b/>
        <w:color w:val="006D68"/>
        <w:sz w:val="14"/>
        <w:szCs w:val="14"/>
      </w:rPr>
      <w:fldChar w:fldCharType="end"/>
    </w:r>
    <w:r w:rsidR="007D0C46" w:rsidRPr="00784E02">
      <w:rPr>
        <w:rFonts w:cs="Arial"/>
        <w:b/>
        <w:color w:val="006D68"/>
        <w:sz w:val="14"/>
        <w:szCs w:val="14"/>
      </w:rPr>
      <w:t xml:space="preserve"> of </w:t>
    </w:r>
    <w:r w:rsidR="007D0C46" w:rsidRPr="00784E02">
      <w:rPr>
        <w:rFonts w:cs="Arial"/>
        <w:b/>
        <w:color w:val="006D68"/>
        <w:sz w:val="14"/>
        <w:szCs w:val="14"/>
      </w:rPr>
      <w:fldChar w:fldCharType="begin"/>
    </w:r>
    <w:r w:rsidR="007D0C46" w:rsidRPr="00784E02">
      <w:rPr>
        <w:rFonts w:cs="Arial"/>
        <w:b/>
        <w:color w:val="006D68"/>
        <w:sz w:val="14"/>
        <w:szCs w:val="14"/>
      </w:rPr>
      <w:instrText xml:space="preserve"> NUMPAGES </w:instrText>
    </w:r>
    <w:r w:rsidR="007D0C46" w:rsidRPr="00784E02">
      <w:rPr>
        <w:rFonts w:cs="Arial"/>
        <w:b/>
        <w:color w:val="006D68"/>
        <w:sz w:val="14"/>
        <w:szCs w:val="14"/>
      </w:rPr>
      <w:fldChar w:fldCharType="separate"/>
    </w:r>
    <w:r w:rsidR="004764D5">
      <w:rPr>
        <w:rFonts w:cs="Arial"/>
        <w:b/>
        <w:noProof/>
        <w:color w:val="006D68"/>
        <w:sz w:val="14"/>
        <w:szCs w:val="14"/>
      </w:rPr>
      <w:t>35</w:t>
    </w:r>
    <w:r w:rsidR="007D0C46" w:rsidRPr="00784E02">
      <w:rPr>
        <w:rFonts w:cs="Arial"/>
        <w:b/>
        <w:color w:val="006D68"/>
        <w:sz w:val="14"/>
        <w:szCs w:val="14"/>
      </w:rPr>
      <w:fldChar w:fldCharType="end"/>
    </w:r>
  </w:p>
  <w:p w14:paraId="30496600" w14:textId="77777777" w:rsidR="007D0C46" w:rsidRPr="00D20C3C" w:rsidRDefault="007D0C46" w:rsidP="00D2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E86A" w14:textId="77777777" w:rsidR="00906D07" w:rsidRDefault="00906D07">
      <w:r>
        <w:separator/>
      </w:r>
    </w:p>
  </w:footnote>
  <w:footnote w:type="continuationSeparator" w:id="0">
    <w:p w14:paraId="6000E18C" w14:textId="77777777" w:rsidR="00906D07" w:rsidRDefault="00906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3752" w14:textId="73089FCA" w:rsidR="008767B7" w:rsidRDefault="008767B7">
    <w:pPr>
      <w:pStyle w:val="Header"/>
    </w:pPr>
    <w:r w:rsidRPr="00487A22">
      <w:rPr>
        <w:color w:val="006D68"/>
        <w:sz w:val="14"/>
        <w:szCs w:val="14"/>
      </w:rPr>
      <w:t>Office for Nuclear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916"/>
    <w:multiLevelType w:val="hybridMultilevel"/>
    <w:tmpl w:val="62F0E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1D41EE"/>
    <w:multiLevelType w:val="multilevel"/>
    <w:tmpl w:val="F0385428"/>
    <w:lvl w:ilvl="0">
      <w:start w:val="1"/>
      <w:numFmt w:val="bullet"/>
      <w:lvlText w:val=""/>
      <w:lvlJc w:val="left"/>
      <w:pPr>
        <w:tabs>
          <w:tab w:val="num" w:pos="-30240"/>
        </w:tabs>
        <w:ind w:left="2160" w:hanging="720"/>
      </w:pPr>
      <w:rPr>
        <w:rFonts w:ascii="Wingdings" w:hAnsi="Wingdings" w:hint="default"/>
        <w:b w:val="0"/>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0240"/>
        </w:tabs>
        <w:ind w:left="2160" w:hanging="720"/>
      </w:pPr>
      <w:rPr>
        <w:rFonts w:hint="default"/>
        <w:sz w:val="22"/>
      </w:rPr>
    </w:lvl>
    <w:lvl w:ilvl="2">
      <w:start w:val="1"/>
      <w:numFmt w:val="decimal"/>
      <w:lvlText w:val="%1.%2.%3"/>
      <w:lvlJc w:val="left"/>
      <w:pPr>
        <w:tabs>
          <w:tab w:val="num" w:pos="-30240"/>
        </w:tabs>
        <w:ind w:left="2160" w:hanging="720"/>
      </w:pPr>
      <w:rPr>
        <w:rFonts w:hint="default"/>
        <w:sz w:val="22"/>
      </w:rPr>
    </w:lvl>
    <w:lvl w:ilvl="3">
      <w:start w:val="1"/>
      <w:numFmt w:val="decimal"/>
      <w:lvlText w:val="%1.%2.%3.%4"/>
      <w:lvlJc w:val="left"/>
      <w:pPr>
        <w:tabs>
          <w:tab w:val="num" w:pos="-30240"/>
        </w:tabs>
        <w:ind w:left="2160" w:hanging="720"/>
      </w:pPr>
      <w:rPr>
        <w:rFonts w:hint="default"/>
        <w:sz w:val="22"/>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 w15:restartNumberingAfterBreak="0">
    <w:nsid w:val="14676417"/>
    <w:multiLevelType w:val="hybridMultilevel"/>
    <w:tmpl w:val="CC4278F6"/>
    <w:lvl w:ilvl="0" w:tplc="DBC48688">
      <w:start w:val="1"/>
      <w:numFmt w:val="decimal"/>
      <w:pStyle w:val="ONRNumberedParagraph1"/>
      <w:lvlText w:val="%1"/>
      <w:lvlJc w:val="left"/>
      <w:pPr>
        <w:tabs>
          <w:tab w:val="num" w:pos="907"/>
        </w:tabs>
        <w:ind w:left="907" w:firstLine="0"/>
      </w:pPr>
      <w:rPr>
        <w:rFonts w:ascii="Arial" w:hAnsi="Arial" w:cs="Times New Roman" w:hint="default"/>
        <w:sz w:val="22"/>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cs="Arial" w:hint="default"/>
      </w:rPr>
    </w:lvl>
    <w:lvl w:ilvl="3" w:tplc="1CD449B0">
      <w:numFmt w:val="bullet"/>
      <w:lvlText w:val="–"/>
      <w:lvlJc w:val="left"/>
      <w:pPr>
        <w:tabs>
          <w:tab w:val="num" w:pos="3600"/>
        </w:tabs>
        <w:ind w:left="3600" w:hanging="360"/>
      </w:pPr>
      <w:rPr>
        <w:rFonts w:ascii="Calibri" w:eastAsia="Times New Roman" w:hAnsi="Calibri" w:cs="Arial" w:hint="default"/>
      </w:r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3" w15:restartNumberingAfterBreak="0">
    <w:nsid w:val="17304E12"/>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E66919"/>
    <w:multiLevelType w:val="hybridMultilevel"/>
    <w:tmpl w:val="4648C810"/>
    <w:lvl w:ilvl="0" w:tplc="5A4682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06A39"/>
    <w:multiLevelType w:val="multilevel"/>
    <w:tmpl w:val="53845D42"/>
    <w:lvl w:ilvl="0">
      <w:start w:val="1"/>
      <w:numFmt w:val="decimal"/>
      <w:lvlText w:val="%1"/>
      <w:lvlJc w:val="left"/>
      <w:pPr>
        <w:tabs>
          <w:tab w:val="num" w:pos="-31680"/>
        </w:tabs>
        <w:ind w:left="720" w:hanging="720"/>
      </w:pPr>
      <w:rPr>
        <w:rFonts w:ascii="Arial" w:hAnsi="Arial" w:cs="Arial"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3201F23"/>
    <w:multiLevelType w:val="multilevel"/>
    <w:tmpl w:val="CD2A4F6C"/>
    <w:lvl w:ilvl="0">
      <w:start w:val="1"/>
      <w:numFmt w:val="decimal"/>
      <w:lvlText w:val="%1."/>
      <w:lvlJc w:val="left"/>
      <w:pPr>
        <w:tabs>
          <w:tab w:val="num" w:pos="-31680"/>
        </w:tabs>
        <w:ind w:left="720" w:hanging="720"/>
      </w:pPr>
      <w:rPr>
        <w:rFonts w:hint="default"/>
        <w:sz w:val="22"/>
      </w:rPr>
    </w:lvl>
    <w:lvl w:ilvl="1">
      <w:start w:val="1"/>
      <w:numFmt w:val="bullet"/>
      <w:lvlText w:val=""/>
      <w:lvlJc w:val="left"/>
      <w:pPr>
        <w:tabs>
          <w:tab w:val="num" w:pos="-31680"/>
        </w:tabs>
        <w:ind w:left="1004" w:hanging="720"/>
      </w:pPr>
      <w:rPr>
        <w:rFonts w:ascii="Wingdings" w:hAnsi="Wingdings" w:hint="default"/>
        <w:b w:val="0"/>
        <w:caps w:val="0"/>
        <w:strike w:val="0"/>
        <w:dstrike w:val="0"/>
        <w:vanish w:val="0"/>
        <w:color w:val="333333"/>
        <w:sz w:val="18"/>
        <w:vertAlign w:val="baseline"/>
      </w:rPr>
    </w:lvl>
    <w:lvl w:ilvl="2">
      <w:start w:val="1"/>
      <w:numFmt w:val="bullet"/>
      <w:lvlText w:val=""/>
      <w:lvlJc w:val="left"/>
      <w:pPr>
        <w:tabs>
          <w:tab w:val="num" w:pos="-31680"/>
        </w:tabs>
        <w:ind w:left="720" w:hanging="720"/>
      </w:pPr>
      <w:rPr>
        <w:rFonts w:ascii="Wingdings" w:hAnsi="Wingdings" w:hint="default"/>
        <w:caps w:val="0"/>
        <w:strike w:val="0"/>
        <w:dstrike w:val="0"/>
        <w:vanish w:val="0"/>
        <w:color w:val="333333"/>
        <w:sz w:val="18"/>
        <w:vertAlign w:val="baseline"/>
      </w:rPr>
    </w:lvl>
    <w:lvl w:ilvl="3">
      <w:start w:val="1"/>
      <w:numFmt w:val="decimal"/>
      <w:lvlText w:val="%1.%2.%3.%4"/>
      <w:lvlJc w:val="left"/>
      <w:pPr>
        <w:tabs>
          <w:tab w:val="num" w:pos="-31680"/>
        </w:tabs>
        <w:ind w:left="720" w:hanging="720"/>
      </w:pPr>
      <w:rPr>
        <w:rFonts w:hint="default"/>
        <w:sz w:val="22"/>
      </w:rPr>
    </w:lvl>
    <w:lvl w:ilvl="4">
      <w:start w:val="1"/>
      <w:numFmt w:val="bullet"/>
      <w:lvlText w:val=""/>
      <w:lvlJc w:val="left"/>
      <w:pPr>
        <w:tabs>
          <w:tab w:val="num" w:pos="1008"/>
        </w:tabs>
        <w:ind w:left="1008" w:hanging="1008"/>
      </w:pPr>
      <w:rPr>
        <w:rFonts w:ascii="Wingdings" w:hAnsi="Wingdings" w:hint="default"/>
        <w:caps w:val="0"/>
        <w:strike w:val="0"/>
        <w:dstrike w:val="0"/>
        <w:vanish w:val="0"/>
        <w:color w:val="333333"/>
        <w:sz w:val="18"/>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6BF02CC"/>
    <w:multiLevelType w:val="hybridMultilevel"/>
    <w:tmpl w:val="F9468378"/>
    <w:lvl w:ilvl="0" w:tplc="F7DC465C">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662CA"/>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44022B"/>
    <w:multiLevelType w:val="multilevel"/>
    <w:tmpl w:val="EB06C518"/>
    <w:lvl w:ilvl="0">
      <w:start w:val="1"/>
      <w:numFmt w:val="decimal"/>
      <w:lvlText w:val="Ref. %1."/>
      <w:lvlJc w:val="left"/>
      <w:pPr>
        <w:tabs>
          <w:tab w:val="num" w:pos="-31680"/>
        </w:tabs>
        <w:ind w:left="720" w:hanging="720"/>
      </w:pPr>
      <w:rPr>
        <w:rFonts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18F46C5"/>
    <w:multiLevelType w:val="hybridMultilevel"/>
    <w:tmpl w:val="4648C810"/>
    <w:lvl w:ilvl="0" w:tplc="5A46824C">
      <w:start w:val="1"/>
      <w:numFmt w:val="lowerLetter"/>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513B7A79"/>
    <w:multiLevelType w:val="multilevel"/>
    <w:tmpl w:val="24F04F3A"/>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1288"/>
        </w:tabs>
        <w:ind w:left="1072"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B342844"/>
    <w:multiLevelType w:val="hybridMultilevel"/>
    <w:tmpl w:val="F9527E96"/>
    <w:lvl w:ilvl="0" w:tplc="08090003">
      <w:start w:val="1"/>
      <w:numFmt w:val="bullet"/>
      <w:lvlText w:val=""/>
      <w:lvlJc w:val="left"/>
      <w:pPr>
        <w:ind w:left="1440" w:hanging="360"/>
      </w:pPr>
      <w:rPr>
        <w:rFonts w:ascii="Wingdings" w:hAnsi="Wingdings" w:hint="default"/>
        <w:caps w:val="0"/>
        <w:strike w:val="0"/>
        <w:dstrike w:val="0"/>
        <w:vanish w:val="0"/>
        <w:color w:val="333333"/>
        <w:sz w:val="18"/>
        <w:vertAlign w:val="baselin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F22A4E"/>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0C2195C"/>
    <w:multiLevelType w:val="hybridMultilevel"/>
    <w:tmpl w:val="11C8635E"/>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691777"/>
    <w:multiLevelType w:val="hybridMultilevel"/>
    <w:tmpl w:val="06704774"/>
    <w:lvl w:ilvl="0" w:tplc="B4C685C6">
      <w:start w:val="1"/>
      <w:numFmt w:val="decimal"/>
      <w:pStyle w:val="StyleNumberListReferences10pt"/>
      <w:lvlText w:val="%1"/>
      <w:lvlJc w:val="left"/>
      <w:pPr>
        <w:tabs>
          <w:tab w:val="num" w:pos="567"/>
        </w:tabs>
        <w:ind w:left="567" w:hanging="567"/>
      </w:pPr>
      <w:rPr>
        <w:rFonts w:ascii="Arial" w:hAnsi="Arial" w:hint="default"/>
        <w:b w:val="0"/>
        <w:i w:val="0"/>
        <w:color w:val="auto"/>
        <w:sz w:val="22"/>
        <w:szCs w:val="22"/>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3C7A43"/>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5816B5"/>
    <w:multiLevelType w:val="hybridMultilevel"/>
    <w:tmpl w:val="64BE4F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B50E05"/>
    <w:multiLevelType w:val="multilevel"/>
    <w:tmpl w:val="B17C57B0"/>
    <w:lvl w:ilvl="0">
      <w:start w:val="1"/>
      <w:numFmt w:val="decimal"/>
      <w:lvlText w:val="%1."/>
      <w:lvlJc w:val="left"/>
      <w:pPr>
        <w:tabs>
          <w:tab w:val="num" w:pos="-31680"/>
        </w:tabs>
        <w:ind w:left="720" w:hanging="720"/>
      </w:pPr>
      <w:rPr>
        <w:rFonts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91439D"/>
    <w:multiLevelType w:val="hybridMultilevel"/>
    <w:tmpl w:val="9348AEB6"/>
    <w:lvl w:ilvl="0" w:tplc="296445C0">
      <w:start w:val="1"/>
      <w:numFmt w:val="decimal"/>
      <w:pStyle w:val="Ch7num"/>
      <w:lvlText w:val="7.%1."/>
      <w:lvlJc w:val="left"/>
      <w:pPr>
        <w:ind w:left="5049" w:hanging="360"/>
      </w:pPr>
      <w:rPr>
        <w:rFonts w:cs="Times New Roman" w:hint="default"/>
        <w:b w:val="0"/>
        <w:i w:val="0"/>
        <w:color w:val="auto"/>
        <w:sz w:val="22"/>
        <w:szCs w:val="22"/>
      </w:rPr>
    </w:lvl>
    <w:lvl w:ilvl="1" w:tplc="08090019" w:tentative="1">
      <w:start w:val="1"/>
      <w:numFmt w:val="lowerLetter"/>
      <w:lvlText w:val="%2."/>
      <w:lvlJc w:val="left"/>
      <w:pPr>
        <w:ind w:left="5769" w:hanging="360"/>
      </w:pPr>
    </w:lvl>
    <w:lvl w:ilvl="2" w:tplc="0809001B" w:tentative="1">
      <w:start w:val="1"/>
      <w:numFmt w:val="lowerRoman"/>
      <w:lvlText w:val="%3."/>
      <w:lvlJc w:val="right"/>
      <w:pPr>
        <w:ind w:left="6489" w:hanging="180"/>
      </w:pPr>
    </w:lvl>
    <w:lvl w:ilvl="3" w:tplc="0809000F" w:tentative="1">
      <w:start w:val="1"/>
      <w:numFmt w:val="decimal"/>
      <w:lvlText w:val="%4."/>
      <w:lvlJc w:val="left"/>
      <w:pPr>
        <w:ind w:left="7209" w:hanging="360"/>
      </w:pPr>
    </w:lvl>
    <w:lvl w:ilvl="4" w:tplc="08090019" w:tentative="1">
      <w:start w:val="1"/>
      <w:numFmt w:val="lowerLetter"/>
      <w:lvlText w:val="%5."/>
      <w:lvlJc w:val="left"/>
      <w:pPr>
        <w:ind w:left="7929" w:hanging="360"/>
      </w:pPr>
    </w:lvl>
    <w:lvl w:ilvl="5" w:tplc="0809001B" w:tentative="1">
      <w:start w:val="1"/>
      <w:numFmt w:val="lowerRoman"/>
      <w:lvlText w:val="%6."/>
      <w:lvlJc w:val="right"/>
      <w:pPr>
        <w:ind w:left="8649" w:hanging="180"/>
      </w:pPr>
    </w:lvl>
    <w:lvl w:ilvl="6" w:tplc="0809000F" w:tentative="1">
      <w:start w:val="1"/>
      <w:numFmt w:val="decimal"/>
      <w:lvlText w:val="%7."/>
      <w:lvlJc w:val="left"/>
      <w:pPr>
        <w:ind w:left="9369" w:hanging="360"/>
      </w:pPr>
    </w:lvl>
    <w:lvl w:ilvl="7" w:tplc="08090019" w:tentative="1">
      <w:start w:val="1"/>
      <w:numFmt w:val="lowerLetter"/>
      <w:lvlText w:val="%8."/>
      <w:lvlJc w:val="left"/>
      <w:pPr>
        <w:ind w:left="10089" w:hanging="360"/>
      </w:pPr>
    </w:lvl>
    <w:lvl w:ilvl="8" w:tplc="0809001B" w:tentative="1">
      <w:start w:val="1"/>
      <w:numFmt w:val="lowerRoman"/>
      <w:lvlText w:val="%9."/>
      <w:lvlJc w:val="right"/>
      <w:pPr>
        <w:ind w:left="10809" w:hanging="180"/>
      </w:pPr>
    </w:lvl>
  </w:abstractNum>
  <w:num w:numId="1" w16cid:durableId="1332178883">
    <w:abstractNumId w:val="6"/>
  </w:num>
  <w:num w:numId="2" w16cid:durableId="783116592">
    <w:abstractNumId w:val="15"/>
  </w:num>
  <w:num w:numId="3" w16cid:durableId="1837381804">
    <w:abstractNumId w:val="5"/>
  </w:num>
  <w:num w:numId="4" w16cid:durableId="1507088489">
    <w:abstractNumId w:val="3"/>
  </w:num>
  <w:num w:numId="5" w16cid:durableId="1588880220">
    <w:abstractNumId w:val="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494904">
    <w:abstractNumId w:val="8"/>
  </w:num>
  <w:num w:numId="7" w16cid:durableId="155538292">
    <w:abstractNumId w:val="16"/>
  </w:num>
  <w:num w:numId="8" w16cid:durableId="503590910">
    <w:abstractNumId w:val="20"/>
  </w:num>
  <w:num w:numId="9" w16cid:durableId="2147237093">
    <w:abstractNumId w:val="12"/>
  </w:num>
  <w:num w:numId="10" w16cid:durableId="1075511989">
    <w:abstractNumId w:val="1"/>
  </w:num>
  <w:num w:numId="11" w16cid:durableId="1559828848">
    <w:abstractNumId w:val="9"/>
  </w:num>
  <w:num w:numId="12" w16cid:durableId="61756250">
    <w:abstractNumId w:val="14"/>
  </w:num>
  <w:num w:numId="13" w16cid:durableId="1894731250">
    <w:abstractNumId w:val="2"/>
  </w:num>
  <w:num w:numId="14" w16cid:durableId="1668284444">
    <w:abstractNumId w:val="7"/>
  </w:num>
  <w:num w:numId="15" w16cid:durableId="170267286">
    <w:abstractNumId w:val="11"/>
  </w:num>
  <w:num w:numId="16" w16cid:durableId="1973247967">
    <w:abstractNumId w:val="4"/>
  </w:num>
  <w:num w:numId="17" w16cid:durableId="1236166339">
    <w:abstractNumId w:val="12"/>
  </w:num>
  <w:num w:numId="18" w16cid:durableId="832332971">
    <w:abstractNumId w:val="12"/>
  </w:num>
  <w:num w:numId="19" w16cid:durableId="1454245738">
    <w:abstractNumId w:val="12"/>
  </w:num>
  <w:num w:numId="20" w16cid:durableId="1095790018">
    <w:abstractNumId w:val="12"/>
  </w:num>
  <w:num w:numId="21" w16cid:durableId="777069685">
    <w:abstractNumId w:val="12"/>
  </w:num>
  <w:num w:numId="22" w16cid:durableId="2024043623">
    <w:abstractNumId w:val="17"/>
  </w:num>
  <w:num w:numId="23" w16cid:durableId="421297726">
    <w:abstractNumId w:val="10"/>
  </w:num>
  <w:num w:numId="24" w16cid:durableId="1866208588">
    <w:abstractNumId w:val="12"/>
  </w:num>
  <w:num w:numId="25" w16cid:durableId="299386145">
    <w:abstractNumId w:val="15"/>
  </w:num>
  <w:num w:numId="26" w16cid:durableId="126164148">
    <w:abstractNumId w:val="15"/>
  </w:num>
  <w:num w:numId="27" w16cid:durableId="1300459222">
    <w:abstractNumId w:val="15"/>
  </w:num>
  <w:num w:numId="28" w16cid:durableId="1704599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9374181">
    <w:abstractNumId w:val="0"/>
  </w:num>
  <w:num w:numId="30" w16cid:durableId="83306308">
    <w:abstractNumId w:val="19"/>
  </w:num>
  <w:num w:numId="31" w16cid:durableId="1943763884">
    <w:abstractNumId w:val="18"/>
  </w:num>
  <w:num w:numId="32" w16cid:durableId="418257557">
    <w:abstractNumId w:val="13"/>
  </w:num>
  <w:num w:numId="33" w16cid:durableId="94132620">
    <w:abstractNumId w:val="6"/>
  </w:num>
  <w:num w:numId="34" w16cid:durableId="50035217">
    <w:abstractNumId w:val="6"/>
  </w:num>
  <w:num w:numId="35" w16cid:durableId="108907774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B4C"/>
    <w:rsid w:val="00002129"/>
    <w:rsid w:val="0000217E"/>
    <w:rsid w:val="000022CC"/>
    <w:rsid w:val="00002676"/>
    <w:rsid w:val="00004E22"/>
    <w:rsid w:val="00004FCE"/>
    <w:rsid w:val="000050C6"/>
    <w:rsid w:val="00005C29"/>
    <w:rsid w:val="00005CDD"/>
    <w:rsid w:val="00005F95"/>
    <w:rsid w:val="00006124"/>
    <w:rsid w:val="000066A3"/>
    <w:rsid w:val="00006B30"/>
    <w:rsid w:val="00006CD2"/>
    <w:rsid w:val="000070E0"/>
    <w:rsid w:val="00010AEF"/>
    <w:rsid w:val="00011784"/>
    <w:rsid w:val="00011F2B"/>
    <w:rsid w:val="0001219E"/>
    <w:rsid w:val="00015392"/>
    <w:rsid w:val="0001692C"/>
    <w:rsid w:val="00017612"/>
    <w:rsid w:val="00017BD1"/>
    <w:rsid w:val="00020219"/>
    <w:rsid w:val="0002058D"/>
    <w:rsid w:val="00021624"/>
    <w:rsid w:val="00021A84"/>
    <w:rsid w:val="00022958"/>
    <w:rsid w:val="00023B3B"/>
    <w:rsid w:val="00024381"/>
    <w:rsid w:val="00025343"/>
    <w:rsid w:val="000255C2"/>
    <w:rsid w:val="00025D82"/>
    <w:rsid w:val="00025F09"/>
    <w:rsid w:val="00025F92"/>
    <w:rsid w:val="00026A10"/>
    <w:rsid w:val="00030448"/>
    <w:rsid w:val="0003082A"/>
    <w:rsid w:val="00030D3C"/>
    <w:rsid w:val="000312D3"/>
    <w:rsid w:val="00032D26"/>
    <w:rsid w:val="00033891"/>
    <w:rsid w:val="00034336"/>
    <w:rsid w:val="00034784"/>
    <w:rsid w:val="00034BE8"/>
    <w:rsid w:val="00034D5F"/>
    <w:rsid w:val="00035BDE"/>
    <w:rsid w:val="00036030"/>
    <w:rsid w:val="00036073"/>
    <w:rsid w:val="0003663D"/>
    <w:rsid w:val="00036A64"/>
    <w:rsid w:val="000379B0"/>
    <w:rsid w:val="000415D6"/>
    <w:rsid w:val="00041DE2"/>
    <w:rsid w:val="00042171"/>
    <w:rsid w:val="00042A1F"/>
    <w:rsid w:val="0004322A"/>
    <w:rsid w:val="000440F7"/>
    <w:rsid w:val="0004574F"/>
    <w:rsid w:val="00045B95"/>
    <w:rsid w:val="0004683D"/>
    <w:rsid w:val="00047448"/>
    <w:rsid w:val="000478F2"/>
    <w:rsid w:val="00047E4B"/>
    <w:rsid w:val="000517E5"/>
    <w:rsid w:val="00052F1B"/>
    <w:rsid w:val="00052F30"/>
    <w:rsid w:val="00053BC0"/>
    <w:rsid w:val="000543D7"/>
    <w:rsid w:val="00055B12"/>
    <w:rsid w:val="00055E00"/>
    <w:rsid w:val="0005606C"/>
    <w:rsid w:val="00056303"/>
    <w:rsid w:val="00057413"/>
    <w:rsid w:val="0005775D"/>
    <w:rsid w:val="000577EE"/>
    <w:rsid w:val="00057A42"/>
    <w:rsid w:val="00057CC9"/>
    <w:rsid w:val="0006030B"/>
    <w:rsid w:val="0006160D"/>
    <w:rsid w:val="0006187C"/>
    <w:rsid w:val="0006188B"/>
    <w:rsid w:val="000648C7"/>
    <w:rsid w:val="000654E8"/>
    <w:rsid w:val="00065603"/>
    <w:rsid w:val="0006646C"/>
    <w:rsid w:val="00066548"/>
    <w:rsid w:val="00066713"/>
    <w:rsid w:val="0007000A"/>
    <w:rsid w:val="0007042F"/>
    <w:rsid w:val="000715BD"/>
    <w:rsid w:val="000730EB"/>
    <w:rsid w:val="00073B8D"/>
    <w:rsid w:val="00073E88"/>
    <w:rsid w:val="00073EE9"/>
    <w:rsid w:val="000741B1"/>
    <w:rsid w:val="000761BD"/>
    <w:rsid w:val="00076272"/>
    <w:rsid w:val="00076564"/>
    <w:rsid w:val="00076CA9"/>
    <w:rsid w:val="000835D8"/>
    <w:rsid w:val="00083B94"/>
    <w:rsid w:val="00083FDC"/>
    <w:rsid w:val="0008653F"/>
    <w:rsid w:val="00086B9C"/>
    <w:rsid w:val="0009055D"/>
    <w:rsid w:val="00090EBD"/>
    <w:rsid w:val="00091522"/>
    <w:rsid w:val="0009191E"/>
    <w:rsid w:val="00091BA0"/>
    <w:rsid w:val="0009284B"/>
    <w:rsid w:val="0009322B"/>
    <w:rsid w:val="00093ADB"/>
    <w:rsid w:val="00093C91"/>
    <w:rsid w:val="00093D38"/>
    <w:rsid w:val="00093D3C"/>
    <w:rsid w:val="00094835"/>
    <w:rsid w:val="00095314"/>
    <w:rsid w:val="00096646"/>
    <w:rsid w:val="00096F71"/>
    <w:rsid w:val="00096F76"/>
    <w:rsid w:val="000973F0"/>
    <w:rsid w:val="00097515"/>
    <w:rsid w:val="000975B2"/>
    <w:rsid w:val="000A1BC2"/>
    <w:rsid w:val="000A2B3B"/>
    <w:rsid w:val="000A2BB2"/>
    <w:rsid w:val="000A2DD2"/>
    <w:rsid w:val="000A304D"/>
    <w:rsid w:val="000A34A3"/>
    <w:rsid w:val="000A3708"/>
    <w:rsid w:val="000A3ED2"/>
    <w:rsid w:val="000A491A"/>
    <w:rsid w:val="000A55C3"/>
    <w:rsid w:val="000A5A98"/>
    <w:rsid w:val="000A7B83"/>
    <w:rsid w:val="000A7F48"/>
    <w:rsid w:val="000B1555"/>
    <w:rsid w:val="000B1801"/>
    <w:rsid w:val="000B1930"/>
    <w:rsid w:val="000B245A"/>
    <w:rsid w:val="000B385A"/>
    <w:rsid w:val="000B492C"/>
    <w:rsid w:val="000B4E40"/>
    <w:rsid w:val="000B57FA"/>
    <w:rsid w:val="000B5D94"/>
    <w:rsid w:val="000B60EF"/>
    <w:rsid w:val="000B6C13"/>
    <w:rsid w:val="000B6C55"/>
    <w:rsid w:val="000B6E24"/>
    <w:rsid w:val="000B71B9"/>
    <w:rsid w:val="000B79DC"/>
    <w:rsid w:val="000C1848"/>
    <w:rsid w:val="000C1CB5"/>
    <w:rsid w:val="000C204B"/>
    <w:rsid w:val="000C21FA"/>
    <w:rsid w:val="000C2A68"/>
    <w:rsid w:val="000C3842"/>
    <w:rsid w:val="000C3FD3"/>
    <w:rsid w:val="000C49F7"/>
    <w:rsid w:val="000C4C3E"/>
    <w:rsid w:val="000C4EF1"/>
    <w:rsid w:val="000C4F76"/>
    <w:rsid w:val="000C57D1"/>
    <w:rsid w:val="000C5924"/>
    <w:rsid w:val="000C6101"/>
    <w:rsid w:val="000C7C2A"/>
    <w:rsid w:val="000D0184"/>
    <w:rsid w:val="000D0A65"/>
    <w:rsid w:val="000D1632"/>
    <w:rsid w:val="000D23A4"/>
    <w:rsid w:val="000D303B"/>
    <w:rsid w:val="000D3482"/>
    <w:rsid w:val="000D3FB0"/>
    <w:rsid w:val="000D452A"/>
    <w:rsid w:val="000D4CB2"/>
    <w:rsid w:val="000D500C"/>
    <w:rsid w:val="000D56E8"/>
    <w:rsid w:val="000D580B"/>
    <w:rsid w:val="000D6244"/>
    <w:rsid w:val="000D666A"/>
    <w:rsid w:val="000D7011"/>
    <w:rsid w:val="000D7CF6"/>
    <w:rsid w:val="000D7D35"/>
    <w:rsid w:val="000E00A4"/>
    <w:rsid w:val="000E0537"/>
    <w:rsid w:val="000E0940"/>
    <w:rsid w:val="000E1645"/>
    <w:rsid w:val="000E2632"/>
    <w:rsid w:val="000E29A8"/>
    <w:rsid w:val="000E2C31"/>
    <w:rsid w:val="000E3B19"/>
    <w:rsid w:val="000E3E58"/>
    <w:rsid w:val="000E3F3A"/>
    <w:rsid w:val="000E459F"/>
    <w:rsid w:val="000E4733"/>
    <w:rsid w:val="000E4C4F"/>
    <w:rsid w:val="000E5114"/>
    <w:rsid w:val="000E7638"/>
    <w:rsid w:val="000E7972"/>
    <w:rsid w:val="000F18D4"/>
    <w:rsid w:val="000F200D"/>
    <w:rsid w:val="000F2AC9"/>
    <w:rsid w:val="000F3D91"/>
    <w:rsid w:val="000F3F11"/>
    <w:rsid w:val="000F4199"/>
    <w:rsid w:val="000F440F"/>
    <w:rsid w:val="000F4545"/>
    <w:rsid w:val="000F4B1E"/>
    <w:rsid w:val="000F55EC"/>
    <w:rsid w:val="000F600E"/>
    <w:rsid w:val="000F71D8"/>
    <w:rsid w:val="00100197"/>
    <w:rsid w:val="001001E8"/>
    <w:rsid w:val="00100878"/>
    <w:rsid w:val="00100C1F"/>
    <w:rsid w:val="00101203"/>
    <w:rsid w:val="00103615"/>
    <w:rsid w:val="00103E75"/>
    <w:rsid w:val="00104BE6"/>
    <w:rsid w:val="00105ADE"/>
    <w:rsid w:val="00105EFB"/>
    <w:rsid w:val="00106327"/>
    <w:rsid w:val="001063B0"/>
    <w:rsid w:val="00107586"/>
    <w:rsid w:val="00110910"/>
    <w:rsid w:val="0011094B"/>
    <w:rsid w:val="00110F1C"/>
    <w:rsid w:val="001117D0"/>
    <w:rsid w:val="00111CCC"/>
    <w:rsid w:val="001121D1"/>
    <w:rsid w:val="00112987"/>
    <w:rsid w:val="00112C2B"/>
    <w:rsid w:val="0011330D"/>
    <w:rsid w:val="00113625"/>
    <w:rsid w:val="001142B6"/>
    <w:rsid w:val="0011462E"/>
    <w:rsid w:val="0011474A"/>
    <w:rsid w:val="0011489E"/>
    <w:rsid w:val="00116C71"/>
    <w:rsid w:val="0011776B"/>
    <w:rsid w:val="00117794"/>
    <w:rsid w:val="00117A0C"/>
    <w:rsid w:val="001205A1"/>
    <w:rsid w:val="00120958"/>
    <w:rsid w:val="00121419"/>
    <w:rsid w:val="00121C8F"/>
    <w:rsid w:val="00122D13"/>
    <w:rsid w:val="00122EF8"/>
    <w:rsid w:val="001237A1"/>
    <w:rsid w:val="001239AF"/>
    <w:rsid w:val="00124137"/>
    <w:rsid w:val="00124D78"/>
    <w:rsid w:val="00124EE9"/>
    <w:rsid w:val="00125507"/>
    <w:rsid w:val="00126976"/>
    <w:rsid w:val="00127253"/>
    <w:rsid w:val="0012749A"/>
    <w:rsid w:val="00130B29"/>
    <w:rsid w:val="00131ECC"/>
    <w:rsid w:val="00131F4D"/>
    <w:rsid w:val="00132704"/>
    <w:rsid w:val="00132B5A"/>
    <w:rsid w:val="00132FCD"/>
    <w:rsid w:val="00133A7E"/>
    <w:rsid w:val="00133AEF"/>
    <w:rsid w:val="001344D9"/>
    <w:rsid w:val="001355BD"/>
    <w:rsid w:val="001362B4"/>
    <w:rsid w:val="00136767"/>
    <w:rsid w:val="00137105"/>
    <w:rsid w:val="001375C2"/>
    <w:rsid w:val="001414AC"/>
    <w:rsid w:val="00141760"/>
    <w:rsid w:val="00141EF3"/>
    <w:rsid w:val="001423E1"/>
    <w:rsid w:val="0014345A"/>
    <w:rsid w:val="001440E1"/>
    <w:rsid w:val="00144AE4"/>
    <w:rsid w:val="00145EFA"/>
    <w:rsid w:val="00146176"/>
    <w:rsid w:val="001465E2"/>
    <w:rsid w:val="00147103"/>
    <w:rsid w:val="001479F5"/>
    <w:rsid w:val="00150209"/>
    <w:rsid w:val="00150A69"/>
    <w:rsid w:val="00151F9F"/>
    <w:rsid w:val="00153E86"/>
    <w:rsid w:val="00154A55"/>
    <w:rsid w:val="00155131"/>
    <w:rsid w:val="001551D1"/>
    <w:rsid w:val="00156197"/>
    <w:rsid w:val="001565FE"/>
    <w:rsid w:val="00156649"/>
    <w:rsid w:val="0015710E"/>
    <w:rsid w:val="00157727"/>
    <w:rsid w:val="0016005A"/>
    <w:rsid w:val="0016017C"/>
    <w:rsid w:val="00160D18"/>
    <w:rsid w:val="00160F1A"/>
    <w:rsid w:val="00162936"/>
    <w:rsid w:val="00162E18"/>
    <w:rsid w:val="00163090"/>
    <w:rsid w:val="001637B1"/>
    <w:rsid w:val="00164BE5"/>
    <w:rsid w:val="00164F4F"/>
    <w:rsid w:val="001651B4"/>
    <w:rsid w:val="0016548F"/>
    <w:rsid w:val="001657BE"/>
    <w:rsid w:val="00166129"/>
    <w:rsid w:val="001674C8"/>
    <w:rsid w:val="00167C66"/>
    <w:rsid w:val="00167D76"/>
    <w:rsid w:val="00170C40"/>
    <w:rsid w:val="00173BDB"/>
    <w:rsid w:val="001740DC"/>
    <w:rsid w:val="0017591D"/>
    <w:rsid w:val="00175CE0"/>
    <w:rsid w:val="00175F54"/>
    <w:rsid w:val="00176048"/>
    <w:rsid w:val="001761D9"/>
    <w:rsid w:val="001811BB"/>
    <w:rsid w:val="001815DE"/>
    <w:rsid w:val="00181D3C"/>
    <w:rsid w:val="00182BA5"/>
    <w:rsid w:val="00184263"/>
    <w:rsid w:val="00184797"/>
    <w:rsid w:val="00184E17"/>
    <w:rsid w:val="00185E58"/>
    <w:rsid w:val="00186315"/>
    <w:rsid w:val="001869B8"/>
    <w:rsid w:val="001869F8"/>
    <w:rsid w:val="00190489"/>
    <w:rsid w:val="00190558"/>
    <w:rsid w:val="00190697"/>
    <w:rsid w:val="00190D8E"/>
    <w:rsid w:val="001922D3"/>
    <w:rsid w:val="00193BC8"/>
    <w:rsid w:val="00193C57"/>
    <w:rsid w:val="00194236"/>
    <w:rsid w:val="001947F8"/>
    <w:rsid w:val="00194973"/>
    <w:rsid w:val="00195498"/>
    <w:rsid w:val="00195AAB"/>
    <w:rsid w:val="00196763"/>
    <w:rsid w:val="00197717"/>
    <w:rsid w:val="00197C78"/>
    <w:rsid w:val="001A0382"/>
    <w:rsid w:val="001A04BE"/>
    <w:rsid w:val="001A04FE"/>
    <w:rsid w:val="001A24EB"/>
    <w:rsid w:val="001A3277"/>
    <w:rsid w:val="001A3D45"/>
    <w:rsid w:val="001A4DD1"/>
    <w:rsid w:val="001A4E8E"/>
    <w:rsid w:val="001A6B22"/>
    <w:rsid w:val="001A78AF"/>
    <w:rsid w:val="001A7EDD"/>
    <w:rsid w:val="001B0018"/>
    <w:rsid w:val="001B0793"/>
    <w:rsid w:val="001B1022"/>
    <w:rsid w:val="001B132C"/>
    <w:rsid w:val="001B2409"/>
    <w:rsid w:val="001B328B"/>
    <w:rsid w:val="001B44EE"/>
    <w:rsid w:val="001B5A69"/>
    <w:rsid w:val="001B60D3"/>
    <w:rsid w:val="001B6581"/>
    <w:rsid w:val="001B66DF"/>
    <w:rsid w:val="001B7618"/>
    <w:rsid w:val="001B7A15"/>
    <w:rsid w:val="001C09B8"/>
    <w:rsid w:val="001C0B46"/>
    <w:rsid w:val="001C0E3F"/>
    <w:rsid w:val="001C17F1"/>
    <w:rsid w:val="001C1D3E"/>
    <w:rsid w:val="001C1DF0"/>
    <w:rsid w:val="001C282E"/>
    <w:rsid w:val="001C36C9"/>
    <w:rsid w:val="001C3DB8"/>
    <w:rsid w:val="001C42E5"/>
    <w:rsid w:val="001C5406"/>
    <w:rsid w:val="001C5407"/>
    <w:rsid w:val="001C6E21"/>
    <w:rsid w:val="001C71F4"/>
    <w:rsid w:val="001C7E90"/>
    <w:rsid w:val="001D0476"/>
    <w:rsid w:val="001D08C0"/>
    <w:rsid w:val="001D0EBD"/>
    <w:rsid w:val="001D26A9"/>
    <w:rsid w:val="001D3016"/>
    <w:rsid w:val="001D3923"/>
    <w:rsid w:val="001D3D06"/>
    <w:rsid w:val="001D4BBE"/>
    <w:rsid w:val="001D4D8F"/>
    <w:rsid w:val="001D578E"/>
    <w:rsid w:val="001D591B"/>
    <w:rsid w:val="001D6226"/>
    <w:rsid w:val="001D637F"/>
    <w:rsid w:val="001D78A1"/>
    <w:rsid w:val="001D7B91"/>
    <w:rsid w:val="001E0788"/>
    <w:rsid w:val="001E0CC6"/>
    <w:rsid w:val="001E1054"/>
    <w:rsid w:val="001E145E"/>
    <w:rsid w:val="001E3308"/>
    <w:rsid w:val="001E34DF"/>
    <w:rsid w:val="001E35B3"/>
    <w:rsid w:val="001E47C7"/>
    <w:rsid w:val="001E4806"/>
    <w:rsid w:val="001E4F72"/>
    <w:rsid w:val="001E623A"/>
    <w:rsid w:val="001E624D"/>
    <w:rsid w:val="001E6ADE"/>
    <w:rsid w:val="001E6CFA"/>
    <w:rsid w:val="001E6F77"/>
    <w:rsid w:val="001E7220"/>
    <w:rsid w:val="001E7524"/>
    <w:rsid w:val="001E7D23"/>
    <w:rsid w:val="001E7E1D"/>
    <w:rsid w:val="001F07BF"/>
    <w:rsid w:val="001F08E3"/>
    <w:rsid w:val="001F09B0"/>
    <w:rsid w:val="001F20F9"/>
    <w:rsid w:val="001F2732"/>
    <w:rsid w:val="001F2DE6"/>
    <w:rsid w:val="001F3222"/>
    <w:rsid w:val="001F340E"/>
    <w:rsid w:val="001F4032"/>
    <w:rsid w:val="001F5C8C"/>
    <w:rsid w:val="001F5F76"/>
    <w:rsid w:val="001F6166"/>
    <w:rsid w:val="001F66B1"/>
    <w:rsid w:val="001F7B4C"/>
    <w:rsid w:val="002005EB"/>
    <w:rsid w:val="00200A4A"/>
    <w:rsid w:val="00200CB7"/>
    <w:rsid w:val="00201025"/>
    <w:rsid w:val="00201AD4"/>
    <w:rsid w:val="0020227B"/>
    <w:rsid w:val="0020383B"/>
    <w:rsid w:val="002038BE"/>
    <w:rsid w:val="00203E57"/>
    <w:rsid w:val="002049CE"/>
    <w:rsid w:val="00205036"/>
    <w:rsid w:val="00205787"/>
    <w:rsid w:val="00206D76"/>
    <w:rsid w:val="00206EE0"/>
    <w:rsid w:val="002076C5"/>
    <w:rsid w:val="00207AC3"/>
    <w:rsid w:val="00207BE5"/>
    <w:rsid w:val="00207DD8"/>
    <w:rsid w:val="0021074A"/>
    <w:rsid w:val="0021143D"/>
    <w:rsid w:val="002115ED"/>
    <w:rsid w:val="00211BF6"/>
    <w:rsid w:val="00212D3B"/>
    <w:rsid w:val="0021332B"/>
    <w:rsid w:val="002133D8"/>
    <w:rsid w:val="002138DC"/>
    <w:rsid w:val="00215B48"/>
    <w:rsid w:val="00216018"/>
    <w:rsid w:val="00217372"/>
    <w:rsid w:val="00217549"/>
    <w:rsid w:val="00221206"/>
    <w:rsid w:val="00221BDD"/>
    <w:rsid w:val="00221FB3"/>
    <w:rsid w:val="002225CA"/>
    <w:rsid w:val="002234D2"/>
    <w:rsid w:val="00225208"/>
    <w:rsid w:val="0022554B"/>
    <w:rsid w:val="00225BAF"/>
    <w:rsid w:val="00226293"/>
    <w:rsid w:val="002263B1"/>
    <w:rsid w:val="002268F7"/>
    <w:rsid w:val="00226DAA"/>
    <w:rsid w:val="00227BBA"/>
    <w:rsid w:val="00227E55"/>
    <w:rsid w:val="0023052D"/>
    <w:rsid w:val="00230E16"/>
    <w:rsid w:val="002311AA"/>
    <w:rsid w:val="00232045"/>
    <w:rsid w:val="0023233C"/>
    <w:rsid w:val="002327A1"/>
    <w:rsid w:val="002333F8"/>
    <w:rsid w:val="002339C9"/>
    <w:rsid w:val="00233C83"/>
    <w:rsid w:val="00234272"/>
    <w:rsid w:val="002355EE"/>
    <w:rsid w:val="0023579F"/>
    <w:rsid w:val="00235C41"/>
    <w:rsid w:val="00236BB6"/>
    <w:rsid w:val="00237FFC"/>
    <w:rsid w:val="0024039D"/>
    <w:rsid w:val="00241BE8"/>
    <w:rsid w:val="002420AD"/>
    <w:rsid w:val="00243542"/>
    <w:rsid w:val="0024502C"/>
    <w:rsid w:val="00245A5C"/>
    <w:rsid w:val="00245F80"/>
    <w:rsid w:val="0024616F"/>
    <w:rsid w:val="00246CDF"/>
    <w:rsid w:val="002470C4"/>
    <w:rsid w:val="0025049D"/>
    <w:rsid w:val="00251049"/>
    <w:rsid w:val="00251720"/>
    <w:rsid w:val="00252161"/>
    <w:rsid w:val="00252694"/>
    <w:rsid w:val="00254015"/>
    <w:rsid w:val="002540BC"/>
    <w:rsid w:val="002553D2"/>
    <w:rsid w:val="00255BC0"/>
    <w:rsid w:val="002562F1"/>
    <w:rsid w:val="002605D7"/>
    <w:rsid w:val="00260C2C"/>
    <w:rsid w:val="00260C6C"/>
    <w:rsid w:val="00260D10"/>
    <w:rsid w:val="002617F2"/>
    <w:rsid w:val="002627B2"/>
    <w:rsid w:val="00262AEA"/>
    <w:rsid w:val="00262CC4"/>
    <w:rsid w:val="00263ADD"/>
    <w:rsid w:val="002644C0"/>
    <w:rsid w:val="00265275"/>
    <w:rsid w:val="0026566E"/>
    <w:rsid w:val="00267EF6"/>
    <w:rsid w:val="00270A07"/>
    <w:rsid w:val="002716CC"/>
    <w:rsid w:val="00271A34"/>
    <w:rsid w:val="00272260"/>
    <w:rsid w:val="002726E7"/>
    <w:rsid w:val="00272F21"/>
    <w:rsid w:val="00273E49"/>
    <w:rsid w:val="0027428C"/>
    <w:rsid w:val="002744B4"/>
    <w:rsid w:val="00275CD5"/>
    <w:rsid w:val="00275DBE"/>
    <w:rsid w:val="00275E6E"/>
    <w:rsid w:val="0027675C"/>
    <w:rsid w:val="00276832"/>
    <w:rsid w:val="00277339"/>
    <w:rsid w:val="0028011F"/>
    <w:rsid w:val="00281682"/>
    <w:rsid w:val="00281713"/>
    <w:rsid w:val="00281ADA"/>
    <w:rsid w:val="00281C81"/>
    <w:rsid w:val="00281E9A"/>
    <w:rsid w:val="00282C7B"/>
    <w:rsid w:val="002833AC"/>
    <w:rsid w:val="0028356A"/>
    <w:rsid w:val="0028467C"/>
    <w:rsid w:val="00285FB0"/>
    <w:rsid w:val="00287044"/>
    <w:rsid w:val="002873F8"/>
    <w:rsid w:val="00290467"/>
    <w:rsid w:val="00290CFF"/>
    <w:rsid w:val="00290EB3"/>
    <w:rsid w:val="002912BD"/>
    <w:rsid w:val="00292EC5"/>
    <w:rsid w:val="00293379"/>
    <w:rsid w:val="0029348F"/>
    <w:rsid w:val="00293AAC"/>
    <w:rsid w:val="00293E57"/>
    <w:rsid w:val="00297013"/>
    <w:rsid w:val="00297401"/>
    <w:rsid w:val="002976A3"/>
    <w:rsid w:val="002A081B"/>
    <w:rsid w:val="002A09AC"/>
    <w:rsid w:val="002A0FDF"/>
    <w:rsid w:val="002A1648"/>
    <w:rsid w:val="002A22ED"/>
    <w:rsid w:val="002A2842"/>
    <w:rsid w:val="002A286A"/>
    <w:rsid w:val="002A2B8B"/>
    <w:rsid w:val="002A2D57"/>
    <w:rsid w:val="002A354D"/>
    <w:rsid w:val="002A36A2"/>
    <w:rsid w:val="002A3F8B"/>
    <w:rsid w:val="002A3FA9"/>
    <w:rsid w:val="002A436F"/>
    <w:rsid w:val="002A4AEE"/>
    <w:rsid w:val="002A55EF"/>
    <w:rsid w:val="002A5A50"/>
    <w:rsid w:val="002A60EB"/>
    <w:rsid w:val="002A7E3E"/>
    <w:rsid w:val="002B0094"/>
    <w:rsid w:val="002B12D7"/>
    <w:rsid w:val="002B1306"/>
    <w:rsid w:val="002B1803"/>
    <w:rsid w:val="002B1AA5"/>
    <w:rsid w:val="002B3520"/>
    <w:rsid w:val="002B3D41"/>
    <w:rsid w:val="002B4AAE"/>
    <w:rsid w:val="002B5442"/>
    <w:rsid w:val="002B5476"/>
    <w:rsid w:val="002B5711"/>
    <w:rsid w:val="002B5FBE"/>
    <w:rsid w:val="002B6159"/>
    <w:rsid w:val="002B61CA"/>
    <w:rsid w:val="002B6252"/>
    <w:rsid w:val="002B7EAE"/>
    <w:rsid w:val="002C0BB1"/>
    <w:rsid w:val="002C1231"/>
    <w:rsid w:val="002C19D1"/>
    <w:rsid w:val="002C2717"/>
    <w:rsid w:val="002C2A17"/>
    <w:rsid w:val="002C2B63"/>
    <w:rsid w:val="002C2F0B"/>
    <w:rsid w:val="002C3594"/>
    <w:rsid w:val="002C4207"/>
    <w:rsid w:val="002C4499"/>
    <w:rsid w:val="002C44BB"/>
    <w:rsid w:val="002C497A"/>
    <w:rsid w:val="002C4BD9"/>
    <w:rsid w:val="002C58F2"/>
    <w:rsid w:val="002C5CCB"/>
    <w:rsid w:val="002C66CA"/>
    <w:rsid w:val="002C6B03"/>
    <w:rsid w:val="002C6EBA"/>
    <w:rsid w:val="002C75F3"/>
    <w:rsid w:val="002C796E"/>
    <w:rsid w:val="002C7C74"/>
    <w:rsid w:val="002D1379"/>
    <w:rsid w:val="002D1D32"/>
    <w:rsid w:val="002D517C"/>
    <w:rsid w:val="002D548A"/>
    <w:rsid w:val="002D6074"/>
    <w:rsid w:val="002D61B5"/>
    <w:rsid w:val="002D6462"/>
    <w:rsid w:val="002D6BC1"/>
    <w:rsid w:val="002D6F12"/>
    <w:rsid w:val="002D7D2F"/>
    <w:rsid w:val="002D7EFA"/>
    <w:rsid w:val="002E0377"/>
    <w:rsid w:val="002E093D"/>
    <w:rsid w:val="002E1164"/>
    <w:rsid w:val="002E184C"/>
    <w:rsid w:val="002E2977"/>
    <w:rsid w:val="002E29A0"/>
    <w:rsid w:val="002E2A2F"/>
    <w:rsid w:val="002E2AD2"/>
    <w:rsid w:val="002E3AC3"/>
    <w:rsid w:val="002E4648"/>
    <w:rsid w:val="002E50AA"/>
    <w:rsid w:val="002E50AB"/>
    <w:rsid w:val="002E5DD0"/>
    <w:rsid w:val="002E6373"/>
    <w:rsid w:val="002E667F"/>
    <w:rsid w:val="002E7E1E"/>
    <w:rsid w:val="002E7E41"/>
    <w:rsid w:val="002F0976"/>
    <w:rsid w:val="002F0AE7"/>
    <w:rsid w:val="002F19FF"/>
    <w:rsid w:val="002F34D9"/>
    <w:rsid w:val="002F395C"/>
    <w:rsid w:val="002F3C26"/>
    <w:rsid w:val="002F4639"/>
    <w:rsid w:val="002F4ED9"/>
    <w:rsid w:val="002F5007"/>
    <w:rsid w:val="002F7B82"/>
    <w:rsid w:val="003003B1"/>
    <w:rsid w:val="00300A5F"/>
    <w:rsid w:val="003018F7"/>
    <w:rsid w:val="003047F2"/>
    <w:rsid w:val="00304877"/>
    <w:rsid w:val="00304E7B"/>
    <w:rsid w:val="003063CB"/>
    <w:rsid w:val="00306895"/>
    <w:rsid w:val="00306BFA"/>
    <w:rsid w:val="0030733B"/>
    <w:rsid w:val="003075D4"/>
    <w:rsid w:val="00310551"/>
    <w:rsid w:val="00311FCD"/>
    <w:rsid w:val="00312657"/>
    <w:rsid w:val="00312AB7"/>
    <w:rsid w:val="00312E02"/>
    <w:rsid w:val="00313E5B"/>
    <w:rsid w:val="00314709"/>
    <w:rsid w:val="003151A3"/>
    <w:rsid w:val="00315C52"/>
    <w:rsid w:val="00316E68"/>
    <w:rsid w:val="0031706E"/>
    <w:rsid w:val="00317F25"/>
    <w:rsid w:val="00320E06"/>
    <w:rsid w:val="00321F22"/>
    <w:rsid w:val="00322417"/>
    <w:rsid w:val="00322F1E"/>
    <w:rsid w:val="003232BB"/>
    <w:rsid w:val="00323565"/>
    <w:rsid w:val="0032372F"/>
    <w:rsid w:val="003240D2"/>
    <w:rsid w:val="00324409"/>
    <w:rsid w:val="00324A7E"/>
    <w:rsid w:val="00324E22"/>
    <w:rsid w:val="0032579F"/>
    <w:rsid w:val="00326C0A"/>
    <w:rsid w:val="003279E4"/>
    <w:rsid w:val="00327B89"/>
    <w:rsid w:val="00331547"/>
    <w:rsid w:val="00331965"/>
    <w:rsid w:val="00331AE2"/>
    <w:rsid w:val="0033218D"/>
    <w:rsid w:val="003321EB"/>
    <w:rsid w:val="00332208"/>
    <w:rsid w:val="003323A6"/>
    <w:rsid w:val="003324D4"/>
    <w:rsid w:val="003334A3"/>
    <w:rsid w:val="003334F5"/>
    <w:rsid w:val="00334139"/>
    <w:rsid w:val="003343BD"/>
    <w:rsid w:val="00334F8D"/>
    <w:rsid w:val="00335C44"/>
    <w:rsid w:val="00336BCB"/>
    <w:rsid w:val="00337599"/>
    <w:rsid w:val="00337B45"/>
    <w:rsid w:val="00340ACF"/>
    <w:rsid w:val="00341D7C"/>
    <w:rsid w:val="003422AC"/>
    <w:rsid w:val="003426D9"/>
    <w:rsid w:val="00342877"/>
    <w:rsid w:val="00342D9D"/>
    <w:rsid w:val="003436AC"/>
    <w:rsid w:val="00343FEC"/>
    <w:rsid w:val="00344A39"/>
    <w:rsid w:val="00344F34"/>
    <w:rsid w:val="00345212"/>
    <w:rsid w:val="00346409"/>
    <w:rsid w:val="003465DB"/>
    <w:rsid w:val="00346F39"/>
    <w:rsid w:val="00351AEF"/>
    <w:rsid w:val="003533C3"/>
    <w:rsid w:val="00354265"/>
    <w:rsid w:val="00354F4B"/>
    <w:rsid w:val="00355052"/>
    <w:rsid w:val="003561CC"/>
    <w:rsid w:val="00356878"/>
    <w:rsid w:val="00356BF3"/>
    <w:rsid w:val="00360454"/>
    <w:rsid w:val="0036078D"/>
    <w:rsid w:val="003617EC"/>
    <w:rsid w:val="00362069"/>
    <w:rsid w:val="003628A5"/>
    <w:rsid w:val="00362A33"/>
    <w:rsid w:val="00362D55"/>
    <w:rsid w:val="00362DE6"/>
    <w:rsid w:val="00364070"/>
    <w:rsid w:val="00364864"/>
    <w:rsid w:val="00364DD3"/>
    <w:rsid w:val="003658A6"/>
    <w:rsid w:val="0036646E"/>
    <w:rsid w:val="00366866"/>
    <w:rsid w:val="003668FE"/>
    <w:rsid w:val="00366DAD"/>
    <w:rsid w:val="003706F7"/>
    <w:rsid w:val="00370B9A"/>
    <w:rsid w:val="003713C4"/>
    <w:rsid w:val="003717ED"/>
    <w:rsid w:val="0037240F"/>
    <w:rsid w:val="0037259F"/>
    <w:rsid w:val="00372736"/>
    <w:rsid w:val="00372D75"/>
    <w:rsid w:val="003746F3"/>
    <w:rsid w:val="00375427"/>
    <w:rsid w:val="00375565"/>
    <w:rsid w:val="00376AAE"/>
    <w:rsid w:val="00376E30"/>
    <w:rsid w:val="00381194"/>
    <w:rsid w:val="003814EF"/>
    <w:rsid w:val="003817F0"/>
    <w:rsid w:val="0038220E"/>
    <w:rsid w:val="00382386"/>
    <w:rsid w:val="00383324"/>
    <w:rsid w:val="003835FF"/>
    <w:rsid w:val="00383B7B"/>
    <w:rsid w:val="00386EB7"/>
    <w:rsid w:val="003874D1"/>
    <w:rsid w:val="00387A3A"/>
    <w:rsid w:val="003914B0"/>
    <w:rsid w:val="00391B74"/>
    <w:rsid w:val="0039308C"/>
    <w:rsid w:val="003934EC"/>
    <w:rsid w:val="00393A77"/>
    <w:rsid w:val="00394B72"/>
    <w:rsid w:val="00395B38"/>
    <w:rsid w:val="00395DE7"/>
    <w:rsid w:val="0039784F"/>
    <w:rsid w:val="003A194C"/>
    <w:rsid w:val="003A2403"/>
    <w:rsid w:val="003A31D3"/>
    <w:rsid w:val="003A325D"/>
    <w:rsid w:val="003A434C"/>
    <w:rsid w:val="003A5089"/>
    <w:rsid w:val="003A5F69"/>
    <w:rsid w:val="003A6632"/>
    <w:rsid w:val="003A6756"/>
    <w:rsid w:val="003A6E13"/>
    <w:rsid w:val="003A76BC"/>
    <w:rsid w:val="003B003B"/>
    <w:rsid w:val="003B0D3E"/>
    <w:rsid w:val="003B0E99"/>
    <w:rsid w:val="003B15D6"/>
    <w:rsid w:val="003B1879"/>
    <w:rsid w:val="003B1CB7"/>
    <w:rsid w:val="003B2024"/>
    <w:rsid w:val="003B2460"/>
    <w:rsid w:val="003B3336"/>
    <w:rsid w:val="003B4609"/>
    <w:rsid w:val="003B4B1D"/>
    <w:rsid w:val="003B50D0"/>
    <w:rsid w:val="003B5A81"/>
    <w:rsid w:val="003B6AC2"/>
    <w:rsid w:val="003B7630"/>
    <w:rsid w:val="003C140B"/>
    <w:rsid w:val="003C2018"/>
    <w:rsid w:val="003C2099"/>
    <w:rsid w:val="003C21A9"/>
    <w:rsid w:val="003C2342"/>
    <w:rsid w:val="003C2600"/>
    <w:rsid w:val="003C2E9F"/>
    <w:rsid w:val="003C369F"/>
    <w:rsid w:val="003C3CDC"/>
    <w:rsid w:val="003C4212"/>
    <w:rsid w:val="003C5693"/>
    <w:rsid w:val="003C5F8C"/>
    <w:rsid w:val="003C6097"/>
    <w:rsid w:val="003C60CA"/>
    <w:rsid w:val="003C6E4F"/>
    <w:rsid w:val="003C6F82"/>
    <w:rsid w:val="003C78F7"/>
    <w:rsid w:val="003D005E"/>
    <w:rsid w:val="003D02F9"/>
    <w:rsid w:val="003D1824"/>
    <w:rsid w:val="003D1A8E"/>
    <w:rsid w:val="003D1E42"/>
    <w:rsid w:val="003D22C0"/>
    <w:rsid w:val="003D4587"/>
    <w:rsid w:val="003D4D57"/>
    <w:rsid w:val="003D5F36"/>
    <w:rsid w:val="003D7840"/>
    <w:rsid w:val="003D7FBB"/>
    <w:rsid w:val="003E1A00"/>
    <w:rsid w:val="003E3479"/>
    <w:rsid w:val="003E34F2"/>
    <w:rsid w:val="003E5482"/>
    <w:rsid w:val="003E669A"/>
    <w:rsid w:val="003E6BBA"/>
    <w:rsid w:val="003E6D3D"/>
    <w:rsid w:val="003E70D6"/>
    <w:rsid w:val="003E7D2C"/>
    <w:rsid w:val="003E7E1D"/>
    <w:rsid w:val="003F0374"/>
    <w:rsid w:val="003F08D4"/>
    <w:rsid w:val="003F0BBF"/>
    <w:rsid w:val="003F3F4A"/>
    <w:rsid w:val="003F3FFE"/>
    <w:rsid w:val="003F427B"/>
    <w:rsid w:val="003F6794"/>
    <w:rsid w:val="003F683E"/>
    <w:rsid w:val="003F692E"/>
    <w:rsid w:val="003F6FA2"/>
    <w:rsid w:val="003F79B3"/>
    <w:rsid w:val="0040159A"/>
    <w:rsid w:val="00401ECB"/>
    <w:rsid w:val="00403719"/>
    <w:rsid w:val="004038A9"/>
    <w:rsid w:val="00403D4B"/>
    <w:rsid w:val="00404ECF"/>
    <w:rsid w:val="00405F58"/>
    <w:rsid w:val="0040603B"/>
    <w:rsid w:val="00406DF1"/>
    <w:rsid w:val="00407585"/>
    <w:rsid w:val="00410E61"/>
    <w:rsid w:val="0041118C"/>
    <w:rsid w:val="00412408"/>
    <w:rsid w:val="004127C7"/>
    <w:rsid w:val="00414520"/>
    <w:rsid w:val="00414740"/>
    <w:rsid w:val="0041550B"/>
    <w:rsid w:val="00415540"/>
    <w:rsid w:val="00415AB3"/>
    <w:rsid w:val="00415C7E"/>
    <w:rsid w:val="00415D89"/>
    <w:rsid w:val="00416436"/>
    <w:rsid w:val="00417F2B"/>
    <w:rsid w:val="0042056A"/>
    <w:rsid w:val="00420B2F"/>
    <w:rsid w:val="004233DC"/>
    <w:rsid w:val="00424126"/>
    <w:rsid w:val="004242C8"/>
    <w:rsid w:val="0042475F"/>
    <w:rsid w:val="004261B6"/>
    <w:rsid w:val="00426287"/>
    <w:rsid w:val="00426294"/>
    <w:rsid w:val="004264BD"/>
    <w:rsid w:val="004269C2"/>
    <w:rsid w:val="00426AC4"/>
    <w:rsid w:val="00427184"/>
    <w:rsid w:val="0043017A"/>
    <w:rsid w:val="00430E54"/>
    <w:rsid w:val="00431254"/>
    <w:rsid w:val="004314D6"/>
    <w:rsid w:val="0043195A"/>
    <w:rsid w:val="00431FA6"/>
    <w:rsid w:val="00432187"/>
    <w:rsid w:val="004322CA"/>
    <w:rsid w:val="00432613"/>
    <w:rsid w:val="004329F9"/>
    <w:rsid w:val="00432AB4"/>
    <w:rsid w:val="00432BFB"/>
    <w:rsid w:val="004330DC"/>
    <w:rsid w:val="00436FDC"/>
    <w:rsid w:val="00437058"/>
    <w:rsid w:val="004404CB"/>
    <w:rsid w:val="004409B0"/>
    <w:rsid w:val="00440A4F"/>
    <w:rsid w:val="00440FB7"/>
    <w:rsid w:val="0044127A"/>
    <w:rsid w:val="00441F63"/>
    <w:rsid w:val="0044247D"/>
    <w:rsid w:val="0044250A"/>
    <w:rsid w:val="00443EBC"/>
    <w:rsid w:val="0044405A"/>
    <w:rsid w:val="004453BE"/>
    <w:rsid w:val="00445D04"/>
    <w:rsid w:val="00446A60"/>
    <w:rsid w:val="00446BC9"/>
    <w:rsid w:val="004476D5"/>
    <w:rsid w:val="004503BD"/>
    <w:rsid w:val="004504F4"/>
    <w:rsid w:val="004506D7"/>
    <w:rsid w:val="00451859"/>
    <w:rsid w:val="00452396"/>
    <w:rsid w:val="00453420"/>
    <w:rsid w:val="00453F09"/>
    <w:rsid w:val="0045439E"/>
    <w:rsid w:val="004545A6"/>
    <w:rsid w:val="00454BB8"/>
    <w:rsid w:val="00456FF2"/>
    <w:rsid w:val="0045754C"/>
    <w:rsid w:val="00460F97"/>
    <w:rsid w:val="004610DF"/>
    <w:rsid w:val="00461BA9"/>
    <w:rsid w:val="00462341"/>
    <w:rsid w:val="004625A4"/>
    <w:rsid w:val="00463241"/>
    <w:rsid w:val="0046389A"/>
    <w:rsid w:val="00464BA9"/>
    <w:rsid w:val="0046504A"/>
    <w:rsid w:val="00465A93"/>
    <w:rsid w:val="00465D42"/>
    <w:rsid w:val="00465DCB"/>
    <w:rsid w:val="004667CD"/>
    <w:rsid w:val="00466B18"/>
    <w:rsid w:val="00467A2F"/>
    <w:rsid w:val="00467EB4"/>
    <w:rsid w:val="00467F55"/>
    <w:rsid w:val="00470166"/>
    <w:rsid w:val="00470A2B"/>
    <w:rsid w:val="0047360C"/>
    <w:rsid w:val="0047374A"/>
    <w:rsid w:val="004737B9"/>
    <w:rsid w:val="00474D58"/>
    <w:rsid w:val="004750A2"/>
    <w:rsid w:val="0047520A"/>
    <w:rsid w:val="00475CF2"/>
    <w:rsid w:val="00475E35"/>
    <w:rsid w:val="004762E2"/>
    <w:rsid w:val="004764D5"/>
    <w:rsid w:val="00477C4B"/>
    <w:rsid w:val="00481187"/>
    <w:rsid w:val="004813AD"/>
    <w:rsid w:val="00481D3B"/>
    <w:rsid w:val="004827BB"/>
    <w:rsid w:val="00482BF8"/>
    <w:rsid w:val="00483C79"/>
    <w:rsid w:val="00483D95"/>
    <w:rsid w:val="004843EE"/>
    <w:rsid w:val="00484760"/>
    <w:rsid w:val="00486004"/>
    <w:rsid w:val="004868DF"/>
    <w:rsid w:val="00487471"/>
    <w:rsid w:val="00487A22"/>
    <w:rsid w:val="00492CD1"/>
    <w:rsid w:val="004933F2"/>
    <w:rsid w:val="0049443B"/>
    <w:rsid w:val="004948D2"/>
    <w:rsid w:val="00495F75"/>
    <w:rsid w:val="00496143"/>
    <w:rsid w:val="004966CF"/>
    <w:rsid w:val="0049683A"/>
    <w:rsid w:val="00496A52"/>
    <w:rsid w:val="00496CBE"/>
    <w:rsid w:val="00496E9E"/>
    <w:rsid w:val="0049796C"/>
    <w:rsid w:val="00497B4B"/>
    <w:rsid w:val="004A20DD"/>
    <w:rsid w:val="004A27B6"/>
    <w:rsid w:val="004A2FCB"/>
    <w:rsid w:val="004A323E"/>
    <w:rsid w:val="004A3B74"/>
    <w:rsid w:val="004A4D4E"/>
    <w:rsid w:val="004A5B0F"/>
    <w:rsid w:val="004A63B5"/>
    <w:rsid w:val="004A65D9"/>
    <w:rsid w:val="004A6DAC"/>
    <w:rsid w:val="004A703F"/>
    <w:rsid w:val="004A7B1B"/>
    <w:rsid w:val="004B16CC"/>
    <w:rsid w:val="004B1C25"/>
    <w:rsid w:val="004B215A"/>
    <w:rsid w:val="004B258B"/>
    <w:rsid w:val="004B2FA8"/>
    <w:rsid w:val="004B2FCA"/>
    <w:rsid w:val="004B32A9"/>
    <w:rsid w:val="004B3510"/>
    <w:rsid w:val="004B4ED0"/>
    <w:rsid w:val="004B6B2E"/>
    <w:rsid w:val="004B6F3E"/>
    <w:rsid w:val="004B7D54"/>
    <w:rsid w:val="004C1337"/>
    <w:rsid w:val="004C259C"/>
    <w:rsid w:val="004C2E95"/>
    <w:rsid w:val="004C30AC"/>
    <w:rsid w:val="004C3E05"/>
    <w:rsid w:val="004C4F13"/>
    <w:rsid w:val="004C4F1D"/>
    <w:rsid w:val="004C5892"/>
    <w:rsid w:val="004C597F"/>
    <w:rsid w:val="004C5980"/>
    <w:rsid w:val="004C5EB7"/>
    <w:rsid w:val="004C6309"/>
    <w:rsid w:val="004C7252"/>
    <w:rsid w:val="004C77D0"/>
    <w:rsid w:val="004C7FB4"/>
    <w:rsid w:val="004D0941"/>
    <w:rsid w:val="004D0FAA"/>
    <w:rsid w:val="004D1039"/>
    <w:rsid w:val="004D24B7"/>
    <w:rsid w:val="004D280C"/>
    <w:rsid w:val="004D3C28"/>
    <w:rsid w:val="004D3EBE"/>
    <w:rsid w:val="004D4664"/>
    <w:rsid w:val="004D56E7"/>
    <w:rsid w:val="004D5983"/>
    <w:rsid w:val="004D6C84"/>
    <w:rsid w:val="004D6E51"/>
    <w:rsid w:val="004E1611"/>
    <w:rsid w:val="004E2334"/>
    <w:rsid w:val="004E27AB"/>
    <w:rsid w:val="004E2A45"/>
    <w:rsid w:val="004E3FD7"/>
    <w:rsid w:val="004E40EC"/>
    <w:rsid w:val="004E5325"/>
    <w:rsid w:val="004E5BA5"/>
    <w:rsid w:val="004E70B6"/>
    <w:rsid w:val="004E73FD"/>
    <w:rsid w:val="004E7414"/>
    <w:rsid w:val="004F01AD"/>
    <w:rsid w:val="004F1249"/>
    <w:rsid w:val="004F1C6D"/>
    <w:rsid w:val="004F24BA"/>
    <w:rsid w:val="004F24BC"/>
    <w:rsid w:val="004F2787"/>
    <w:rsid w:val="004F2E43"/>
    <w:rsid w:val="004F3A7B"/>
    <w:rsid w:val="004F3E90"/>
    <w:rsid w:val="004F43BD"/>
    <w:rsid w:val="004F498D"/>
    <w:rsid w:val="004F5127"/>
    <w:rsid w:val="004F5F44"/>
    <w:rsid w:val="004F61B3"/>
    <w:rsid w:val="004F75EB"/>
    <w:rsid w:val="004F76A2"/>
    <w:rsid w:val="0050083A"/>
    <w:rsid w:val="00500A9E"/>
    <w:rsid w:val="00500E01"/>
    <w:rsid w:val="00501C85"/>
    <w:rsid w:val="00502424"/>
    <w:rsid w:val="0050351E"/>
    <w:rsid w:val="005038C9"/>
    <w:rsid w:val="005043BA"/>
    <w:rsid w:val="005046AB"/>
    <w:rsid w:val="00505499"/>
    <w:rsid w:val="00506234"/>
    <w:rsid w:val="00506491"/>
    <w:rsid w:val="00506AA4"/>
    <w:rsid w:val="00506AFE"/>
    <w:rsid w:val="00507091"/>
    <w:rsid w:val="005076F7"/>
    <w:rsid w:val="00507B2D"/>
    <w:rsid w:val="00507C0C"/>
    <w:rsid w:val="0051000F"/>
    <w:rsid w:val="005109EC"/>
    <w:rsid w:val="0051138C"/>
    <w:rsid w:val="00511C8F"/>
    <w:rsid w:val="00511F84"/>
    <w:rsid w:val="005125A3"/>
    <w:rsid w:val="00512E05"/>
    <w:rsid w:val="00513A8B"/>
    <w:rsid w:val="005144A4"/>
    <w:rsid w:val="00514CDD"/>
    <w:rsid w:val="00514D2E"/>
    <w:rsid w:val="00515086"/>
    <w:rsid w:val="00515884"/>
    <w:rsid w:val="00515C1D"/>
    <w:rsid w:val="00516E6E"/>
    <w:rsid w:val="005219BF"/>
    <w:rsid w:val="00522094"/>
    <w:rsid w:val="00522505"/>
    <w:rsid w:val="00522E5A"/>
    <w:rsid w:val="00523845"/>
    <w:rsid w:val="00524959"/>
    <w:rsid w:val="00525227"/>
    <w:rsid w:val="0052657F"/>
    <w:rsid w:val="00526942"/>
    <w:rsid w:val="00526ED3"/>
    <w:rsid w:val="00527074"/>
    <w:rsid w:val="005315E9"/>
    <w:rsid w:val="005316AB"/>
    <w:rsid w:val="00531EAE"/>
    <w:rsid w:val="005322E6"/>
    <w:rsid w:val="00532561"/>
    <w:rsid w:val="00533CA2"/>
    <w:rsid w:val="005352D2"/>
    <w:rsid w:val="005353AC"/>
    <w:rsid w:val="005354E5"/>
    <w:rsid w:val="00535E15"/>
    <w:rsid w:val="00535EE0"/>
    <w:rsid w:val="005362A0"/>
    <w:rsid w:val="00536626"/>
    <w:rsid w:val="00536894"/>
    <w:rsid w:val="00536EC1"/>
    <w:rsid w:val="00540196"/>
    <w:rsid w:val="00540C46"/>
    <w:rsid w:val="0054186F"/>
    <w:rsid w:val="005420DD"/>
    <w:rsid w:val="0054232D"/>
    <w:rsid w:val="0054402E"/>
    <w:rsid w:val="00545669"/>
    <w:rsid w:val="00545E5E"/>
    <w:rsid w:val="0054613E"/>
    <w:rsid w:val="0055138A"/>
    <w:rsid w:val="005516D6"/>
    <w:rsid w:val="0055296F"/>
    <w:rsid w:val="00552C75"/>
    <w:rsid w:val="00552E1F"/>
    <w:rsid w:val="00552FF9"/>
    <w:rsid w:val="00553A49"/>
    <w:rsid w:val="00553DB4"/>
    <w:rsid w:val="00554B22"/>
    <w:rsid w:val="00554F0C"/>
    <w:rsid w:val="00555783"/>
    <w:rsid w:val="00555C16"/>
    <w:rsid w:val="0055607E"/>
    <w:rsid w:val="005562EB"/>
    <w:rsid w:val="00556DBD"/>
    <w:rsid w:val="00556FC7"/>
    <w:rsid w:val="00557909"/>
    <w:rsid w:val="005579D8"/>
    <w:rsid w:val="005600AA"/>
    <w:rsid w:val="00561427"/>
    <w:rsid w:val="0056169F"/>
    <w:rsid w:val="00562958"/>
    <w:rsid w:val="00562F2F"/>
    <w:rsid w:val="005638C2"/>
    <w:rsid w:val="00564584"/>
    <w:rsid w:val="0056458C"/>
    <w:rsid w:val="0056459F"/>
    <w:rsid w:val="005647FC"/>
    <w:rsid w:val="00564F10"/>
    <w:rsid w:val="00567DF0"/>
    <w:rsid w:val="00570415"/>
    <w:rsid w:val="00570F23"/>
    <w:rsid w:val="005711D7"/>
    <w:rsid w:val="00571D84"/>
    <w:rsid w:val="00572715"/>
    <w:rsid w:val="00572A43"/>
    <w:rsid w:val="005730CA"/>
    <w:rsid w:val="005756A2"/>
    <w:rsid w:val="005762D0"/>
    <w:rsid w:val="0057630A"/>
    <w:rsid w:val="005773AE"/>
    <w:rsid w:val="00577A3A"/>
    <w:rsid w:val="005801C9"/>
    <w:rsid w:val="005801E9"/>
    <w:rsid w:val="005806F7"/>
    <w:rsid w:val="00580DC9"/>
    <w:rsid w:val="00580EC9"/>
    <w:rsid w:val="005814C1"/>
    <w:rsid w:val="00581745"/>
    <w:rsid w:val="005820C3"/>
    <w:rsid w:val="00583419"/>
    <w:rsid w:val="00583686"/>
    <w:rsid w:val="00583FE4"/>
    <w:rsid w:val="00584435"/>
    <w:rsid w:val="0059102D"/>
    <w:rsid w:val="00591462"/>
    <w:rsid w:val="00591494"/>
    <w:rsid w:val="005929BB"/>
    <w:rsid w:val="00592ACB"/>
    <w:rsid w:val="00594DD3"/>
    <w:rsid w:val="00594E78"/>
    <w:rsid w:val="0059545A"/>
    <w:rsid w:val="00595A89"/>
    <w:rsid w:val="00595E33"/>
    <w:rsid w:val="00597B77"/>
    <w:rsid w:val="00597D79"/>
    <w:rsid w:val="00597F44"/>
    <w:rsid w:val="005A0130"/>
    <w:rsid w:val="005A0BEF"/>
    <w:rsid w:val="005A1570"/>
    <w:rsid w:val="005A1732"/>
    <w:rsid w:val="005A21BE"/>
    <w:rsid w:val="005A2F2E"/>
    <w:rsid w:val="005A3114"/>
    <w:rsid w:val="005A381C"/>
    <w:rsid w:val="005A3976"/>
    <w:rsid w:val="005A3F0E"/>
    <w:rsid w:val="005A48F2"/>
    <w:rsid w:val="005A5753"/>
    <w:rsid w:val="005A5A87"/>
    <w:rsid w:val="005A6468"/>
    <w:rsid w:val="005A663A"/>
    <w:rsid w:val="005A70B3"/>
    <w:rsid w:val="005B07CD"/>
    <w:rsid w:val="005B1475"/>
    <w:rsid w:val="005B1504"/>
    <w:rsid w:val="005B1A8D"/>
    <w:rsid w:val="005B1FF6"/>
    <w:rsid w:val="005B35B6"/>
    <w:rsid w:val="005B3FBC"/>
    <w:rsid w:val="005B46E0"/>
    <w:rsid w:val="005B5FAF"/>
    <w:rsid w:val="005B6BBD"/>
    <w:rsid w:val="005B7891"/>
    <w:rsid w:val="005C0E25"/>
    <w:rsid w:val="005C0FB1"/>
    <w:rsid w:val="005C10DB"/>
    <w:rsid w:val="005C1FA6"/>
    <w:rsid w:val="005C22A2"/>
    <w:rsid w:val="005C2D3A"/>
    <w:rsid w:val="005C3B45"/>
    <w:rsid w:val="005C3E61"/>
    <w:rsid w:val="005C4195"/>
    <w:rsid w:val="005C4A00"/>
    <w:rsid w:val="005C4D56"/>
    <w:rsid w:val="005C4EC4"/>
    <w:rsid w:val="005C5978"/>
    <w:rsid w:val="005C609C"/>
    <w:rsid w:val="005C62F5"/>
    <w:rsid w:val="005C689F"/>
    <w:rsid w:val="005D01A8"/>
    <w:rsid w:val="005D0280"/>
    <w:rsid w:val="005D18E6"/>
    <w:rsid w:val="005D36B4"/>
    <w:rsid w:val="005D3B64"/>
    <w:rsid w:val="005D4CA8"/>
    <w:rsid w:val="005D4CBA"/>
    <w:rsid w:val="005D504B"/>
    <w:rsid w:val="005D7520"/>
    <w:rsid w:val="005D7A03"/>
    <w:rsid w:val="005E064F"/>
    <w:rsid w:val="005E08C4"/>
    <w:rsid w:val="005E0BCE"/>
    <w:rsid w:val="005E101A"/>
    <w:rsid w:val="005E20E9"/>
    <w:rsid w:val="005E3035"/>
    <w:rsid w:val="005E34BB"/>
    <w:rsid w:val="005E3C61"/>
    <w:rsid w:val="005E4A34"/>
    <w:rsid w:val="005E5121"/>
    <w:rsid w:val="005E5321"/>
    <w:rsid w:val="005E6BBD"/>
    <w:rsid w:val="005E6F13"/>
    <w:rsid w:val="005E728E"/>
    <w:rsid w:val="005E7298"/>
    <w:rsid w:val="005F02CB"/>
    <w:rsid w:val="005F0652"/>
    <w:rsid w:val="005F1241"/>
    <w:rsid w:val="005F1B55"/>
    <w:rsid w:val="005F21EB"/>
    <w:rsid w:val="005F22A9"/>
    <w:rsid w:val="005F297D"/>
    <w:rsid w:val="005F3198"/>
    <w:rsid w:val="005F3FC2"/>
    <w:rsid w:val="005F4101"/>
    <w:rsid w:val="005F4C3F"/>
    <w:rsid w:val="005F696D"/>
    <w:rsid w:val="00601B18"/>
    <w:rsid w:val="006024D4"/>
    <w:rsid w:val="00602633"/>
    <w:rsid w:val="00602F3F"/>
    <w:rsid w:val="006039B2"/>
    <w:rsid w:val="00604396"/>
    <w:rsid w:val="00604F23"/>
    <w:rsid w:val="00604F71"/>
    <w:rsid w:val="00606592"/>
    <w:rsid w:val="006067A8"/>
    <w:rsid w:val="00606ACF"/>
    <w:rsid w:val="0061253A"/>
    <w:rsid w:val="00613D21"/>
    <w:rsid w:val="00614526"/>
    <w:rsid w:val="00614FB5"/>
    <w:rsid w:val="00616A50"/>
    <w:rsid w:val="00616AF8"/>
    <w:rsid w:val="00617C35"/>
    <w:rsid w:val="006204E0"/>
    <w:rsid w:val="00620846"/>
    <w:rsid w:val="0062094C"/>
    <w:rsid w:val="006211EA"/>
    <w:rsid w:val="00621284"/>
    <w:rsid w:val="00621739"/>
    <w:rsid w:val="006227D1"/>
    <w:rsid w:val="006236A9"/>
    <w:rsid w:val="00623D76"/>
    <w:rsid w:val="00624E02"/>
    <w:rsid w:val="00624FDD"/>
    <w:rsid w:val="00626673"/>
    <w:rsid w:val="00627190"/>
    <w:rsid w:val="006278CE"/>
    <w:rsid w:val="006278D6"/>
    <w:rsid w:val="006300E0"/>
    <w:rsid w:val="0063024A"/>
    <w:rsid w:val="00630648"/>
    <w:rsid w:val="00631C2E"/>
    <w:rsid w:val="00631C87"/>
    <w:rsid w:val="0063325B"/>
    <w:rsid w:val="00633482"/>
    <w:rsid w:val="00633548"/>
    <w:rsid w:val="00634665"/>
    <w:rsid w:val="00637223"/>
    <w:rsid w:val="006372CE"/>
    <w:rsid w:val="0063756E"/>
    <w:rsid w:val="00637B83"/>
    <w:rsid w:val="00637C55"/>
    <w:rsid w:val="00640B24"/>
    <w:rsid w:val="006421D1"/>
    <w:rsid w:val="006436A0"/>
    <w:rsid w:val="0064389B"/>
    <w:rsid w:val="006449E9"/>
    <w:rsid w:val="00644D06"/>
    <w:rsid w:val="00644ED3"/>
    <w:rsid w:val="00645294"/>
    <w:rsid w:val="00645CF7"/>
    <w:rsid w:val="00647076"/>
    <w:rsid w:val="0064770F"/>
    <w:rsid w:val="00651194"/>
    <w:rsid w:val="0065293D"/>
    <w:rsid w:val="00652DF0"/>
    <w:rsid w:val="006537E0"/>
    <w:rsid w:val="00653A46"/>
    <w:rsid w:val="00653C69"/>
    <w:rsid w:val="00653CC9"/>
    <w:rsid w:val="0065402E"/>
    <w:rsid w:val="006540B5"/>
    <w:rsid w:val="00654AF8"/>
    <w:rsid w:val="0065691A"/>
    <w:rsid w:val="00657F82"/>
    <w:rsid w:val="00661684"/>
    <w:rsid w:val="0066170C"/>
    <w:rsid w:val="00662995"/>
    <w:rsid w:val="006630DB"/>
    <w:rsid w:val="006630F5"/>
    <w:rsid w:val="00663418"/>
    <w:rsid w:val="00663ED6"/>
    <w:rsid w:val="006646DC"/>
    <w:rsid w:val="006649BF"/>
    <w:rsid w:val="00666317"/>
    <w:rsid w:val="006668BB"/>
    <w:rsid w:val="00667A98"/>
    <w:rsid w:val="0067073F"/>
    <w:rsid w:val="00672F07"/>
    <w:rsid w:val="00673341"/>
    <w:rsid w:val="00674547"/>
    <w:rsid w:val="006745F1"/>
    <w:rsid w:val="00677074"/>
    <w:rsid w:val="00680A4C"/>
    <w:rsid w:val="00681E90"/>
    <w:rsid w:val="0068209F"/>
    <w:rsid w:val="00683526"/>
    <w:rsid w:val="00683A52"/>
    <w:rsid w:val="00684E61"/>
    <w:rsid w:val="0068525F"/>
    <w:rsid w:val="006852AD"/>
    <w:rsid w:val="00686519"/>
    <w:rsid w:val="00687880"/>
    <w:rsid w:val="00687C4F"/>
    <w:rsid w:val="0069030F"/>
    <w:rsid w:val="0069032A"/>
    <w:rsid w:val="00690440"/>
    <w:rsid w:val="00690D22"/>
    <w:rsid w:val="00691067"/>
    <w:rsid w:val="006927A9"/>
    <w:rsid w:val="00693687"/>
    <w:rsid w:val="0069424D"/>
    <w:rsid w:val="0069496A"/>
    <w:rsid w:val="00694C48"/>
    <w:rsid w:val="0069610F"/>
    <w:rsid w:val="00696E25"/>
    <w:rsid w:val="0069755A"/>
    <w:rsid w:val="00697762"/>
    <w:rsid w:val="00697B9D"/>
    <w:rsid w:val="00697E8F"/>
    <w:rsid w:val="006A0107"/>
    <w:rsid w:val="006A0AA1"/>
    <w:rsid w:val="006A0B05"/>
    <w:rsid w:val="006A1F07"/>
    <w:rsid w:val="006A26D8"/>
    <w:rsid w:val="006A2DC5"/>
    <w:rsid w:val="006A2FBE"/>
    <w:rsid w:val="006A3A3A"/>
    <w:rsid w:val="006A51CD"/>
    <w:rsid w:val="006A5456"/>
    <w:rsid w:val="006A5702"/>
    <w:rsid w:val="006A5798"/>
    <w:rsid w:val="006A5A05"/>
    <w:rsid w:val="006A5D02"/>
    <w:rsid w:val="006A62C6"/>
    <w:rsid w:val="006A639E"/>
    <w:rsid w:val="006A65BE"/>
    <w:rsid w:val="006A6E06"/>
    <w:rsid w:val="006A735B"/>
    <w:rsid w:val="006A7809"/>
    <w:rsid w:val="006A7AEC"/>
    <w:rsid w:val="006A7C4E"/>
    <w:rsid w:val="006B129D"/>
    <w:rsid w:val="006B1713"/>
    <w:rsid w:val="006B2DA6"/>
    <w:rsid w:val="006B422B"/>
    <w:rsid w:val="006B4574"/>
    <w:rsid w:val="006B5736"/>
    <w:rsid w:val="006B6223"/>
    <w:rsid w:val="006B6604"/>
    <w:rsid w:val="006B6F3C"/>
    <w:rsid w:val="006C20D3"/>
    <w:rsid w:val="006C2153"/>
    <w:rsid w:val="006C23BF"/>
    <w:rsid w:val="006C28E6"/>
    <w:rsid w:val="006C2ECE"/>
    <w:rsid w:val="006C46E2"/>
    <w:rsid w:val="006C519A"/>
    <w:rsid w:val="006C5E83"/>
    <w:rsid w:val="006C5FC1"/>
    <w:rsid w:val="006C7394"/>
    <w:rsid w:val="006C7570"/>
    <w:rsid w:val="006D147D"/>
    <w:rsid w:val="006D1A2B"/>
    <w:rsid w:val="006D25F5"/>
    <w:rsid w:val="006D2E01"/>
    <w:rsid w:val="006D2E79"/>
    <w:rsid w:val="006D35A3"/>
    <w:rsid w:val="006D4012"/>
    <w:rsid w:val="006D4DB0"/>
    <w:rsid w:val="006D504F"/>
    <w:rsid w:val="006D580C"/>
    <w:rsid w:val="006D6304"/>
    <w:rsid w:val="006D6C7B"/>
    <w:rsid w:val="006D6DA8"/>
    <w:rsid w:val="006D788B"/>
    <w:rsid w:val="006D7DD9"/>
    <w:rsid w:val="006D7F05"/>
    <w:rsid w:val="006E068E"/>
    <w:rsid w:val="006E155E"/>
    <w:rsid w:val="006E18ED"/>
    <w:rsid w:val="006E1CCD"/>
    <w:rsid w:val="006E1E5D"/>
    <w:rsid w:val="006E2F81"/>
    <w:rsid w:val="006E44E0"/>
    <w:rsid w:val="006E4B28"/>
    <w:rsid w:val="006E5102"/>
    <w:rsid w:val="006E5E86"/>
    <w:rsid w:val="006E66AF"/>
    <w:rsid w:val="006E6A85"/>
    <w:rsid w:val="006E7BA0"/>
    <w:rsid w:val="006F1199"/>
    <w:rsid w:val="006F294E"/>
    <w:rsid w:val="006F3028"/>
    <w:rsid w:val="006F4417"/>
    <w:rsid w:val="006F4941"/>
    <w:rsid w:val="006F5458"/>
    <w:rsid w:val="006F5DAD"/>
    <w:rsid w:val="006F606E"/>
    <w:rsid w:val="006F6072"/>
    <w:rsid w:val="006F6DEB"/>
    <w:rsid w:val="00700785"/>
    <w:rsid w:val="00700881"/>
    <w:rsid w:val="00701BD8"/>
    <w:rsid w:val="0070231A"/>
    <w:rsid w:val="0070308F"/>
    <w:rsid w:val="007030D5"/>
    <w:rsid w:val="007038B3"/>
    <w:rsid w:val="00703B70"/>
    <w:rsid w:val="007051C9"/>
    <w:rsid w:val="0070539E"/>
    <w:rsid w:val="00705613"/>
    <w:rsid w:val="00705931"/>
    <w:rsid w:val="00705978"/>
    <w:rsid w:val="0070655F"/>
    <w:rsid w:val="00706598"/>
    <w:rsid w:val="00707136"/>
    <w:rsid w:val="00707171"/>
    <w:rsid w:val="007072D5"/>
    <w:rsid w:val="00707C43"/>
    <w:rsid w:val="0071032A"/>
    <w:rsid w:val="00710A99"/>
    <w:rsid w:val="00711406"/>
    <w:rsid w:val="00712ABA"/>
    <w:rsid w:val="00712B87"/>
    <w:rsid w:val="00712CF4"/>
    <w:rsid w:val="00712CFE"/>
    <w:rsid w:val="00712E35"/>
    <w:rsid w:val="00713DB1"/>
    <w:rsid w:val="007146C2"/>
    <w:rsid w:val="0071515A"/>
    <w:rsid w:val="00715C62"/>
    <w:rsid w:val="0071696F"/>
    <w:rsid w:val="00716A23"/>
    <w:rsid w:val="00716D40"/>
    <w:rsid w:val="007205C2"/>
    <w:rsid w:val="0072134B"/>
    <w:rsid w:val="00722351"/>
    <w:rsid w:val="00722ADD"/>
    <w:rsid w:val="00725DCB"/>
    <w:rsid w:val="00726DF4"/>
    <w:rsid w:val="00727393"/>
    <w:rsid w:val="00730FEB"/>
    <w:rsid w:val="0073144B"/>
    <w:rsid w:val="00731B6F"/>
    <w:rsid w:val="007321B4"/>
    <w:rsid w:val="00732521"/>
    <w:rsid w:val="00732834"/>
    <w:rsid w:val="00732EBF"/>
    <w:rsid w:val="0073422F"/>
    <w:rsid w:val="00734742"/>
    <w:rsid w:val="00734C6E"/>
    <w:rsid w:val="00735675"/>
    <w:rsid w:val="00735A16"/>
    <w:rsid w:val="00735EA5"/>
    <w:rsid w:val="0073602A"/>
    <w:rsid w:val="00736F34"/>
    <w:rsid w:val="00740151"/>
    <w:rsid w:val="007405B1"/>
    <w:rsid w:val="00741804"/>
    <w:rsid w:val="00741F77"/>
    <w:rsid w:val="00744352"/>
    <w:rsid w:val="0074480A"/>
    <w:rsid w:val="00744CB0"/>
    <w:rsid w:val="00744D9F"/>
    <w:rsid w:val="00745BFB"/>
    <w:rsid w:val="00745F32"/>
    <w:rsid w:val="00746B3E"/>
    <w:rsid w:val="007520DF"/>
    <w:rsid w:val="00752521"/>
    <w:rsid w:val="00754722"/>
    <w:rsid w:val="007550A1"/>
    <w:rsid w:val="00755555"/>
    <w:rsid w:val="007559E1"/>
    <w:rsid w:val="00756023"/>
    <w:rsid w:val="0075670F"/>
    <w:rsid w:val="00756D3B"/>
    <w:rsid w:val="00756E3D"/>
    <w:rsid w:val="007570BB"/>
    <w:rsid w:val="00761D92"/>
    <w:rsid w:val="00762637"/>
    <w:rsid w:val="00762A87"/>
    <w:rsid w:val="00762C28"/>
    <w:rsid w:val="00763225"/>
    <w:rsid w:val="00763599"/>
    <w:rsid w:val="0076452A"/>
    <w:rsid w:val="007645CE"/>
    <w:rsid w:val="007657C9"/>
    <w:rsid w:val="007667F2"/>
    <w:rsid w:val="00767BB6"/>
    <w:rsid w:val="00767D2A"/>
    <w:rsid w:val="007712E7"/>
    <w:rsid w:val="0077177E"/>
    <w:rsid w:val="00771BAD"/>
    <w:rsid w:val="00771CC5"/>
    <w:rsid w:val="00771F4E"/>
    <w:rsid w:val="0077298F"/>
    <w:rsid w:val="007735B6"/>
    <w:rsid w:val="00773D0A"/>
    <w:rsid w:val="007743E7"/>
    <w:rsid w:val="00774C69"/>
    <w:rsid w:val="007755B3"/>
    <w:rsid w:val="00775795"/>
    <w:rsid w:val="007760D8"/>
    <w:rsid w:val="00776936"/>
    <w:rsid w:val="0077693D"/>
    <w:rsid w:val="0077763F"/>
    <w:rsid w:val="00777A08"/>
    <w:rsid w:val="00780559"/>
    <w:rsid w:val="00780EAC"/>
    <w:rsid w:val="0078123B"/>
    <w:rsid w:val="0078183E"/>
    <w:rsid w:val="00781D26"/>
    <w:rsid w:val="00782B1B"/>
    <w:rsid w:val="00782F86"/>
    <w:rsid w:val="007849C9"/>
    <w:rsid w:val="00784CB3"/>
    <w:rsid w:val="00785857"/>
    <w:rsid w:val="00785BE7"/>
    <w:rsid w:val="00786A32"/>
    <w:rsid w:val="00786B19"/>
    <w:rsid w:val="00786F3C"/>
    <w:rsid w:val="0078779A"/>
    <w:rsid w:val="0078797A"/>
    <w:rsid w:val="00787A1D"/>
    <w:rsid w:val="00787CB9"/>
    <w:rsid w:val="00787D19"/>
    <w:rsid w:val="007910AF"/>
    <w:rsid w:val="00791248"/>
    <w:rsid w:val="00791540"/>
    <w:rsid w:val="00791770"/>
    <w:rsid w:val="00791B0D"/>
    <w:rsid w:val="0079219B"/>
    <w:rsid w:val="00792A0A"/>
    <w:rsid w:val="00793476"/>
    <w:rsid w:val="00793603"/>
    <w:rsid w:val="00795D79"/>
    <w:rsid w:val="00796846"/>
    <w:rsid w:val="00796883"/>
    <w:rsid w:val="00797092"/>
    <w:rsid w:val="00797246"/>
    <w:rsid w:val="00797767"/>
    <w:rsid w:val="00797802"/>
    <w:rsid w:val="00797FE2"/>
    <w:rsid w:val="007A1F71"/>
    <w:rsid w:val="007A3466"/>
    <w:rsid w:val="007A3491"/>
    <w:rsid w:val="007A3AC9"/>
    <w:rsid w:val="007A6784"/>
    <w:rsid w:val="007A69C0"/>
    <w:rsid w:val="007A71B5"/>
    <w:rsid w:val="007A7BCA"/>
    <w:rsid w:val="007B1999"/>
    <w:rsid w:val="007B1C53"/>
    <w:rsid w:val="007B202B"/>
    <w:rsid w:val="007B269D"/>
    <w:rsid w:val="007B2E21"/>
    <w:rsid w:val="007B32A3"/>
    <w:rsid w:val="007B4550"/>
    <w:rsid w:val="007B4C70"/>
    <w:rsid w:val="007B4E93"/>
    <w:rsid w:val="007B4EE0"/>
    <w:rsid w:val="007B523C"/>
    <w:rsid w:val="007B5406"/>
    <w:rsid w:val="007B655B"/>
    <w:rsid w:val="007B6920"/>
    <w:rsid w:val="007B6BF1"/>
    <w:rsid w:val="007B7DA3"/>
    <w:rsid w:val="007C08B1"/>
    <w:rsid w:val="007C24F8"/>
    <w:rsid w:val="007C2C7C"/>
    <w:rsid w:val="007C35FA"/>
    <w:rsid w:val="007C49F1"/>
    <w:rsid w:val="007C58D7"/>
    <w:rsid w:val="007C5AD4"/>
    <w:rsid w:val="007C7635"/>
    <w:rsid w:val="007C79EE"/>
    <w:rsid w:val="007C7E99"/>
    <w:rsid w:val="007D086A"/>
    <w:rsid w:val="007D0C46"/>
    <w:rsid w:val="007D2128"/>
    <w:rsid w:val="007D256D"/>
    <w:rsid w:val="007D3923"/>
    <w:rsid w:val="007D4754"/>
    <w:rsid w:val="007D4764"/>
    <w:rsid w:val="007D4AEF"/>
    <w:rsid w:val="007D586E"/>
    <w:rsid w:val="007D6A92"/>
    <w:rsid w:val="007E0C68"/>
    <w:rsid w:val="007E0CB7"/>
    <w:rsid w:val="007E0F3D"/>
    <w:rsid w:val="007E1571"/>
    <w:rsid w:val="007E19C2"/>
    <w:rsid w:val="007E27DC"/>
    <w:rsid w:val="007E35DE"/>
    <w:rsid w:val="007E37F8"/>
    <w:rsid w:val="007E5EA8"/>
    <w:rsid w:val="007E61F6"/>
    <w:rsid w:val="007E69CA"/>
    <w:rsid w:val="007E69E1"/>
    <w:rsid w:val="007E6A9D"/>
    <w:rsid w:val="007E6EC4"/>
    <w:rsid w:val="007E7594"/>
    <w:rsid w:val="007E786B"/>
    <w:rsid w:val="007E7FCF"/>
    <w:rsid w:val="007F0DC6"/>
    <w:rsid w:val="007F1BC5"/>
    <w:rsid w:val="007F23BC"/>
    <w:rsid w:val="007F312C"/>
    <w:rsid w:val="007F320D"/>
    <w:rsid w:val="007F5158"/>
    <w:rsid w:val="007F58C9"/>
    <w:rsid w:val="007F5EDE"/>
    <w:rsid w:val="007F6069"/>
    <w:rsid w:val="007F6458"/>
    <w:rsid w:val="007F7246"/>
    <w:rsid w:val="007F7A05"/>
    <w:rsid w:val="00801714"/>
    <w:rsid w:val="00801923"/>
    <w:rsid w:val="00801F5C"/>
    <w:rsid w:val="00802B5E"/>
    <w:rsid w:val="00802BFD"/>
    <w:rsid w:val="008043AC"/>
    <w:rsid w:val="00804C88"/>
    <w:rsid w:val="0080507D"/>
    <w:rsid w:val="0080642C"/>
    <w:rsid w:val="00807364"/>
    <w:rsid w:val="00807776"/>
    <w:rsid w:val="00807A84"/>
    <w:rsid w:val="00807BDE"/>
    <w:rsid w:val="008114F3"/>
    <w:rsid w:val="0081168E"/>
    <w:rsid w:val="008118C7"/>
    <w:rsid w:val="008121A7"/>
    <w:rsid w:val="00812A17"/>
    <w:rsid w:val="00813518"/>
    <w:rsid w:val="0081365F"/>
    <w:rsid w:val="00813E14"/>
    <w:rsid w:val="008141FE"/>
    <w:rsid w:val="008144DA"/>
    <w:rsid w:val="008157EE"/>
    <w:rsid w:val="008162EE"/>
    <w:rsid w:val="00820717"/>
    <w:rsid w:val="00820A38"/>
    <w:rsid w:val="00822588"/>
    <w:rsid w:val="00822846"/>
    <w:rsid w:val="00823267"/>
    <w:rsid w:val="00823AEE"/>
    <w:rsid w:val="00824D78"/>
    <w:rsid w:val="00824DD1"/>
    <w:rsid w:val="00826C46"/>
    <w:rsid w:val="00827F02"/>
    <w:rsid w:val="00830AAE"/>
    <w:rsid w:val="00830E15"/>
    <w:rsid w:val="008314F5"/>
    <w:rsid w:val="00831A13"/>
    <w:rsid w:val="008324F4"/>
    <w:rsid w:val="008325FB"/>
    <w:rsid w:val="00832B6B"/>
    <w:rsid w:val="00832BA1"/>
    <w:rsid w:val="00833780"/>
    <w:rsid w:val="00833F5D"/>
    <w:rsid w:val="00834DB4"/>
    <w:rsid w:val="00835260"/>
    <w:rsid w:val="008356AA"/>
    <w:rsid w:val="00835700"/>
    <w:rsid w:val="008366A1"/>
    <w:rsid w:val="00837BBA"/>
    <w:rsid w:val="00837C38"/>
    <w:rsid w:val="0084205A"/>
    <w:rsid w:val="00842781"/>
    <w:rsid w:val="00842982"/>
    <w:rsid w:val="008436AC"/>
    <w:rsid w:val="00843F00"/>
    <w:rsid w:val="0084418D"/>
    <w:rsid w:val="008453C9"/>
    <w:rsid w:val="008455A4"/>
    <w:rsid w:val="00845855"/>
    <w:rsid w:val="0084604C"/>
    <w:rsid w:val="00846077"/>
    <w:rsid w:val="00851C9E"/>
    <w:rsid w:val="00852016"/>
    <w:rsid w:val="00852ADE"/>
    <w:rsid w:val="00853528"/>
    <w:rsid w:val="00854DD1"/>
    <w:rsid w:val="00855A94"/>
    <w:rsid w:val="00855D09"/>
    <w:rsid w:val="00857D1D"/>
    <w:rsid w:val="00860F8B"/>
    <w:rsid w:val="00861D1A"/>
    <w:rsid w:val="0086231C"/>
    <w:rsid w:val="00862E18"/>
    <w:rsid w:val="008638D0"/>
    <w:rsid w:val="00863A46"/>
    <w:rsid w:val="00863F31"/>
    <w:rsid w:val="00864179"/>
    <w:rsid w:val="00864DF1"/>
    <w:rsid w:val="008652B8"/>
    <w:rsid w:val="0086709D"/>
    <w:rsid w:val="008670AA"/>
    <w:rsid w:val="00870237"/>
    <w:rsid w:val="0087065E"/>
    <w:rsid w:val="00871158"/>
    <w:rsid w:val="0087132C"/>
    <w:rsid w:val="00871782"/>
    <w:rsid w:val="00872EAF"/>
    <w:rsid w:val="008741C1"/>
    <w:rsid w:val="00874C3A"/>
    <w:rsid w:val="00874DB7"/>
    <w:rsid w:val="0087517F"/>
    <w:rsid w:val="008767B7"/>
    <w:rsid w:val="008775D6"/>
    <w:rsid w:val="00880225"/>
    <w:rsid w:val="00880B9E"/>
    <w:rsid w:val="0088130E"/>
    <w:rsid w:val="00881E62"/>
    <w:rsid w:val="008824F2"/>
    <w:rsid w:val="008828AC"/>
    <w:rsid w:val="00882A86"/>
    <w:rsid w:val="0088394A"/>
    <w:rsid w:val="00883B88"/>
    <w:rsid w:val="0088445A"/>
    <w:rsid w:val="00885385"/>
    <w:rsid w:val="0088591B"/>
    <w:rsid w:val="00886811"/>
    <w:rsid w:val="00886D00"/>
    <w:rsid w:val="00886DA7"/>
    <w:rsid w:val="00887978"/>
    <w:rsid w:val="00887D18"/>
    <w:rsid w:val="0089063A"/>
    <w:rsid w:val="00891423"/>
    <w:rsid w:val="00891534"/>
    <w:rsid w:val="00891AC5"/>
    <w:rsid w:val="00892E43"/>
    <w:rsid w:val="0089302B"/>
    <w:rsid w:val="008938AB"/>
    <w:rsid w:val="00894F36"/>
    <w:rsid w:val="00895817"/>
    <w:rsid w:val="008964D0"/>
    <w:rsid w:val="00897618"/>
    <w:rsid w:val="008978DD"/>
    <w:rsid w:val="008A00DB"/>
    <w:rsid w:val="008A02A3"/>
    <w:rsid w:val="008A0EE9"/>
    <w:rsid w:val="008A186C"/>
    <w:rsid w:val="008A1FE1"/>
    <w:rsid w:val="008A2C54"/>
    <w:rsid w:val="008A2C97"/>
    <w:rsid w:val="008A3399"/>
    <w:rsid w:val="008A4459"/>
    <w:rsid w:val="008A56A7"/>
    <w:rsid w:val="008A5984"/>
    <w:rsid w:val="008A5B68"/>
    <w:rsid w:val="008A7BDD"/>
    <w:rsid w:val="008A7F82"/>
    <w:rsid w:val="008B0996"/>
    <w:rsid w:val="008B2113"/>
    <w:rsid w:val="008B2B33"/>
    <w:rsid w:val="008B3212"/>
    <w:rsid w:val="008B3428"/>
    <w:rsid w:val="008B359F"/>
    <w:rsid w:val="008B39A3"/>
    <w:rsid w:val="008B41C4"/>
    <w:rsid w:val="008B4361"/>
    <w:rsid w:val="008B538F"/>
    <w:rsid w:val="008B652F"/>
    <w:rsid w:val="008B7BF8"/>
    <w:rsid w:val="008C00C8"/>
    <w:rsid w:val="008C04FA"/>
    <w:rsid w:val="008C063A"/>
    <w:rsid w:val="008C1F48"/>
    <w:rsid w:val="008C4188"/>
    <w:rsid w:val="008C58FD"/>
    <w:rsid w:val="008C6128"/>
    <w:rsid w:val="008C6CB1"/>
    <w:rsid w:val="008C6EF7"/>
    <w:rsid w:val="008C6FF6"/>
    <w:rsid w:val="008C7601"/>
    <w:rsid w:val="008C7D44"/>
    <w:rsid w:val="008D07BD"/>
    <w:rsid w:val="008D2335"/>
    <w:rsid w:val="008D31AC"/>
    <w:rsid w:val="008D42C2"/>
    <w:rsid w:val="008D4328"/>
    <w:rsid w:val="008D4843"/>
    <w:rsid w:val="008D517E"/>
    <w:rsid w:val="008D5EC5"/>
    <w:rsid w:val="008D66B4"/>
    <w:rsid w:val="008D7782"/>
    <w:rsid w:val="008D7A33"/>
    <w:rsid w:val="008E0E5D"/>
    <w:rsid w:val="008E0EFE"/>
    <w:rsid w:val="008E1133"/>
    <w:rsid w:val="008E1D42"/>
    <w:rsid w:val="008E1FC6"/>
    <w:rsid w:val="008E25AF"/>
    <w:rsid w:val="008E29BB"/>
    <w:rsid w:val="008E307A"/>
    <w:rsid w:val="008E31BD"/>
    <w:rsid w:val="008E3F2F"/>
    <w:rsid w:val="008E4274"/>
    <w:rsid w:val="008E56FD"/>
    <w:rsid w:val="008E632B"/>
    <w:rsid w:val="008E64BB"/>
    <w:rsid w:val="008E67CB"/>
    <w:rsid w:val="008E6AD7"/>
    <w:rsid w:val="008E70F5"/>
    <w:rsid w:val="008F0AE4"/>
    <w:rsid w:val="008F1520"/>
    <w:rsid w:val="008F210A"/>
    <w:rsid w:val="008F2E0F"/>
    <w:rsid w:val="008F34EC"/>
    <w:rsid w:val="008F4691"/>
    <w:rsid w:val="008F567F"/>
    <w:rsid w:val="008F5DE7"/>
    <w:rsid w:val="008F6130"/>
    <w:rsid w:val="008F6B9E"/>
    <w:rsid w:val="008F7119"/>
    <w:rsid w:val="008F76AB"/>
    <w:rsid w:val="0090140E"/>
    <w:rsid w:val="00901F01"/>
    <w:rsid w:val="009025A8"/>
    <w:rsid w:val="009027FB"/>
    <w:rsid w:val="00902B24"/>
    <w:rsid w:val="00902C64"/>
    <w:rsid w:val="00902F78"/>
    <w:rsid w:val="00905478"/>
    <w:rsid w:val="009059C3"/>
    <w:rsid w:val="00905CCF"/>
    <w:rsid w:val="00906485"/>
    <w:rsid w:val="00906B64"/>
    <w:rsid w:val="00906D07"/>
    <w:rsid w:val="00906D59"/>
    <w:rsid w:val="00910120"/>
    <w:rsid w:val="0091041C"/>
    <w:rsid w:val="00910483"/>
    <w:rsid w:val="00910C31"/>
    <w:rsid w:val="00910E92"/>
    <w:rsid w:val="009127DF"/>
    <w:rsid w:val="00913246"/>
    <w:rsid w:val="009135AB"/>
    <w:rsid w:val="00913F85"/>
    <w:rsid w:val="009147F0"/>
    <w:rsid w:val="00915057"/>
    <w:rsid w:val="00916D91"/>
    <w:rsid w:val="0091709B"/>
    <w:rsid w:val="00920B14"/>
    <w:rsid w:val="009214F8"/>
    <w:rsid w:val="00921716"/>
    <w:rsid w:val="0092588C"/>
    <w:rsid w:val="00926754"/>
    <w:rsid w:val="009268F0"/>
    <w:rsid w:val="00926D0D"/>
    <w:rsid w:val="00926D6A"/>
    <w:rsid w:val="00927A7C"/>
    <w:rsid w:val="00927D7F"/>
    <w:rsid w:val="00930562"/>
    <w:rsid w:val="00930CB8"/>
    <w:rsid w:val="00930DB6"/>
    <w:rsid w:val="00931112"/>
    <w:rsid w:val="00931818"/>
    <w:rsid w:val="00931C01"/>
    <w:rsid w:val="00931CBB"/>
    <w:rsid w:val="00932851"/>
    <w:rsid w:val="00932EE0"/>
    <w:rsid w:val="009333CC"/>
    <w:rsid w:val="00934882"/>
    <w:rsid w:val="00934AA3"/>
    <w:rsid w:val="0093526C"/>
    <w:rsid w:val="00936E78"/>
    <w:rsid w:val="0093749B"/>
    <w:rsid w:val="0093766D"/>
    <w:rsid w:val="00941833"/>
    <w:rsid w:val="00941EE6"/>
    <w:rsid w:val="009422F3"/>
    <w:rsid w:val="00942BCF"/>
    <w:rsid w:val="00942C94"/>
    <w:rsid w:val="0094348E"/>
    <w:rsid w:val="00944AAC"/>
    <w:rsid w:val="0094533C"/>
    <w:rsid w:val="009458CE"/>
    <w:rsid w:val="009468F1"/>
    <w:rsid w:val="00947395"/>
    <w:rsid w:val="0094740F"/>
    <w:rsid w:val="00947D65"/>
    <w:rsid w:val="00947F0A"/>
    <w:rsid w:val="00950BA8"/>
    <w:rsid w:val="00950DD0"/>
    <w:rsid w:val="00951954"/>
    <w:rsid w:val="00951AC0"/>
    <w:rsid w:val="009524E8"/>
    <w:rsid w:val="00952B98"/>
    <w:rsid w:val="00953667"/>
    <w:rsid w:val="00954245"/>
    <w:rsid w:val="00954ABB"/>
    <w:rsid w:val="0095571F"/>
    <w:rsid w:val="00956145"/>
    <w:rsid w:val="00956585"/>
    <w:rsid w:val="0095726B"/>
    <w:rsid w:val="0095784F"/>
    <w:rsid w:val="009601F0"/>
    <w:rsid w:val="00961598"/>
    <w:rsid w:val="0096185A"/>
    <w:rsid w:val="00963768"/>
    <w:rsid w:val="00966372"/>
    <w:rsid w:val="009666B1"/>
    <w:rsid w:val="00966EDF"/>
    <w:rsid w:val="00967763"/>
    <w:rsid w:val="00967BEE"/>
    <w:rsid w:val="00971529"/>
    <w:rsid w:val="00971580"/>
    <w:rsid w:val="00971FEA"/>
    <w:rsid w:val="009736DC"/>
    <w:rsid w:val="00973F52"/>
    <w:rsid w:val="0097401C"/>
    <w:rsid w:val="009740BB"/>
    <w:rsid w:val="009745DE"/>
    <w:rsid w:val="00977E22"/>
    <w:rsid w:val="00977EE0"/>
    <w:rsid w:val="00981B33"/>
    <w:rsid w:val="00982DB5"/>
    <w:rsid w:val="009839CA"/>
    <w:rsid w:val="00984141"/>
    <w:rsid w:val="009842C1"/>
    <w:rsid w:val="00984345"/>
    <w:rsid w:val="00984EC8"/>
    <w:rsid w:val="00985079"/>
    <w:rsid w:val="0098598C"/>
    <w:rsid w:val="00985E8A"/>
    <w:rsid w:val="009866E2"/>
    <w:rsid w:val="0098694E"/>
    <w:rsid w:val="00986B03"/>
    <w:rsid w:val="00986BC0"/>
    <w:rsid w:val="00986E36"/>
    <w:rsid w:val="009878FB"/>
    <w:rsid w:val="00987AA6"/>
    <w:rsid w:val="00987F78"/>
    <w:rsid w:val="00990C51"/>
    <w:rsid w:val="00990ED7"/>
    <w:rsid w:val="0099176D"/>
    <w:rsid w:val="00991990"/>
    <w:rsid w:val="0099288B"/>
    <w:rsid w:val="00993069"/>
    <w:rsid w:val="00993957"/>
    <w:rsid w:val="00993CDB"/>
    <w:rsid w:val="009942B8"/>
    <w:rsid w:val="00994D01"/>
    <w:rsid w:val="00995157"/>
    <w:rsid w:val="00995D96"/>
    <w:rsid w:val="0099618B"/>
    <w:rsid w:val="00996292"/>
    <w:rsid w:val="009972BE"/>
    <w:rsid w:val="00997463"/>
    <w:rsid w:val="00997543"/>
    <w:rsid w:val="00997CCD"/>
    <w:rsid w:val="009A0B31"/>
    <w:rsid w:val="009A110A"/>
    <w:rsid w:val="009A155A"/>
    <w:rsid w:val="009A16C1"/>
    <w:rsid w:val="009A1A43"/>
    <w:rsid w:val="009A1DD1"/>
    <w:rsid w:val="009A2007"/>
    <w:rsid w:val="009A2970"/>
    <w:rsid w:val="009A329C"/>
    <w:rsid w:val="009A342A"/>
    <w:rsid w:val="009A3979"/>
    <w:rsid w:val="009A57D6"/>
    <w:rsid w:val="009A5A06"/>
    <w:rsid w:val="009A5DE2"/>
    <w:rsid w:val="009A63BD"/>
    <w:rsid w:val="009A657D"/>
    <w:rsid w:val="009A6B71"/>
    <w:rsid w:val="009B0192"/>
    <w:rsid w:val="009B10EA"/>
    <w:rsid w:val="009B136D"/>
    <w:rsid w:val="009B186D"/>
    <w:rsid w:val="009B2574"/>
    <w:rsid w:val="009B2754"/>
    <w:rsid w:val="009B3337"/>
    <w:rsid w:val="009B3BC6"/>
    <w:rsid w:val="009B45F6"/>
    <w:rsid w:val="009B4D69"/>
    <w:rsid w:val="009B5159"/>
    <w:rsid w:val="009B5E8C"/>
    <w:rsid w:val="009B61E8"/>
    <w:rsid w:val="009C005E"/>
    <w:rsid w:val="009C1968"/>
    <w:rsid w:val="009C244C"/>
    <w:rsid w:val="009C2D55"/>
    <w:rsid w:val="009C2DB6"/>
    <w:rsid w:val="009C3D20"/>
    <w:rsid w:val="009C53E8"/>
    <w:rsid w:val="009C5BFB"/>
    <w:rsid w:val="009C63F2"/>
    <w:rsid w:val="009C74E3"/>
    <w:rsid w:val="009C78B5"/>
    <w:rsid w:val="009C7B4F"/>
    <w:rsid w:val="009D0133"/>
    <w:rsid w:val="009D1271"/>
    <w:rsid w:val="009D309D"/>
    <w:rsid w:val="009D3C05"/>
    <w:rsid w:val="009D413D"/>
    <w:rsid w:val="009D4236"/>
    <w:rsid w:val="009D5A7D"/>
    <w:rsid w:val="009D6C25"/>
    <w:rsid w:val="009D7EF3"/>
    <w:rsid w:val="009D7F94"/>
    <w:rsid w:val="009E084C"/>
    <w:rsid w:val="009E1A31"/>
    <w:rsid w:val="009E1AF6"/>
    <w:rsid w:val="009E1CBB"/>
    <w:rsid w:val="009E261C"/>
    <w:rsid w:val="009E2791"/>
    <w:rsid w:val="009E350D"/>
    <w:rsid w:val="009E43D0"/>
    <w:rsid w:val="009E4480"/>
    <w:rsid w:val="009E4A65"/>
    <w:rsid w:val="009E4CAB"/>
    <w:rsid w:val="009E5019"/>
    <w:rsid w:val="009E5688"/>
    <w:rsid w:val="009E5765"/>
    <w:rsid w:val="009E5D92"/>
    <w:rsid w:val="009E6370"/>
    <w:rsid w:val="009E7F60"/>
    <w:rsid w:val="009F0D7F"/>
    <w:rsid w:val="009F14ED"/>
    <w:rsid w:val="009F1B6F"/>
    <w:rsid w:val="009F2DE3"/>
    <w:rsid w:val="009F40C7"/>
    <w:rsid w:val="009F42D2"/>
    <w:rsid w:val="009F4412"/>
    <w:rsid w:val="009F5553"/>
    <w:rsid w:val="009F629A"/>
    <w:rsid w:val="009F6B94"/>
    <w:rsid w:val="009F700B"/>
    <w:rsid w:val="009F7E68"/>
    <w:rsid w:val="00A008DC"/>
    <w:rsid w:val="00A0175D"/>
    <w:rsid w:val="00A030B0"/>
    <w:rsid w:val="00A03F72"/>
    <w:rsid w:val="00A060AB"/>
    <w:rsid w:val="00A060B5"/>
    <w:rsid w:val="00A06477"/>
    <w:rsid w:val="00A06C9A"/>
    <w:rsid w:val="00A075C0"/>
    <w:rsid w:val="00A07D69"/>
    <w:rsid w:val="00A07DFC"/>
    <w:rsid w:val="00A10733"/>
    <w:rsid w:val="00A1089F"/>
    <w:rsid w:val="00A10C53"/>
    <w:rsid w:val="00A115A4"/>
    <w:rsid w:val="00A11D60"/>
    <w:rsid w:val="00A11E08"/>
    <w:rsid w:val="00A12278"/>
    <w:rsid w:val="00A12376"/>
    <w:rsid w:val="00A12ED6"/>
    <w:rsid w:val="00A13B9D"/>
    <w:rsid w:val="00A14C9C"/>
    <w:rsid w:val="00A1606F"/>
    <w:rsid w:val="00A16280"/>
    <w:rsid w:val="00A17290"/>
    <w:rsid w:val="00A17645"/>
    <w:rsid w:val="00A1769C"/>
    <w:rsid w:val="00A2050E"/>
    <w:rsid w:val="00A20942"/>
    <w:rsid w:val="00A20CFA"/>
    <w:rsid w:val="00A21135"/>
    <w:rsid w:val="00A21479"/>
    <w:rsid w:val="00A21A4F"/>
    <w:rsid w:val="00A22FB6"/>
    <w:rsid w:val="00A252E3"/>
    <w:rsid w:val="00A259FA"/>
    <w:rsid w:val="00A301FA"/>
    <w:rsid w:val="00A3054C"/>
    <w:rsid w:val="00A305FA"/>
    <w:rsid w:val="00A3094F"/>
    <w:rsid w:val="00A310CB"/>
    <w:rsid w:val="00A315CC"/>
    <w:rsid w:val="00A32170"/>
    <w:rsid w:val="00A32241"/>
    <w:rsid w:val="00A322D8"/>
    <w:rsid w:val="00A32D19"/>
    <w:rsid w:val="00A33018"/>
    <w:rsid w:val="00A342BA"/>
    <w:rsid w:val="00A342E8"/>
    <w:rsid w:val="00A350B9"/>
    <w:rsid w:val="00A368C9"/>
    <w:rsid w:val="00A37ECC"/>
    <w:rsid w:val="00A40975"/>
    <w:rsid w:val="00A40A6E"/>
    <w:rsid w:val="00A419E8"/>
    <w:rsid w:val="00A4288C"/>
    <w:rsid w:val="00A442D1"/>
    <w:rsid w:val="00A450CB"/>
    <w:rsid w:val="00A45AFA"/>
    <w:rsid w:val="00A45D19"/>
    <w:rsid w:val="00A467A5"/>
    <w:rsid w:val="00A47581"/>
    <w:rsid w:val="00A476BE"/>
    <w:rsid w:val="00A47DD1"/>
    <w:rsid w:val="00A51197"/>
    <w:rsid w:val="00A52034"/>
    <w:rsid w:val="00A52F76"/>
    <w:rsid w:val="00A531A6"/>
    <w:rsid w:val="00A5352F"/>
    <w:rsid w:val="00A551B8"/>
    <w:rsid w:val="00A55485"/>
    <w:rsid w:val="00A55559"/>
    <w:rsid w:val="00A57A25"/>
    <w:rsid w:val="00A60A07"/>
    <w:rsid w:val="00A60FF2"/>
    <w:rsid w:val="00A61239"/>
    <w:rsid w:val="00A62247"/>
    <w:rsid w:val="00A639D9"/>
    <w:rsid w:val="00A63F05"/>
    <w:rsid w:val="00A63F51"/>
    <w:rsid w:val="00A64ABA"/>
    <w:rsid w:val="00A663BA"/>
    <w:rsid w:val="00A66849"/>
    <w:rsid w:val="00A66998"/>
    <w:rsid w:val="00A673AF"/>
    <w:rsid w:val="00A701F1"/>
    <w:rsid w:val="00A702B9"/>
    <w:rsid w:val="00A713C1"/>
    <w:rsid w:val="00A71813"/>
    <w:rsid w:val="00A72B47"/>
    <w:rsid w:val="00A740C1"/>
    <w:rsid w:val="00A74A5F"/>
    <w:rsid w:val="00A74CE9"/>
    <w:rsid w:val="00A74E07"/>
    <w:rsid w:val="00A76099"/>
    <w:rsid w:val="00A77159"/>
    <w:rsid w:val="00A778D9"/>
    <w:rsid w:val="00A80509"/>
    <w:rsid w:val="00A806AE"/>
    <w:rsid w:val="00A8084B"/>
    <w:rsid w:val="00A81202"/>
    <w:rsid w:val="00A82569"/>
    <w:rsid w:val="00A82750"/>
    <w:rsid w:val="00A82D65"/>
    <w:rsid w:val="00A83006"/>
    <w:rsid w:val="00A8363A"/>
    <w:rsid w:val="00A83893"/>
    <w:rsid w:val="00A83BC4"/>
    <w:rsid w:val="00A8426E"/>
    <w:rsid w:val="00A84BFC"/>
    <w:rsid w:val="00A86216"/>
    <w:rsid w:val="00A86A77"/>
    <w:rsid w:val="00A86D5D"/>
    <w:rsid w:val="00A876DA"/>
    <w:rsid w:val="00A8783B"/>
    <w:rsid w:val="00A90403"/>
    <w:rsid w:val="00A909F2"/>
    <w:rsid w:val="00A90B48"/>
    <w:rsid w:val="00A90DBE"/>
    <w:rsid w:val="00A92463"/>
    <w:rsid w:val="00A92BCB"/>
    <w:rsid w:val="00A92F19"/>
    <w:rsid w:val="00A933F8"/>
    <w:rsid w:val="00A94D68"/>
    <w:rsid w:val="00A96DF0"/>
    <w:rsid w:val="00A973EA"/>
    <w:rsid w:val="00AA0B9E"/>
    <w:rsid w:val="00AA15A1"/>
    <w:rsid w:val="00AA3BA3"/>
    <w:rsid w:val="00AA3CE2"/>
    <w:rsid w:val="00AA4187"/>
    <w:rsid w:val="00AA49DA"/>
    <w:rsid w:val="00AA4FA7"/>
    <w:rsid w:val="00AA5818"/>
    <w:rsid w:val="00AA6183"/>
    <w:rsid w:val="00AA635D"/>
    <w:rsid w:val="00AA6EAA"/>
    <w:rsid w:val="00AA7E56"/>
    <w:rsid w:val="00AB1B06"/>
    <w:rsid w:val="00AB2292"/>
    <w:rsid w:val="00AB2A7B"/>
    <w:rsid w:val="00AB2BB0"/>
    <w:rsid w:val="00AB3920"/>
    <w:rsid w:val="00AB4478"/>
    <w:rsid w:val="00AB5483"/>
    <w:rsid w:val="00AB6581"/>
    <w:rsid w:val="00AB7D26"/>
    <w:rsid w:val="00AC01CD"/>
    <w:rsid w:val="00AC0D93"/>
    <w:rsid w:val="00AC19CA"/>
    <w:rsid w:val="00AC357B"/>
    <w:rsid w:val="00AC3934"/>
    <w:rsid w:val="00AC3B9F"/>
    <w:rsid w:val="00AC3E6E"/>
    <w:rsid w:val="00AC3E80"/>
    <w:rsid w:val="00AC47E9"/>
    <w:rsid w:val="00AC51E2"/>
    <w:rsid w:val="00AC69C0"/>
    <w:rsid w:val="00AC6ACF"/>
    <w:rsid w:val="00AC7582"/>
    <w:rsid w:val="00AC7902"/>
    <w:rsid w:val="00AD0456"/>
    <w:rsid w:val="00AD17D3"/>
    <w:rsid w:val="00AD18EB"/>
    <w:rsid w:val="00AD346F"/>
    <w:rsid w:val="00AD34C3"/>
    <w:rsid w:val="00AD4973"/>
    <w:rsid w:val="00AD5635"/>
    <w:rsid w:val="00AD58E0"/>
    <w:rsid w:val="00AD63A0"/>
    <w:rsid w:val="00AD772C"/>
    <w:rsid w:val="00AD78B1"/>
    <w:rsid w:val="00AE06CC"/>
    <w:rsid w:val="00AE1C70"/>
    <w:rsid w:val="00AE2EFB"/>
    <w:rsid w:val="00AE3196"/>
    <w:rsid w:val="00AE34DB"/>
    <w:rsid w:val="00AE3AFA"/>
    <w:rsid w:val="00AE434A"/>
    <w:rsid w:val="00AE673A"/>
    <w:rsid w:val="00AE7898"/>
    <w:rsid w:val="00AE78B2"/>
    <w:rsid w:val="00AF0625"/>
    <w:rsid w:val="00AF106E"/>
    <w:rsid w:val="00AF1A5E"/>
    <w:rsid w:val="00AF1D89"/>
    <w:rsid w:val="00AF28FE"/>
    <w:rsid w:val="00AF3CF0"/>
    <w:rsid w:val="00AF3ECF"/>
    <w:rsid w:val="00AF4509"/>
    <w:rsid w:val="00AF4800"/>
    <w:rsid w:val="00AF50D7"/>
    <w:rsid w:val="00AF5128"/>
    <w:rsid w:val="00AF530A"/>
    <w:rsid w:val="00AF6849"/>
    <w:rsid w:val="00AF6899"/>
    <w:rsid w:val="00AF7306"/>
    <w:rsid w:val="00AF75A1"/>
    <w:rsid w:val="00AF76F8"/>
    <w:rsid w:val="00B00F28"/>
    <w:rsid w:val="00B01BCA"/>
    <w:rsid w:val="00B03709"/>
    <w:rsid w:val="00B03A19"/>
    <w:rsid w:val="00B04055"/>
    <w:rsid w:val="00B0486C"/>
    <w:rsid w:val="00B0562B"/>
    <w:rsid w:val="00B058E8"/>
    <w:rsid w:val="00B05EF6"/>
    <w:rsid w:val="00B065CB"/>
    <w:rsid w:val="00B06F6E"/>
    <w:rsid w:val="00B07174"/>
    <w:rsid w:val="00B07337"/>
    <w:rsid w:val="00B07372"/>
    <w:rsid w:val="00B07648"/>
    <w:rsid w:val="00B10139"/>
    <w:rsid w:val="00B10D3D"/>
    <w:rsid w:val="00B111E4"/>
    <w:rsid w:val="00B1138E"/>
    <w:rsid w:val="00B1259B"/>
    <w:rsid w:val="00B13607"/>
    <w:rsid w:val="00B136D7"/>
    <w:rsid w:val="00B1477D"/>
    <w:rsid w:val="00B15490"/>
    <w:rsid w:val="00B15601"/>
    <w:rsid w:val="00B17939"/>
    <w:rsid w:val="00B209B4"/>
    <w:rsid w:val="00B227E9"/>
    <w:rsid w:val="00B231AA"/>
    <w:rsid w:val="00B231C3"/>
    <w:rsid w:val="00B236A3"/>
    <w:rsid w:val="00B23C33"/>
    <w:rsid w:val="00B2404E"/>
    <w:rsid w:val="00B2427A"/>
    <w:rsid w:val="00B24B1E"/>
    <w:rsid w:val="00B2557E"/>
    <w:rsid w:val="00B25A11"/>
    <w:rsid w:val="00B25AAC"/>
    <w:rsid w:val="00B27CEB"/>
    <w:rsid w:val="00B304A6"/>
    <w:rsid w:val="00B3113B"/>
    <w:rsid w:val="00B31172"/>
    <w:rsid w:val="00B31250"/>
    <w:rsid w:val="00B32059"/>
    <w:rsid w:val="00B33008"/>
    <w:rsid w:val="00B33C5A"/>
    <w:rsid w:val="00B34381"/>
    <w:rsid w:val="00B3448D"/>
    <w:rsid w:val="00B35133"/>
    <w:rsid w:val="00B3577D"/>
    <w:rsid w:val="00B35B9B"/>
    <w:rsid w:val="00B35F4E"/>
    <w:rsid w:val="00B36E8B"/>
    <w:rsid w:val="00B37717"/>
    <w:rsid w:val="00B4250B"/>
    <w:rsid w:val="00B4275E"/>
    <w:rsid w:val="00B427AA"/>
    <w:rsid w:val="00B429BB"/>
    <w:rsid w:val="00B42C7B"/>
    <w:rsid w:val="00B42C83"/>
    <w:rsid w:val="00B42E9D"/>
    <w:rsid w:val="00B43BB1"/>
    <w:rsid w:val="00B43C54"/>
    <w:rsid w:val="00B45E59"/>
    <w:rsid w:val="00B46076"/>
    <w:rsid w:val="00B46761"/>
    <w:rsid w:val="00B47BF0"/>
    <w:rsid w:val="00B47D80"/>
    <w:rsid w:val="00B47DDF"/>
    <w:rsid w:val="00B47E28"/>
    <w:rsid w:val="00B47FC7"/>
    <w:rsid w:val="00B503FC"/>
    <w:rsid w:val="00B5040C"/>
    <w:rsid w:val="00B504F7"/>
    <w:rsid w:val="00B50D2A"/>
    <w:rsid w:val="00B517D0"/>
    <w:rsid w:val="00B51B9B"/>
    <w:rsid w:val="00B51F02"/>
    <w:rsid w:val="00B5249E"/>
    <w:rsid w:val="00B532FA"/>
    <w:rsid w:val="00B53989"/>
    <w:rsid w:val="00B53B77"/>
    <w:rsid w:val="00B54F65"/>
    <w:rsid w:val="00B55124"/>
    <w:rsid w:val="00B55188"/>
    <w:rsid w:val="00B56BD7"/>
    <w:rsid w:val="00B56CCE"/>
    <w:rsid w:val="00B56D23"/>
    <w:rsid w:val="00B57182"/>
    <w:rsid w:val="00B6112A"/>
    <w:rsid w:val="00B61153"/>
    <w:rsid w:val="00B61308"/>
    <w:rsid w:val="00B6216B"/>
    <w:rsid w:val="00B62320"/>
    <w:rsid w:val="00B629E0"/>
    <w:rsid w:val="00B63115"/>
    <w:rsid w:val="00B6314A"/>
    <w:rsid w:val="00B63A33"/>
    <w:rsid w:val="00B63E84"/>
    <w:rsid w:val="00B64C8C"/>
    <w:rsid w:val="00B6528B"/>
    <w:rsid w:val="00B7061A"/>
    <w:rsid w:val="00B70E8E"/>
    <w:rsid w:val="00B73456"/>
    <w:rsid w:val="00B73837"/>
    <w:rsid w:val="00B73DCC"/>
    <w:rsid w:val="00B74151"/>
    <w:rsid w:val="00B75CB4"/>
    <w:rsid w:val="00B75D6D"/>
    <w:rsid w:val="00B76FAE"/>
    <w:rsid w:val="00B77A8A"/>
    <w:rsid w:val="00B8016C"/>
    <w:rsid w:val="00B80459"/>
    <w:rsid w:val="00B81119"/>
    <w:rsid w:val="00B81B18"/>
    <w:rsid w:val="00B81D8B"/>
    <w:rsid w:val="00B827A6"/>
    <w:rsid w:val="00B82996"/>
    <w:rsid w:val="00B82D86"/>
    <w:rsid w:val="00B83611"/>
    <w:rsid w:val="00B837D4"/>
    <w:rsid w:val="00B83BCE"/>
    <w:rsid w:val="00B84606"/>
    <w:rsid w:val="00B84F2A"/>
    <w:rsid w:val="00B85917"/>
    <w:rsid w:val="00B85BE3"/>
    <w:rsid w:val="00B8624C"/>
    <w:rsid w:val="00B865A1"/>
    <w:rsid w:val="00B86C15"/>
    <w:rsid w:val="00B87895"/>
    <w:rsid w:val="00B90815"/>
    <w:rsid w:val="00B90D19"/>
    <w:rsid w:val="00B910A7"/>
    <w:rsid w:val="00B914A1"/>
    <w:rsid w:val="00B93743"/>
    <w:rsid w:val="00B948CF"/>
    <w:rsid w:val="00B94DCC"/>
    <w:rsid w:val="00B95675"/>
    <w:rsid w:val="00B96141"/>
    <w:rsid w:val="00B96152"/>
    <w:rsid w:val="00B96555"/>
    <w:rsid w:val="00B96A2B"/>
    <w:rsid w:val="00B979E1"/>
    <w:rsid w:val="00BA0346"/>
    <w:rsid w:val="00BA035B"/>
    <w:rsid w:val="00BA14CA"/>
    <w:rsid w:val="00BA1B86"/>
    <w:rsid w:val="00BA1F8C"/>
    <w:rsid w:val="00BA227A"/>
    <w:rsid w:val="00BA331F"/>
    <w:rsid w:val="00BA3C51"/>
    <w:rsid w:val="00BA4283"/>
    <w:rsid w:val="00BA6154"/>
    <w:rsid w:val="00BA70A4"/>
    <w:rsid w:val="00BB054C"/>
    <w:rsid w:val="00BB1134"/>
    <w:rsid w:val="00BB1EF8"/>
    <w:rsid w:val="00BB326B"/>
    <w:rsid w:val="00BB4136"/>
    <w:rsid w:val="00BB498A"/>
    <w:rsid w:val="00BB4A65"/>
    <w:rsid w:val="00BB5237"/>
    <w:rsid w:val="00BB5FAF"/>
    <w:rsid w:val="00BB6AF9"/>
    <w:rsid w:val="00BC0649"/>
    <w:rsid w:val="00BC084E"/>
    <w:rsid w:val="00BC0984"/>
    <w:rsid w:val="00BC0CB5"/>
    <w:rsid w:val="00BC2332"/>
    <w:rsid w:val="00BC2F88"/>
    <w:rsid w:val="00BC4668"/>
    <w:rsid w:val="00BC4800"/>
    <w:rsid w:val="00BC49BC"/>
    <w:rsid w:val="00BC4BA9"/>
    <w:rsid w:val="00BC4F63"/>
    <w:rsid w:val="00BC77AD"/>
    <w:rsid w:val="00BD0D4F"/>
    <w:rsid w:val="00BD1B34"/>
    <w:rsid w:val="00BD27DA"/>
    <w:rsid w:val="00BD28FB"/>
    <w:rsid w:val="00BD2DEE"/>
    <w:rsid w:val="00BD31D6"/>
    <w:rsid w:val="00BD3C58"/>
    <w:rsid w:val="00BD41AE"/>
    <w:rsid w:val="00BD4A1E"/>
    <w:rsid w:val="00BD55D4"/>
    <w:rsid w:val="00BD6DA9"/>
    <w:rsid w:val="00BD7C15"/>
    <w:rsid w:val="00BE004E"/>
    <w:rsid w:val="00BE053E"/>
    <w:rsid w:val="00BE055A"/>
    <w:rsid w:val="00BE0A04"/>
    <w:rsid w:val="00BE0DD5"/>
    <w:rsid w:val="00BE1C5F"/>
    <w:rsid w:val="00BE1E80"/>
    <w:rsid w:val="00BE2249"/>
    <w:rsid w:val="00BE3CE9"/>
    <w:rsid w:val="00BE463A"/>
    <w:rsid w:val="00BE47BB"/>
    <w:rsid w:val="00BE583E"/>
    <w:rsid w:val="00BE7897"/>
    <w:rsid w:val="00BE78D6"/>
    <w:rsid w:val="00BF2284"/>
    <w:rsid w:val="00BF2448"/>
    <w:rsid w:val="00BF24D0"/>
    <w:rsid w:val="00BF25E2"/>
    <w:rsid w:val="00BF2651"/>
    <w:rsid w:val="00BF2BAB"/>
    <w:rsid w:val="00BF2CD4"/>
    <w:rsid w:val="00BF377B"/>
    <w:rsid w:val="00BF38C5"/>
    <w:rsid w:val="00BF3BA4"/>
    <w:rsid w:val="00BF4583"/>
    <w:rsid w:val="00BF45BC"/>
    <w:rsid w:val="00BF5446"/>
    <w:rsid w:val="00BF5718"/>
    <w:rsid w:val="00BF5A99"/>
    <w:rsid w:val="00BF611E"/>
    <w:rsid w:val="00BF6128"/>
    <w:rsid w:val="00BF7E9C"/>
    <w:rsid w:val="00C00922"/>
    <w:rsid w:val="00C01223"/>
    <w:rsid w:val="00C014E6"/>
    <w:rsid w:val="00C017AE"/>
    <w:rsid w:val="00C0205E"/>
    <w:rsid w:val="00C02456"/>
    <w:rsid w:val="00C02711"/>
    <w:rsid w:val="00C05055"/>
    <w:rsid w:val="00C06359"/>
    <w:rsid w:val="00C0645F"/>
    <w:rsid w:val="00C065F5"/>
    <w:rsid w:val="00C06A06"/>
    <w:rsid w:val="00C073C2"/>
    <w:rsid w:val="00C074D1"/>
    <w:rsid w:val="00C07D8B"/>
    <w:rsid w:val="00C104D0"/>
    <w:rsid w:val="00C12253"/>
    <w:rsid w:val="00C129E1"/>
    <w:rsid w:val="00C13A8E"/>
    <w:rsid w:val="00C14FD1"/>
    <w:rsid w:val="00C15012"/>
    <w:rsid w:val="00C20F3A"/>
    <w:rsid w:val="00C215AF"/>
    <w:rsid w:val="00C21C79"/>
    <w:rsid w:val="00C22216"/>
    <w:rsid w:val="00C22502"/>
    <w:rsid w:val="00C22903"/>
    <w:rsid w:val="00C2366C"/>
    <w:rsid w:val="00C23A33"/>
    <w:rsid w:val="00C24033"/>
    <w:rsid w:val="00C241A7"/>
    <w:rsid w:val="00C24815"/>
    <w:rsid w:val="00C24978"/>
    <w:rsid w:val="00C24E77"/>
    <w:rsid w:val="00C25583"/>
    <w:rsid w:val="00C2639F"/>
    <w:rsid w:val="00C26A20"/>
    <w:rsid w:val="00C26BFD"/>
    <w:rsid w:val="00C275C6"/>
    <w:rsid w:val="00C2793E"/>
    <w:rsid w:val="00C27B9A"/>
    <w:rsid w:val="00C30B22"/>
    <w:rsid w:val="00C316B7"/>
    <w:rsid w:val="00C31D5E"/>
    <w:rsid w:val="00C32F33"/>
    <w:rsid w:val="00C33579"/>
    <w:rsid w:val="00C33CAB"/>
    <w:rsid w:val="00C346CF"/>
    <w:rsid w:val="00C34979"/>
    <w:rsid w:val="00C35108"/>
    <w:rsid w:val="00C360F9"/>
    <w:rsid w:val="00C36B8B"/>
    <w:rsid w:val="00C36E1F"/>
    <w:rsid w:val="00C36FB2"/>
    <w:rsid w:val="00C40DA2"/>
    <w:rsid w:val="00C4151F"/>
    <w:rsid w:val="00C4203C"/>
    <w:rsid w:val="00C424A2"/>
    <w:rsid w:val="00C42608"/>
    <w:rsid w:val="00C429F3"/>
    <w:rsid w:val="00C42D0C"/>
    <w:rsid w:val="00C42D86"/>
    <w:rsid w:val="00C42F5B"/>
    <w:rsid w:val="00C45BCE"/>
    <w:rsid w:val="00C45F2E"/>
    <w:rsid w:val="00C50FDB"/>
    <w:rsid w:val="00C5170A"/>
    <w:rsid w:val="00C5253C"/>
    <w:rsid w:val="00C54186"/>
    <w:rsid w:val="00C549CF"/>
    <w:rsid w:val="00C54A3C"/>
    <w:rsid w:val="00C563C2"/>
    <w:rsid w:val="00C56534"/>
    <w:rsid w:val="00C57264"/>
    <w:rsid w:val="00C60636"/>
    <w:rsid w:val="00C60919"/>
    <w:rsid w:val="00C61A37"/>
    <w:rsid w:val="00C61DF6"/>
    <w:rsid w:val="00C64303"/>
    <w:rsid w:val="00C646F2"/>
    <w:rsid w:val="00C647BC"/>
    <w:rsid w:val="00C650E3"/>
    <w:rsid w:val="00C655E4"/>
    <w:rsid w:val="00C67302"/>
    <w:rsid w:val="00C706F6"/>
    <w:rsid w:val="00C710A8"/>
    <w:rsid w:val="00C71C0E"/>
    <w:rsid w:val="00C72F4C"/>
    <w:rsid w:val="00C73322"/>
    <w:rsid w:val="00C73D22"/>
    <w:rsid w:val="00C7417E"/>
    <w:rsid w:val="00C74321"/>
    <w:rsid w:val="00C74490"/>
    <w:rsid w:val="00C74C17"/>
    <w:rsid w:val="00C7525C"/>
    <w:rsid w:val="00C75298"/>
    <w:rsid w:val="00C75A1C"/>
    <w:rsid w:val="00C75A5C"/>
    <w:rsid w:val="00C76922"/>
    <w:rsid w:val="00C77751"/>
    <w:rsid w:val="00C778F3"/>
    <w:rsid w:val="00C8154D"/>
    <w:rsid w:val="00C81AD3"/>
    <w:rsid w:val="00C81C92"/>
    <w:rsid w:val="00C83944"/>
    <w:rsid w:val="00C83EEE"/>
    <w:rsid w:val="00C841F9"/>
    <w:rsid w:val="00C84A52"/>
    <w:rsid w:val="00C85616"/>
    <w:rsid w:val="00C86705"/>
    <w:rsid w:val="00C86923"/>
    <w:rsid w:val="00C9035F"/>
    <w:rsid w:val="00C9038A"/>
    <w:rsid w:val="00C908C3"/>
    <w:rsid w:val="00C90B17"/>
    <w:rsid w:val="00C91496"/>
    <w:rsid w:val="00C9152B"/>
    <w:rsid w:val="00C9179C"/>
    <w:rsid w:val="00C91DF8"/>
    <w:rsid w:val="00C9277F"/>
    <w:rsid w:val="00C92CA9"/>
    <w:rsid w:val="00C92DD4"/>
    <w:rsid w:val="00C930CA"/>
    <w:rsid w:val="00C93E20"/>
    <w:rsid w:val="00C93E65"/>
    <w:rsid w:val="00C9442E"/>
    <w:rsid w:val="00C948CF"/>
    <w:rsid w:val="00C94C1C"/>
    <w:rsid w:val="00C955BA"/>
    <w:rsid w:val="00C96A41"/>
    <w:rsid w:val="00C979B8"/>
    <w:rsid w:val="00CA013C"/>
    <w:rsid w:val="00CA0ABD"/>
    <w:rsid w:val="00CA0B10"/>
    <w:rsid w:val="00CA2A94"/>
    <w:rsid w:val="00CA2CE8"/>
    <w:rsid w:val="00CA3138"/>
    <w:rsid w:val="00CA3B14"/>
    <w:rsid w:val="00CA420F"/>
    <w:rsid w:val="00CA57FC"/>
    <w:rsid w:val="00CA5F8E"/>
    <w:rsid w:val="00CA65CC"/>
    <w:rsid w:val="00CA6AEB"/>
    <w:rsid w:val="00CB01E8"/>
    <w:rsid w:val="00CB12D6"/>
    <w:rsid w:val="00CB1568"/>
    <w:rsid w:val="00CB266C"/>
    <w:rsid w:val="00CB362A"/>
    <w:rsid w:val="00CB40A2"/>
    <w:rsid w:val="00CB4712"/>
    <w:rsid w:val="00CB552B"/>
    <w:rsid w:val="00CB5A21"/>
    <w:rsid w:val="00CB5B27"/>
    <w:rsid w:val="00CB6693"/>
    <w:rsid w:val="00CB7069"/>
    <w:rsid w:val="00CC04A9"/>
    <w:rsid w:val="00CC0EDB"/>
    <w:rsid w:val="00CC1DE1"/>
    <w:rsid w:val="00CC1E74"/>
    <w:rsid w:val="00CC1E78"/>
    <w:rsid w:val="00CC22DA"/>
    <w:rsid w:val="00CC2371"/>
    <w:rsid w:val="00CC377B"/>
    <w:rsid w:val="00CC3C3B"/>
    <w:rsid w:val="00CC41E9"/>
    <w:rsid w:val="00CC426D"/>
    <w:rsid w:val="00CC47EE"/>
    <w:rsid w:val="00CC5258"/>
    <w:rsid w:val="00CC5A42"/>
    <w:rsid w:val="00CC5AE2"/>
    <w:rsid w:val="00CC60A1"/>
    <w:rsid w:val="00CC6E39"/>
    <w:rsid w:val="00CC7B8B"/>
    <w:rsid w:val="00CD1503"/>
    <w:rsid w:val="00CD24B6"/>
    <w:rsid w:val="00CD7C9C"/>
    <w:rsid w:val="00CE023D"/>
    <w:rsid w:val="00CE0B2A"/>
    <w:rsid w:val="00CE15E5"/>
    <w:rsid w:val="00CE1779"/>
    <w:rsid w:val="00CE1BAB"/>
    <w:rsid w:val="00CE1ECA"/>
    <w:rsid w:val="00CE1FFD"/>
    <w:rsid w:val="00CE288D"/>
    <w:rsid w:val="00CE3A4A"/>
    <w:rsid w:val="00CE5958"/>
    <w:rsid w:val="00CE6571"/>
    <w:rsid w:val="00CF0DB7"/>
    <w:rsid w:val="00CF0F7E"/>
    <w:rsid w:val="00CF1A0D"/>
    <w:rsid w:val="00CF1A62"/>
    <w:rsid w:val="00CF23AB"/>
    <w:rsid w:val="00CF23C7"/>
    <w:rsid w:val="00CF5F20"/>
    <w:rsid w:val="00CF727B"/>
    <w:rsid w:val="00CF799F"/>
    <w:rsid w:val="00CF7D41"/>
    <w:rsid w:val="00D00095"/>
    <w:rsid w:val="00D01BAE"/>
    <w:rsid w:val="00D022E0"/>
    <w:rsid w:val="00D02581"/>
    <w:rsid w:val="00D02FAD"/>
    <w:rsid w:val="00D04951"/>
    <w:rsid w:val="00D05948"/>
    <w:rsid w:val="00D05C4B"/>
    <w:rsid w:val="00D05D55"/>
    <w:rsid w:val="00D05DC9"/>
    <w:rsid w:val="00D06A19"/>
    <w:rsid w:val="00D07765"/>
    <w:rsid w:val="00D07B63"/>
    <w:rsid w:val="00D07FB3"/>
    <w:rsid w:val="00D1013F"/>
    <w:rsid w:val="00D10497"/>
    <w:rsid w:val="00D11433"/>
    <w:rsid w:val="00D11AB0"/>
    <w:rsid w:val="00D12D6A"/>
    <w:rsid w:val="00D1311B"/>
    <w:rsid w:val="00D13647"/>
    <w:rsid w:val="00D15CEF"/>
    <w:rsid w:val="00D16F43"/>
    <w:rsid w:val="00D17BB3"/>
    <w:rsid w:val="00D17BDD"/>
    <w:rsid w:val="00D20C3C"/>
    <w:rsid w:val="00D21640"/>
    <w:rsid w:val="00D216A9"/>
    <w:rsid w:val="00D24144"/>
    <w:rsid w:val="00D248A6"/>
    <w:rsid w:val="00D25709"/>
    <w:rsid w:val="00D3061A"/>
    <w:rsid w:val="00D312C1"/>
    <w:rsid w:val="00D312DB"/>
    <w:rsid w:val="00D3192C"/>
    <w:rsid w:val="00D32B0F"/>
    <w:rsid w:val="00D32E24"/>
    <w:rsid w:val="00D3420C"/>
    <w:rsid w:val="00D3531E"/>
    <w:rsid w:val="00D35425"/>
    <w:rsid w:val="00D358E7"/>
    <w:rsid w:val="00D37315"/>
    <w:rsid w:val="00D37AE2"/>
    <w:rsid w:val="00D41241"/>
    <w:rsid w:val="00D419A6"/>
    <w:rsid w:val="00D41A61"/>
    <w:rsid w:val="00D41CA7"/>
    <w:rsid w:val="00D42021"/>
    <w:rsid w:val="00D423CE"/>
    <w:rsid w:val="00D42909"/>
    <w:rsid w:val="00D434BA"/>
    <w:rsid w:val="00D44AA4"/>
    <w:rsid w:val="00D45BF3"/>
    <w:rsid w:val="00D45EAC"/>
    <w:rsid w:val="00D46251"/>
    <w:rsid w:val="00D4739B"/>
    <w:rsid w:val="00D47FD3"/>
    <w:rsid w:val="00D51544"/>
    <w:rsid w:val="00D51BDB"/>
    <w:rsid w:val="00D522AE"/>
    <w:rsid w:val="00D523AA"/>
    <w:rsid w:val="00D533BD"/>
    <w:rsid w:val="00D54B37"/>
    <w:rsid w:val="00D55197"/>
    <w:rsid w:val="00D551CE"/>
    <w:rsid w:val="00D553FD"/>
    <w:rsid w:val="00D5580A"/>
    <w:rsid w:val="00D56008"/>
    <w:rsid w:val="00D5604F"/>
    <w:rsid w:val="00D56530"/>
    <w:rsid w:val="00D60C46"/>
    <w:rsid w:val="00D61F42"/>
    <w:rsid w:val="00D621BB"/>
    <w:rsid w:val="00D625BC"/>
    <w:rsid w:val="00D62E4B"/>
    <w:rsid w:val="00D63AA7"/>
    <w:rsid w:val="00D643AA"/>
    <w:rsid w:val="00D643F1"/>
    <w:rsid w:val="00D65013"/>
    <w:rsid w:val="00D652F4"/>
    <w:rsid w:val="00D6548C"/>
    <w:rsid w:val="00D66803"/>
    <w:rsid w:val="00D676C1"/>
    <w:rsid w:val="00D67864"/>
    <w:rsid w:val="00D70E8F"/>
    <w:rsid w:val="00D71270"/>
    <w:rsid w:val="00D717AE"/>
    <w:rsid w:val="00D71871"/>
    <w:rsid w:val="00D7191F"/>
    <w:rsid w:val="00D721F3"/>
    <w:rsid w:val="00D722D5"/>
    <w:rsid w:val="00D729CD"/>
    <w:rsid w:val="00D72B43"/>
    <w:rsid w:val="00D72DE0"/>
    <w:rsid w:val="00D730B5"/>
    <w:rsid w:val="00D73470"/>
    <w:rsid w:val="00D74D0B"/>
    <w:rsid w:val="00D756A5"/>
    <w:rsid w:val="00D75953"/>
    <w:rsid w:val="00D76CCD"/>
    <w:rsid w:val="00D7747E"/>
    <w:rsid w:val="00D77AF1"/>
    <w:rsid w:val="00D80058"/>
    <w:rsid w:val="00D8052A"/>
    <w:rsid w:val="00D81911"/>
    <w:rsid w:val="00D82206"/>
    <w:rsid w:val="00D824A4"/>
    <w:rsid w:val="00D83148"/>
    <w:rsid w:val="00D8316D"/>
    <w:rsid w:val="00D83FA3"/>
    <w:rsid w:val="00D84DAD"/>
    <w:rsid w:val="00D84DC1"/>
    <w:rsid w:val="00D85570"/>
    <w:rsid w:val="00D86423"/>
    <w:rsid w:val="00D86607"/>
    <w:rsid w:val="00D86C28"/>
    <w:rsid w:val="00D90031"/>
    <w:rsid w:val="00D90C1C"/>
    <w:rsid w:val="00D91B66"/>
    <w:rsid w:val="00D91DC6"/>
    <w:rsid w:val="00D92A80"/>
    <w:rsid w:val="00D92AD9"/>
    <w:rsid w:val="00D9314A"/>
    <w:rsid w:val="00D93716"/>
    <w:rsid w:val="00D94358"/>
    <w:rsid w:val="00D94EFF"/>
    <w:rsid w:val="00D950C7"/>
    <w:rsid w:val="00D9511A"/>
    <w:rsid w:val="00D96829"/>
    <w:rsid w:val="00D97907"/>
    <w:rsid w:val="00D97E74"/>
    <w:rsid w:val="00DA06CF"/>
    <w:rsid w:val="00DA06D5"/>
    <w:rsid w:val="00DA0A53"/>
    <w:rsid w:val="00DA1767"/>
    <w:rsid w:val="00DA2362"/>
    <w:rsid w:val="00DA3447"/>
    <w:rsid w:val="00DA5034"/>
    <w:rsid w:val="00DA5142"/>
    <w:rsid w:val="00DA5898"/>
    <w:rsid w:val="00DB138A"/>
    <w:rsid w:val="00DB14DC"/>
    <w:rsid w:val="00DB3F5F"/>
    <w:rsid w:val="00DB54DF"/>
    <w:rsid w:val="00DB72E5"/>
    <w:rsid w:val="00DB7ADE"/>
    <w:rsid w:val="00DB7FFE"/>
    <w:rsid w:val="00DC0264"/>
    <w:rsid w:val="00DC1325"/>
    <w:rsid w:val="00DC1939"/>
    <w:rsid w:val="00DC1F8F"/>
    <w:rsid w:val="00DC2D1B"/>
    <w:rsid w:val="00DC40C0"/>
    <w:rsid w:val="00DC45B1"/>
    <w:rsid w:val="00DC4D54"/>
    <w:rsid w:val="00DC6611"/>
    <w:rsid w:val="00DC6693"/>
    <w:rsid w:val="00DC69D7"/>
    <w:rsid w:val="00DC7253"/>
    <w:rsid w:val="00DD03BF"/>
    <w:rsid w:val="00DD0AB6"/>
    <w:rsid w:val="00DD241F"/>
    <w:rsid w:val="00DD3152"/>
    <w:rsid w:val="00DD36D1"/>
    <w:rsid w:val="00DD447A"/>
    <w:rsid w:val="00DD5043"/>
    <w:rsid w:val="00DD7386"/>
    <w:rsid w:val="00DE0600"/>
    <w:rsid w:val="00DE0D56"/>
    <w:rsid w:val="00DE3E11"/>
    <w:rsid w:val="00DE4417"/>
    <w:rsid w:val="00DE4F2C"/>
    <w:rsid w:val="00DE6525"/>
    <w:rsid w:val="00DE6664"/>
    <w:rsid w:val="00DF056C"/>
    <w:rsid w:val="00DF0ABC"/>
    <w:rsid w:val="00DF11FB"/>
    <w:rsid w:val="00DF1E4F"/>
    <w:rsid w:val="00DF2109"/>
    <w:rsid w:val="00DF303A"/>
    <w:rsid w:val="00DF3697"/>
    <w:rsid w:val="00DF43B4"/>
    <w:rsid w:val="00DF7207"/>
    <w:rsid w:val="00DF7A1A"/>
    <w:rsid w:val="00DF7D18"/>
    <w:rsid w:val="00E008C6"/>
    <w:rsid w:val="00E00FA4"/>
    <w:rsid w:val="00E025F5"/>
    <w:rsid w:val="00E02BC7"/>
    <w:rsid w:val="00E035A6"/>
    <w:rsid w:val="00E039EA"/>
    <w:rsid w:val="00E03DA4"/>
    <w:rsid w:val="00E04262"/>
    <w:rsid w:val="00E049FB"/>
    <w:rsid w:val="00E056FC"/>
    <w:rsid w:val="00E06A04"/>
    <w:rsid w:val="00E0728F"/>
    <w:rsid w:val="00E0775A"/>
    <w:rsid w:val="00E07C67"/>
    <w:rsid w:val="00E115CE"/>
    <w:rsid w:val="00E11955"/>
    <w:rsid w:val="00E1196B"/>
    <w:rsid w:val="00E125EA"/>
    <w:rsid w:val="00E125FB"/>
    <w:rsid w:val="00E126E7"/>
    <w:rsid w:val="00E12A39"/>
    <w:rsid w:val="00E1348E"/>
    <w:rsid w:val="00E13AF4"/>
    <w:rsid w:val="00E13EED"/>
    <w:rsid w:val="00E14BB8"/>
    <w:rsid w:val="00E14BD7"/>
    <w:rsid w:val="00E15D59"/>
    <w:rsid w:val="00E16348"/>
    <w:rsid w:val="00E164C9"/>
    <w:rsid w:val="00E171F0"/>
    <w:rsid w:val="00E2007F"/>
    <w:rsid w:val="00E206D5"/>
    <w:rsid w:val="00E20C34"/>
    <w:rsid w:val="00E21599"/>
    <w:rsid w:val="00E21903"/>
    <w:rsid w:val="00E21A95"/>
    <w:rsid w:val="00E21FE5"/>
    <w:rsid w:val="00E240CD"/>
    <w:rsid w:val="00E24587"/>
    <w:rsid w:val="00E2475A"/>
    <w:rsid w:val="00E25C43"/>
    <w:rsid w:val="00E25C72"/>
    <w:rsid w:val="00E26084"/>
    <w:rsid w:val="00E27977"/>
    <w:rsid w:val="00E27B49"/>
    <w:rsid w:val="00E3062D"/>
    <w:rsid w:val="00E3083C"/>
    <w:rsid w:val="00E30F0A"/>
    <w:rsid w:val="00E30FEA"/>
    <w:rsid w:val="00E315FC"/>
    <w:rsid w:val="00E32802"/>
    <w:rsid w:val="00E32BDB"/>
    <w:rsid w:val="00E32D6B"/>
    <w:rsid w:val="00E32E52"/>
    <w:rsid w:val="00E3325A"/>
    <w:rsid w:val="00E3360B"/>
    <w:rsid w:val="00E338BD"/>
    <w:rsid w:val="00E33D4B"/>
    <w:rsid w:val="00E344B2"/>
    <w:rsid w:val="00E348E4"/>
    <w:rsid w:val="00E34D8B"/>
    <w:rsid w:val="00E35C1B"/>
    <w:rsid w:val="00E35E66"/>
    <w:rsid w:val="00E362A1"/>
    <w:rsid w:val="00E366C8"/>
    <w:rsid w:val="00E37F0B"/>
    <w:rsid w:val="00E402FB"/>
    <w:rsid w:val="00E40A70"/>
    <w:rsid w:val="00E43866"/>
    <w:rsid w:val="00E439AC"/>
    <w:rsid w:val="00E44157"/>
    <w:rsid w:val="00E44803"/>
    <w:rsid w:val="00E449B1"/>
    <w:rsid w:val="00E44E68"/>
    <w:rsid w:val="00E45A66"/>
    <w:rsid w:val="00E45C22"/>
    <w:rsid w:val="00E45EC2"/>
    <w:rsid w:val="00E46650"/>
    <w:rsid w:val="00E46690"/>
    <w:rsid w:val="00E4769B"/>
    <w:rsid w:val="00E47818"/>
    <w:rsid w:val="00E507DE"/>
    <w:rsid w:val="00E51014"/>
    <w:rsid w:val="00E5135D"/>
    <w:rsid w:val="00E51494"/>
    <w:rsid w:val="00E518EF"/>
    <w:rsid w:val="00E53B83"/>
    <w:rsid w:val="00E54DFD"/>
    <w:rsid w:val="00E55B74"/>
    <w:rsid w:val="00E56480"/>
    <w:rsid w:val="00E609E7"/>
    <w:rsid w:val="00E612F6"/>
    <w:rsid w:val="00E6271C"/>
    <w:rsid w:val="00E6277A"/>
    <w:rsid w:val="00E632B2"/>
    <w:rsid w:val="00E635FA"/>
    <w:rsid w:val="00E653B7"/>
    <w:rsid w:val="00E66FEB"/>
    <w:rsid w:val="00E6732A"/>
    <w:rsid w:val="00E67361"/>
    <w:rsid w:val="00E67477"/>
    <w:rsid w:val="00E71211"/>
    <w:rsid w:val="00E71326"/>
    <w:rsid w:val="00E71B25"/>
    <w:rsid w:val="00E71D5D"/>
    <w:rsid w:val="00E72396"/>
    <w:rsid w:val="00E7264D"/>
    <w:rsid w:val="00E73078"/>
    <w:rsid w:val="00E73150"/>
    <w:rsid w:val="00E734AF"/>
    <w:rsid w:val="00E740F0"/>
    <w:rsid w:val="00E74160"/>
    <w:rsid w:val="00E74B9B"/>
    <w:rsid w:val="00E75D0F"/>
    <w:rsid w:val="00E7677C"/>
    <w:rsid w:val="00E76DC1"/>
    <w:rsid w:val="00E77BC3"/>
    <w:rsid w:val="00E8005C"/>
    <w:rsid w:val="00E8015C"/>
    <w:rsid w:val="00E80E4C"/>
    <w:rsid w:val="00E81216"/>
    <w:rsid w:val="00E81341"/>
    <w:rsid w:val="00E81BBD"/>
    <w:rsid w:val="00E81E13"/>
    <w:rsid w:val="00E8324E"/>
    <w:rsid w:val="00E8349C"/>
    <w:rsid w:val="00E83C95"/>
    <w:rsid w:val="00E84290"/>
    <w:rsid w:val="00E84909"/>
    <w:rsid w:val="00E84963"/>
    <w:rsid w:val="00E85151"/>
    <w:rsid w:val="00E85952"/>
    <w:rsid w:val="00E85AB7"/>
    <w:rsid w:val="00E86277"/>
    <w:rsid w:val="00E8774B"/>
    <w:rsid w:val="00E87C8C"/>
    <w:rsid w:val="00E9063B"/>
    <w:rsid w:val="00E90A46"/>
    <w:rsid w:val="00E91C49"/>
    <w:rsid w:val="00E92480"/>
    <w:rsid w:val="00E92731"/>
    <w:rsid w:val="00E92F37"/>
    <w:rsid w:val="00E939BD"/>
    <w:rsid w:val="00E952E2"/>
    <w:rsid w:val="00E95C6A"/>
    <w:rsid w:val="00E95CDD"/>
    <w:rsid w:val="00E95D96"/>
    <w:rsid w:val="00E95DCC"/>
    <w:rsid w:val="00E960AA"/>
    <w:rsid w:val="00E96D2E"/>
    <w:rsid w:val="00E97C7F"/>
    <w:rsid w:val="00EA0B7D"/>
    <w:rsid w:val="00EA12F3"/>
    <w:rsid w:val="00EA160B"/>
    <w:rsid w:val="00EA1CE7"/>
    <w:rsid w:val="00EA2DA0"/>
    <w:rsid w:val="00EA401A"/>
    <w:rsid w:val="00EA4407"/>
    <w:rsid w:val="00EA4E56"/>
    <w:rsid w:val="00EA51BF"/>
    <w:rsid w:val="00EA5973"/>
    <w:rsid w:val="00EA5EB4"/>
    <w:rsid w:val="00EA5FDF"/>
    <w:rsid w:val="00EA6174"/>
    <w:rsid w:val="00EA67AB"/>
    <w:rsid w:val="00EA6BAC"/>
    <w:rsid w:val="00EA734C"/>
    <w:rsid w:val="00EA7FF9"/>
    <w:rsid w:val="00EB09CA"/>
    <w:rsid w:val="00EB1A3F"/>
    <w:rsid w:val="00EB2A99"/>
    <w:rsid w:val="00EB4814"/>
    <w:rsid w:val="00EB49BB"/>
    <w:rsid w:val="00EB6458"/>
    <w:rsid w:val="00EB6C81"/>
    <w:rsid w:val="00EB707A"/>
    <w:rsid w:val="00EC00F1"/>
    <w:rsid w:val="00EC0526"/>
    <w:rsid w:val="00EC127D"/>
    <w:rsid w:val="00EC1ABD"/>
    <w:rsid w:val="00EC3673"/>
    <w:rsid w:val="00EC42F2"/>
    <w:rsid w:val="00EC593C"/>
    <w:rsid w:val="00EC59BB"/>
    <w:rsid w:val="00EC5B0E"/>
    <w:rsid w:val="00EC5B83"/>
    <w:rsid w:val="00ED0749"/>
    <w:rsid w:val="00ED0EC3"/>
    <w:rsid w:val="00ED1138"/>
    <w:rsid w:val="00ED1342"/>
    <w:rsid w:val="00ED1F88"/>
    <w:rsid w:val="00ED324B"/>
    <w:rsid w:val="00ED355D"/>
    <w:rsid w:val="00ED3932"/>
    <w:rsid w:val="00ED5137"/>
    <w:rsid w:val="00ED5F2B"/>
    <w:rsid w:val="00ED6859"/>
    <w:rsid w:val="00ED70EA"/>
    <w:rsid w:val="00ED7FA9"/>
    <w:rsid w:val="00EE02E8"/>
    <w:rsid w:val="00EE0CA1"/>
    <w:rsid w:val="00EE2362"/>
    <w:rsid w:val="00EE26F2"/>
    <w:rsid w:val="00EE2F2B"/>
    <w:rsid w:val="00EE42F6"/>
    <w:rsid w:val="00EE4D0C"/>
    <w:rsid w:val="00EE4F44"/>
    <w:rsid w:val="00EE5171"/>
    <w:rsid w:val="00EE520B"/>
    <w:rsid w:val="00EE53EC"/>
    <w:rsid w:val="00EE788C"/>
    <w:rsid w:val="00EF1304"/>
    <w:rsid w:val="00EF292F"/>
    <w:rsid w:val="00EF2A82"/>
    <w:rsid w:val="00EF2D1B"/>
    <w:rsid w:val="00EF42AE"/>
    <w:rsid w:val="00EF45EB"/>
    <w:rsid w:val="00EF6161"/>
    <w:rsid w:val="00EF63C0"/>
    <w:rsid w:val="00EF6E2A"/>
    <w:rsid w:val="00EF7134"/>
    <w:rsid w:val="00EF78B1"/>
    <w:rsid w:val="00EF7E96"/>
    <w:rsid w:val="00F00C61"/>
    <w:rsid w:val="00F0106E"/>
    <w:rsid w:val="00F01652"/>
    <w:rsid w:val="00F019AE"/>
    <w:rsid w:val="00F02B26"/>
    <w:rsid w:val="00F039DC"/>
    <w:rsid w:val="00F04B8B"/>
    <w:rsid w:val="00F0656C"/>
    <w:rsid w:val="00F06AE4"/>
    <w:rsid w:val="00F070B7"/>
    <w:rsid w:val="00F072E6"/>
    <w:rsid w:val="00F107FC"/>
    <w:rsid w:val="00F10DA8"/>
    <w:rsid w:val="00F117AA"/>
    <w:rsid w:val="00F119EA"/>
    <w:rsid w:val="00F132F7"/>
    <w:rsid w:val="00F144D8"/>
    <w:rsid w:val="00F15BE9"/>
    <w:rsid w:val="00F16124"/>
    <w:rsid w:val="00F20D31"/>
    <w:rsid w:val="00F21130"/>
    <w:rsid w:val="00F2147D"/>
    <w:rsid w:val="00F21B14"/>
    <w:rsid w:val="00F2209E"/>
    <w:rsid w:val="00F22E89"/>
    <w:rsid w:val="00F23FE1"/>
    <w:rsid w:val="00F25465"/>
    <w:rsid w:val="00F2599C"/>
    <w:rsid w:val="00F26476"/>
    <w:rsid w:val="00F2672E"/>
    <w:rsid w:val="00F26824"/>
    <w:rsid w:val="00F27243"/>
    <w:rsid w:val="00F27619"/>
    <w:rsid w:val="00F30203"/>
    <w:rsid w:val="00F30256"/>
    <w:rsid w:val="00F3047B"/>
    <w:rsid w:val="00F311CE"/>
    <w:rsid w:val="00F31442"/>
    <w:rsid w:val="00F317B2"/>
    <w:rsid w:val="00F31E74"/>
    <w:rsid w:val="00F32011"/>
    <w:rsid w:val="00F3223E"/>
    <w:rsid w:val="00F3423E"/>
    <w:rsid w:val="00F34B4B"/>
    <w:rsid w:val="00F352D1"/>
    <w:rsid w:val="00F35BB8"/>
    <w:rsid w:val="00F3652C"/>
    <w:rsid w:val="00F36901"/>
    <w:rsid w:val="00F37427"/>
    <w:rsid w:val="00F4119E"/>
    <w:rsid w:val="00F411AB"/>
    <w:rsid w:val="00F41E0F"/>
    <w:rsid w:val="00F42430"/>
    <w:rsid w:val="00F429C0"/>
    <w:rsid w:val="00F4364C"/>
    <w:rsid w:val="00F44142"/>
    <w:rsid w:val="00F45FC3"/>
    <w:rsid w:val="00F46521"/>
    <w:rsid w:val="00F478DB"/>
    <w:rsid w:val="00F502F5"/>
    <w:rsid w:val="00F504A8"/>
    <w:rsid w:val="00F50EB5"/>
    <w:rsid w:val="00F51797"/>
    <w:rsid w:val="00F51DED"/>
    <w:rsid w:val="00F525AD"/>
    <w:rsid w:val="00F52770"/>
    <w:rsid w:val="00F52A78"/>
    <w:rsid w:val="00F52FF6"/>
    <w:rsid w:val="00F53785"/>
    <w:rsid w:val="00F53CB0"/>
    <w:rsid w:val="00F54738"/>
    <w:rsid w:val="00F549D3"/>
    <w:rsid w:val="00F54F07"/>
    <w:rsid w:val="00F55A46"/>
    <w:rsid w:val="00F55C1B"/>
    <w:rsid w:val="00F55F6E"/>
    <w:rsid w:val="00F56F38"/>
    <w:rsid w:val="00F573FE"/>
    <w:rsid w:val="00F61905"/>
    <w:rsid w:val="00F61C0A"/>
    <w:rsid w:val="00F6255D"/>
    <w:rsid w:val="00F6491B"/>
    <w:rsid w:val="00F64D04"/>
    <w:rsid w:val="00F64E2B"/>
    <w:rsid w:val="00F6542D"/>
    <w:rsid w:val="00F65597"/>
    <w:rsid w:val="00F65BF7"/>
    <w:rsid w:val="00F65CAF"/>
    <w:rsid w:val="00F6635B"/>
    <w:rsid w:val="00F66691"/>
    <w:rsid w:val="00F667FE"/>
    <w:rsid w:val="00F67BB0"/>
    <w:rsid w:val="00F718D1"/>
    <w:rsid w:val="00F71E92"/>
    <w:rsid w:val="00F7373D"/>
    <w:rsid w:val="00F73A0F"/>
    <w:rsid w:val="00F74141"/>
    <w:rsid w:val="00F759EB"/>
    <w:rsid w:val="00F7601A"/>
    <w:rsid w:val="00F76BBB"/>
    <w:rsid w:val="00F76C89"/>
    <w:rsid w:val="00F77405"/>
    <w:rsid w:val="00F77941"/>
    <w:rsid w:val="00F80478"/>
    <w:rsid w:val="00F810D1"/>
    <w:rsid w:val="00F81657"/>
    <w:rsid w:val="00F81CB4"/>
    <w:rsid w:val="00F8216E"/>
    <w:rsid w:val="00F8361F"/>
    <w:rsid w:val="00F8386F"/>
    <w:rsid w:val="00F83AD6"/>
    <w:rsid w:val="00F83EE0"/>
    <w:rsid w:val="00F86B6E"/>
    <w:rsid w:val="00F902C1"/>
    <w:rsid w:val="00F910AC"/>
    <w:rsid w:val="00F9130D"/>
    <w:rsid w:val="00F91A8D"/>
    <w:rsid w:val="00F925B6"/>
    <w:rsid w:val="00F928A3"/>
    <w:rsid w:val="00F92CA1"/>
    <w:rsid w:val="00F92DE7"/>
    <w:rsid w:val="00F933E0"/>
    <w:rsid w:val="00F93AF8"/>
    <w:rsid w:val="00F93C87"/>
    <w:rsid w:val="00F9403A"/>
    <w:rsid w:val="00F94AE9"/>
    <w:rsid w:val="00F94BA7"/>
    <w:rsid w:val="00F97FB8"/>
    <w:rsid w:val="00FA005F"/>
    <w:rsid w:val="00FA08D3"/>
    <w:rsid w:val="00FA0DE7"/>
    <w:rsid w:val="00FA1751"/>
    <w:rsid w:val="00FA1D0A"/>
    <w:rsid w:val="00FA23E6"/>
    <w:rsid w:val="00FA255E"/>
    <w:rsid w:val="00FA38BD"/>
    <w:rsid w:val="00FA3F88"/>
    <w:rsid w:val="00FA40C3"/>
    <w:rsid w:val="00FA4342"/>
    <w:rsid w:val="00FA5233"/>
    <w:rsid w:val="00FA571A"/>
    <w:rsid w:val="00FA591A"/>
    <w:rsid w:val="00FA6CB0"/>
    <w:rsid w:val="00FA6EC1"/>
    <w:rsid w:val="00FB0085"/>
    <w:rsid w:val="00FB07AD"/>
    <w:rsid w:val="00FB0989"/>
    <w:rsid w:val="00FB0D86"/>
    <w:rsid w:val="00FB16F4"/>
    <w:rsid w:val="00FB2040"/>
    <w:rsid w:val="00FB381E"/>
    <w:rsid w:val="00FB3ECC"/>
    <w:rsid w:val="00FB4BC8"/>
    <w:rsid w:val="00FB4CF3"/>
    <w:rsid w:val="00FB4FFC"/>
    <w:rsid w:val="00FB560F"/>
    <w:rsid w:val="00FB5C48"/>
    <w:rsid w:val="00FB64FE"/>
    <w:rsid w:val="00FC0BBD"/>
    <w:rsid w:val="00FC0C02"/>
    <w:rsid w:val="00FC0D32"/>
    <w:rsid w:val="00FC0EB6"/>
    <w:rsid w:val="00FC179C"/>
    <w:rsid w:val="00FC3264"/>
    <w:rsid w:val="00FC33C4"/>
    <w:rsid w:val="00FC3737"/>
    <w:rsid w:val="00FC37F0"/>
    <w:rsid w:val="00FC3AA2"/>
    <w:rsid w:val="00FC3AC3"/>
    <w:rsid w:val="00FC4676"/>
    <w:rsid w:val="00FC530F"/>
    <w:rsid w:val="00FC57A4"/>
    <w:rsid w:val="00FC6C86"/>
    <w:rsid w:val="00FC75C8"/>
    <w:rsid w:val="00FD0C4A"/>
    <w:rsid w:val="00FD0CE0"/>
    <w:rsid w:val="00FD23D7"/>
    <w:rsid w:val="00FD2470"/>
    <w:rsid w:val="00FD2624"/>
    <w:rsid w:val="00FD2702"/>
    <w:rsid w:val="00FD293F"/>
    <w:rsid w:val="00FD3CF2"/>
    <w:rsid w:val="00FD4C78"/>
    <w:rsid w:val="00FD511C"/>
    <w:rsid w:val="00FD55C3"/>
    <w:rsid w:val="00FD59D4"/>
    <w:rsid w:val="00FD6510"/>
    <w:rsid w:val="00FD6BFF"/>
    <w:rsid w:val="00FD7BA1"/>
    <w:rsid w:val="00FE0378"/>
    <w:rsid w:val="00FE0577"/>
    <w:rsid w:val="00FE06D6"/>
    <w:rsid w:val="00FE080F"/>
    <w:rsid w:val="00FE0C02"/>
    <w:rsid w:val="00FE0D0D"/>
    <w:rsid w:val="00FE0F3F"/>
    <w:rsid w:val="00FE1352"/>
    <w:rsid w:val="00FE2647"/>
    <w:rsid w:val="00FE3A65"/>
    <w:rsid w:val="00FE5084"/>
    <w:rsid w:val="00FE63DC"/>
    <w:rsid w:val="00FE670B"/>
    <w:rsid w:val="00FE77C4"/>
    <w:rsid w:val="00FF091F"/>
    <w:rsid w:val="00FF0C72"/>
    <w:rsid w:val="00FF1AFB"/>
    <w:rsid w:val="00FF28B7"/>
    <w:rsid w:val="00FF2B76"/>
    <w:rsid w:val="00FF2EEA"/>
    <w:rsid w:val="00FF470E"/>
    <w:rsid w:val="00FF64F4"/>
    <w:rsid w:val="00FF66CA"/>
    <w:rsid w:val="00FF6FC8"/>
    <w:rsid w:val="00FF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5109E"/>
  <w15:docId w15:val="{A2E36423-4BC0-4B14-8D1C-319D334F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link w:val="Heading1Char"/>
    <w:uiPriority w:val="9"/>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link w:val="Heading3Char"/>
    <w:qFormat/>
    <w:rsid w:val="00CE6571"/>
    <w:pPr>
      <w:keepNext/>
      <w:outlineLvl w:val="2"/>
    </w:pPr>
    <w:rPr>
      <w:rFonts w:cs="Arial"/>
      <w:b/>
      <w:bCs/>
      <w:szCs w:val="26"/>
    </w:rPr>
  </w:style>
  <w:style w:type="paragraph" w:styleId="Heading4">
    <w:name w:val="heading 4"/>
    <w:basedOn w:val="Normal"/>
    <w:next w:val="Normal"/>
    <w:link w:val="Heading4Char"/>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9"/>
    <w:qFormat/>
    <w:rsid w:val="00CE6571"/>
    <w:pPr>
      <w:numPr>
        <w:ilvl w:val="4"/>
        <w:numId w:val="1"/>
      </w:numPr>
      <w:spacing w:before="240" w:after="60"/>
      <w:outlineLvl w:val="4"/>
    </w:pPr>
    <w:rPr>
      <w:b/>
      <w:bCs/>
      <w:i/>
      <w:iCs/>
      <w:sz w:val="26"/>
      <w:szCs w:val="26"/>
    </w:rPr>
  </w:style>
  <w:style w:type="paragraph" w:styleId="Heading6">
    <w:name w:val="heading 6"/>
    <w:basedOn w:val="Normal"/>
    <w:next w:val="Normal"/>
    <w:uiPriority w:val="99"/>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uiPriority w:val="99"/>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uiPriority w:val="99"/>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uiPriority w:val="99"/>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ntre Char"/>
    <w:basedOn w:val="DefaultParagraphFont"/>
    <w:link w:val="Heading1"/>
    <w:uiPriority w:val="9"/>
    <w:rsid w:val="00C24033"/>
    <w:rPr>
      <w:rFonts w:ascii="Arial" w:hAnsi="Arial" w:cs="Arial"/>
      <w:b/>
      <w:bCs/>
      <w:caps/>
      <w:kern w:val="32"/>
      <w:sz w:val="28"/>
      <w:szCs w:val="32"/>
      <w:lang w:eastAsia="en-US"/>
    </w:rPr>
  </w:style>
  <w:style w:type="character" w:customStyle="1" w:styleId="Heading3Char">
    <w:name w:val="Heading 3 Char"/>
    <w:aliases w:val="Sub Char"/>
    <w:basedOn w:val="DefaultParagraphFont"/>
    <w:link w:val="Heading3"/>
    <w:locked/>
    <w:rsid w:val="0070308F"/>
    <w:rPr>
      <w:rFonts w:ascii="Arial" w:hAnsi="Arial" w:cs="Arial"/>
      <w:b/>
      <w:bCs/>
      <w:sz w:val="22"/>
      <w:szCs w:val="26"/>
      <w:lang w:eastAsia="en-US"/>
    </w:rPr>
  </w:style>
  <w:style w:type="character" w:customStyle="1" w:styleId="Heading4Char">
    <w:name w:val="Heading 4 Char"/>
    <w:basedOn w:val="DefaultParagraphFont"/>
    <w:link w:val="Heading4"/>
    <w:locked/>
    <w:rsid w:val="00734C6E"/>
    <w:rPr>
      <w:b/>
      <w:bCs/>
      <w:sz w:val="28"/>
      <w:szCs w:val="28"/>
      <w:lang w:eastAsia="en-US"/>
    </w:rPr>
  </w:style>
  <w:style w:type="paragraph" w:styleId="Header">
    <w:name w:val="header"/>
    <w:basedOn w:val="Normal"/>
    <w:link w:val="HeaderChar"/>
    <w:uiPriority w:val="99"/>
    <w:rsid w:val="00487A22"/>
    <w:pPr>
      <w:tabs>
        <w:tab w:val="center" w:pos="4153"/>
        <w:tab w:val="right" w:pos="8306"/>
      </w:tabs>
    </w:pPr>
  </w:style>
  <w:style w:type="character" w:customStyle="1" w:styleId="HeaderChar">
    <w:name w:val="Header Char"/>
    <w:link w:val="Header"/>
    <w:uiPriority w:val="99"/>
    <w:locked/>
    <w:rsid w:val="00465D42"/>
    <w:rPr>
      <w:rFonts w:ascii="Arial" w:hAnsi="Arial"/>
      <w:sz w:val="22"/>
      <w:szCs w:val="24"/>
      <w:lang w:val="en-GB" w:eastAsia="en-US" w:bidi="ar-SA"/>
    </w:rPr>
  </w:style>
  <w:style w:type="table" w:styleId="TableGrid">
    <w:name w:val="Table Grid"/>
    <w:basedOn w:val="TableNormal"/>
    <w:uiPriority w:val="5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rsid w:val="00487A22"/>
    <w:pPr>
      <w:tabs>
        <w:tab w:val="center" w:pos="4153"/>
        <w:tab w:val="right" w:pos="8306"/>
      </w:tabs>
    </w:pPr>
  </w:style>
  <w:style w:type="character" w:customStyle="1" w:styleId="FooterChar">
    <w:name w:val="Footer Char"/>
    <w:basedOn w:val="DefaultParagraphFont"/>
    <w:link w:val="Footer"/>
    <w:locked/>
    <w:rsid w:val="0070308F"/>
    <w:rPr>
      <w:rFonts w:ascii="Arial" w:hAnsi="Arial"/>
      <w:sz w:val="22"/>
      <w:szCs w:val="24"/>
      <w:lang w:eastAsia="en-US"/>
    </w:rPr>
  </w:style>
  <w:style w:type="paragraph" w:customStyle="1" w:styleId="TSHeadingNumbered1">
    <w:name w:val="TS Heading Numbered 1"/>
    <w:basedOn w:val="Normal"/>
    <w:link w:val="TSHeadingNumbered1Char"/>
    <w:rsid w:val="00226293"/>
    <w:pPr>
      <w:spacing w:after="220"/>
      <w:outlineLvl w:val="0"/>
    </w:pPr>
    <w:rPr>
      <w:rFonts w:ascii="Arial Bold" w:hAnsi="Arial Bold"/>
      <w:b/>
      <w:caps/>
    </w:rPr>
  </w:style>
  <w:style w:type="character" w:customStyle="1" w:styleId="TSHeadingNumbered1Char">
    <w:name w:val="TS Heading Numbered 1 Char"/>
    <w:basedOn w:val="DefaultParagraphFont"/>
    <w:link w:val="TSHeadingNumbered1"/>
    <w:rsid w:val="00B62320"/>
    <w:rPr>
      <w:rFonts w:ascii="Arial Bold" w:hAnsi="Arial Bold"/>
      <w:b/>
      <w:caps/>
      <w:sz w:val="22"/>
      <w:szCs w:val="24"/>
      <w:lang w:eastAsia="en-US"/>
    </w:rPr>
  </w:style>
  <w:style w:type="paragraph" w:customStyle="1" w:styleId="TSHeadingNumbered11">
    <w:name w:val="TS Heading Numbered 1.1"/>
    <w:basedOn w:val="TSHeadingNumbered1"/>
    <w:rsid w:val="00226293"/>
    <w:pPr>
      <w:numPr>
        <w:ilvl w:val="1"/>
        <w:numId w:val="1"/>
      </w:numPr>
    </w:pPr>
    <w:rPr>
      <w:caps w:val="0"/>
    </w:rPr>
  </w:style>
  <w:style w:type="paragraph" w:customStyle="1" w:styleId="TSHeadingNumbered111">
    <w:name w:val="TS Heading Numbered 1.1.1"/>
    <w:basedOn w:val="TSHeadingNumbered1"/>
    <w:rsid w:val="00226293"/>
    <w:pPr>
      <w:numPr>
        <w:ilvl w:val="2"/>
      </w:numPr>
    </w:pPr>
    <w:rPr>
      <w:caps w:val="0"/>
    </w:rPr>
  </w:style>
  <w:style w:type="paragraph" w:customStyle="1" w:styleId="TSHeadingNumbered1111">
    <w:name w:val="TS Heading Numbered 1.1.1.1"/>
    <w:basedOn w:val="TSHeadingNumbered1"/>
    <w:uiPriority w:val="99"/>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A075C0"/>
    <w:pPr>
      <w:tabs>
        <w:tab w:val="left" w:pos="360"/>
        <w:tab w:val="right" w:leader="dot" w:pos="9216"/>
      </w:tabs>
      <w:spacing w:before="120" w:after="120"/>
      <w:ind w:left="357" w:hanging="357"/>
    </w:pPr>
    <w:rPr>
      <w:caps/>
    </w:rPr>
  </w:style>
  <w:style w:type="paragraph" w:customStyle="1" w:styleId="TSBullet1Square">
    <w:name w:val="TS Bullet 1 Square"/>
    <w:basedOn w:val="Normal"/>
    <w:link w:val="TSBullet1SquareChar"/>
    <w:rsid w:val="00B504F7"/>
    <w:pPr>
      <w:spacing w:after="240"/>
      <w:contextualSpacing/>
    </w:pPr>
  </w:style>
  <w:style w:type="character" w:customStyle="1" w:styleId="TSBullet1SquareChar">
    <w:name w:val="TS Bullet 1 Square Char"/>
    <w:link w:val="TSBullet1Square"/>
    <w:rsid w:val="00E84290"/>
    <w:rPr>
      <w:rFonts w:ascii="Arial" w:hAnsi="Arial"/>
      <w:sz w:val="22"/>
      <w:szCs w:val="24"/>
      <w:lang w:eastAsia="en-US"/>
    </w:rPr>
  </w:style>
  <w:style w:type="paragraph" w:customStyle="1" w:styleId="TSBullet2Circle">
    <w:name w:val="TS Bullet 2 Circle"/>
    <w:basedOn w:val="TSBullet1Square"/>
    <w:uiPriority w:val="99"/>
    <w:rsid w:val="00B504F7"/>
    <w:pPr>
      <w:numPr>
        <w:numId w:val="3"/>
      </w:numPr>
    </w:pPr>
  </w:style>
  <w:style w:type="paragraph" w:styleId="FootnoteText">
    <w:name w:val="footnote text"/>
    <w:basedOn w:val="Normal"/>
    <w:link w:val="FootnoteTextChar"/>
    <w:rsid w:val="008C6FF6"/>
    <w:rPr>
      <w:i/>
      <w:sz w:val="16"/>
      <w:szCs w:val="20"/>
    </w:rPr>
  </w:style>
  <w:style w:type="character" w:customStyle="1" w:styleId="FootnoteTextChar">
    <w:name w:val="Footnote Text Char"/>
    <w:basedOn w:val="DefaultParagraphFont"/>
    <w:link w:val="FootnoteText"/>
    <w:rsid w:val="008E0EFE"/>
    <w:rPr>
      <w:rFonts w:ascii="Arial" w:hAnsi="Arial"/>
      <w:i/>
      <w:sz w:val="16"/>
      <w:lang w:eastAsia="en-US"/>
    </w:rPr>
  </w:style>
  <w:style w:type="character" w:styleId="FootnoteReference">
    <w:name w:val="footnote reference"/>
    <w:rsid w:val="006067A8"/>
    <w:rPr>
      <w:vertAlign w:val="superscript"/>
    </w:rPr>
  </w:style>
  <w:style w:type="paragraph" w:customStyle="1" w:styleId="TSNumberedParagraph1">
    <w:name w:val="TS Numbered Paragraph 1"/>
    <w:basedOn w:val="TSNumberedParagraph11"/>
    <w:rsid w:val="00226293"/>
    <w:pPr>
      <w:numPr>
        <w:ilvl w:val="0"/>
        <w:numId w:val="0"/>
      </w:numPr>
    </w:pPr>
    <w:rPr>
      <w:rFonts w:ascii="Arial" w:hAnsi="Arial"/>
    </w:rPr>
  </w:style>
  <w:style w:type="paragraph" w:customStyle="1" w:styleId="ONRCopyrightBlock">
    <w:name w:val="ONR Copyright Block"/>
    <w:basedOn w:val="Normal"/>
    <w:rsid w:val="00190D8E"/>
    <w:rPr>
      <w:rFonts w:cs="Arial"/>
      <w:sz w:val="18"/>
      <w:szCs w:val="18"/>
    </w:rPr>
  </w:style>
  <w:style w:type="paragraph" w:styleId="DocumentMap">
    <w:name w:val="Document Map"/>
    <w:basedOn w:val="Normal"/>
    <w:semiHidden/>
    <w:rsid w:val="00226293"/>
    <w:pPr>
      <w:shd w:val="clear" w:color="auto" w:fill="000080"/>
    </w:pPr>
    <w:rPr>
      <w:rFonts w:ascii="Tahoma" w:hAnsi="Tahoma" w:cs="Tahoma"/>
      <w:sz w:val="20"/>
      <w:szCs w:val="20"/>
    </w:rPr>
  </w:style>
  <w:style w:type="paragraph" w:styleId="TOC2">
    <w:name w:val="toc 2"/>
    <w:basedOn w:val="Normal"/>
    <w:next w:val="Normal"/>
    <w:autoRedefine/>
    <w:uiPriority w:val="39"/>
    <w:rsid w:val="002F5007"/>
    <w:pPr>
      <w:tabs>
        <w:tab w:val="left" w:pos="880"/>
        <w:tab w:val="right" w:leader="dot" w:pos="9214"/>
      </w:tabs>
      <w:ind w:left="221"/>
    </w:pPr>
  </w:style>
  <w:style w:type="character" w:styleId="FollowedHyperlink">
    <w:name w:val="FollowedHyperlink"/>
    <w:rsid w:val="00443EBC"/>
    <w:rPr>
      <w:color w:val="800080"/>
      <w:u w:val="single"/>
    </w:rPr>
  </w:style>
  <w:style w:type="paragraph" w:styleId="BalloonText">
    <w:name w:val="Balloon Text"/>
    <w:basedOn w:val="Normal"/>
    <w:link w:val="BalloonTextChar"/>
    <w:rsid w:val="00916D91"/>
    <w:rPr>
      <w:rFonts w:ascii="Tahoma" w:hAnsi="Tahoma" w:cs="Tahoma"/>
      <w:sz w:val="16"/>
      <w:szCs w:val="16"/>
    </w:rPr>
  </w:style>
  <w:style w:type="character" w:customStyle="1" w:styleId="BalloonTextChar">
    <w:name w:val="Balloon Text Char"/>
    <w:link w:val="BalloonText"/>
    <w:rsid w:val="00916D91"/>
    <w:rPr>
      <w:rFonts w:ascii="Tahoma" w:hAnsi="Tahoma" w:cs="Tahoma"/>
      <w:sz w:val="16"/>
      <w:szCs w:val="16"/>
      <w:lang w:eastAsia="en-US"/>
    </w:rPr>
  </w:style>
  <w:style w:type="paragraph" w:styleId="ListParagraph">
    <w:name w:val="List Paragraph"/>
    <w:basedOn w:val="Normal"/>
    <w:uiPriority w:val="34"/>
    <w:qFormat/>
    <w:rsid w:val="00B8624C"/>
    <w:pPr>
      <w:spacing w:after="200" w:line="276" w:lineRule="auto"/>
      <w:ind w:left="720"/>
      <w:contextualSpacing/>
    </w:pPr>
    <w:rPr>
      <w:rFonts w:asciiTheme="minorHAnsi" w:eastAsiaTheme="minorHAnsi" w:hAnsiTheme="minorHAnsi" w:cstheme="minorBidi"/>
      <w:szCs w:val="22"/>
    </w:rPr>
  </w:style>
  <w:style w:type="character" w:customStyle="1" w:styleId="ONRNumberedParagraph1CharChar">
    <w:name w:val="ONR Numbered Paragraph 1 Char Char"/>
    <w:basedOn w:val="DefaultParagraphFont"/>
    <w:link w:val="ONRNumberedParagraph1"/>
    <w:locked/>
    <w:rsid w:val="00005C29"/>
    <w:rPr>
      <w:rFonts w:ascii="Arial" w:hAnsi="Arial" w:cs="Arial"/>
      <w:sz w:val="22"/>
      <w:szCs w:val="22"/>
    </w:rPr>
  </w:style>
  <w:style w:type="paragraph" w:customStyle="1" w:styleId="ONRNumberedParagraph1">
    <w:name w:val="ONR Numbered Paragraph 1"/>
    <w:basedOn w:val="Normal"/>
    <w:link w:val="ONRNumberedParagraph1CharChar"/>
    <w:locked/>
    <w:rsid w:val="00005C29"/>
    <w:pPr>
      <w:numPr>
        <w:numId w:val="5"/>
      </w:numPr>
      <w:tabs>
        <w:tab w:val="left" w:pos="880"/>
      </w:tabs>
      <w:spacing w:after="120"/>
      <w:ind w:left="880" w:hanging="880"/>
      <w:jc w:val="both"/>
    </w:pPr>
    <w:rPr>
      <w:rFonts w:cs="Arial"/>
      <w:szCs w:val="22"/>
      <w:lang w:eastAsia="en-GB"/>
    </w:rPr>
  </w:style>
  <w:style w:type="paragraph" w:customStyle="1" w:styleId="Default">
    <w:name w:val="Default"/>
    <w:rsid w:val="00AA3CE2"/>
    <w:pPr>
      <w:autoSpaceDE w:val="0"/>
      <w:autoSpaceDN w:val="0"/>
      <w:adjustRightInd w:val="0"/>
    </w:pPr>
    <w:rPr>
      <w:rFonts w:ascii="Arial" w:hAnsi="Arial" w:cs="Arial"/>
      <w:color w:val="000000"/>
      <w:sz w:val="24"/>
      <w:szCs w:val="24"/>
    </w:rPr>
  </w:style>
  <w:style w:type="paragraph" w:customStyle="1" w:styleId="PSHAReferences">
    <w:name w:val="PSHA References"/>
    <w:basedOn w:val="Normal"/>
    <w:next w:val="Normal"/>
    <w:autoRedefine/>
    <w:qFormat/>
    <w:rsid w:val="00A12ED6"/>
    <w:pPr>
      <w:jc w:val="both"/>
    </w:pPr>
    <w:rPr>
      <w:rFonts w:eastAsia="Calibri" w:cs="Arial"/>
      <w:lang w:val="en-ZA"/>
    </w:rPr>
  </w:style>
  <w:style w:type="character" w:customStyle="1" w:styleId="st1">
    <w:name w:val="st1"/>
    <w:basedOn w:val="DefaultParagraphFont"/>
    <w:rsid w:val="002B5711"/>
  </w:style>
  <w:style w:type="paragraph" w:customStyle="1" w:styleId="ONRSquareBullet1">
    <w:name w:val="ONR Square Bullet 1"/>
    <w:basedOn w:val="Normal"/>
    <w:rsid w:val="00780EAC"/>
    <w:pPr>
      <w:numPr>
        <w:numId w:val="6"/>
      </w:numPr>
      <w:spacing w:after="120"/>
    </w:pPr>
    <w:rPr>
      <w:rFonts w:cs="Arial"/>
      <w:szCs w:val="22"/>
    </w:rPr>
  </w:style>
  <w:style w:type="paragraph" w:customStyle="1" w:styleId="normal1">
    <w:name w:val="normal+1"/>
    <w:basedOn w:val="Normal"/>
    <w:next w:val="Normal"/>
    <w:rsid w:val="00E51494"/>
    <w:pPr>
      <w:autoSpaceDE w:val="0"/>
      <w:autoSpaceDN w:val="0"/>
      <w:adjustRightInd w:val="0"/>
    </w:pPr>
    <w:rPr>
      <w:rFonts w:eastAsia="MS Mincho"/>
      <w:sz w:val="24"/>
      <w:lang w:eastAsia="ja-JP"/>
    </w:rPr>
  </w:style>
  <w:style w:type="paragraph" w:customStyle="1" w:styleId="Principle1">
    <w:name w:val="Principle+1"/>
    <w:basedOn w:val="Normal"/>
    <w:next w:val="Normal"/>
    <w:rsid w:val="00E51494"/>
    <w:pPr>
      <w:autoSpaceDE w:val="0"/>
      <w:autoSpaceDN w:val="0"/>
      <w:adjustRightInd w:val="0"/>
    </w:pPr>
    <w:rPr>
      <w:rFonts w:eastAsia="MS Mincho"/>
      <w:sz w:val="24"/>
      <w:lang w:eastAsia="ja-JP"/>
    </w:rPr>
  </w:style>
  <w:style w:type="character" w:customStyle="1" w:styleId="ONRNormalChar">
    <w:name w:val="ONR Normal Char"/>
    <w:link w:val="ONRNormal"/>
    <w:rsid w:val="00E51494"/>
    <w:rPr>
      <w:rFonts w:ascii="Arial" w:hAnsi="Arial" w:cs="Arial"/>
      <w:sz w:val="22"/>
      <w:szCs w:val="22"/>
      <w:lang w:eastAsia="en-US"/>
    </w:rPr>
  </w:style>
  <w:style w:type="paragraph" w:customStyle="1" w:styleId="ONRNormal">
    <w:name w:val="ONR Normal"/>
    <w:link w:val="ONRNormalChar"/>
    <w:locked/>
    <w:rsid w:val="00E51494"/>
    <w:pPr>
      <w:spacing w:after="120"/>
      <w:jc w:val="both"/>
    </w:pPr>
    <w:rPr>
      <w:rFonts w:ascii="Arial" w:hAnsi="Arial" w:cs="Arial"/>
      <w:sz w:val="22"/>
      <w:szCs w:val="22"/>
      <w:lang w:eastAsia="en-US"/>
    </w:rPr>
  </w:style>
  <w:style w:type="paragraph" w:customStyle="1" w:styleId="Principle">
    <w:name w:val="Principle"/>
    <w:basedOn w:val="Normal"/>
    <w:next w:val="Normal"/>
    <w:uiPriority w:val="99"/>
    <w:rsid w:val="00E51494"/>
    <w:pPr>
      <w:autoSpaceDE w:val="0"/>
      <w:autoSpaceDN w:val="0"/>
      <w:adjustRightInd w:val="0"/>
    </w:pPr>
    <w:rPr>
      <w:rFonts w:eastAsia="MS Mincho"/>
      <w:sz w:val="24"/>
      <w:lang w:eastAsia="ja-JP"/>
    </w:rPr>
  </w:style>
  <w:style w:type="character" w:styleId="EndnoteReference">
    <w:name w:val="endnote reference"/>
    <w:basedOn w:val="DefaultParagraphFont"/>
    <w:rsid w:val="00FE06D6"/>
    <w:rPr>
      <w:vertAlign w:val="superscript"/>
    </w:rPr>
  </w:style>
  <w:style w:type="character" w:styleId="CommentReference">
    <w:name w:val="annotation reference"/>
    <w:basedOn w:val="DefaultParagraphFont"/>
    <w:rsid w:val="008B7BF8"/>
    <w:rPr>
      <w:sz w:val="16"/>
      <w:szCs w:val="16"/>
    </w:rPr>
  </w:style>
  <w:style w:type="paragraph" w:styleId="CommentText">
    <w:name w:val="annotation text"/>
    <w:basedOn w:val="Normal"/>
    <w:link w:val="CommentTextChar"/>
    <w:rsid w:val="008B7BF8"/>
    <w:rPr>
      <w:sz w:val="20"/>
      <w:szCs w:val="20"/>
    </w:rPr>
  </w:style>
  <w:style w:type="character" w:customStyle="1" w:styleId="CommentTextChar">
    <w:name w:val="Comment Text Char"/>
    <w:basedOn w:val="DefaultParagraphFont"/>
    <w:link w:val="CommentText"/>
    <w:rsid w:val="008B7BF8"/>
    <w:rPr>
      <w:rFonts w:ascii="Arial" w:hAnsi="Arial"/>
      <w:lang w:eastAsia="en-US"/>
    </w:rPr>
  </w:style>
  <w:style w:type="paragraph" w:styleId="CommentSubject">
    <w:name w:val="annotation subject"/>
    <w:basedOn w:val="CommentText"/>
    <w:next w:val="CommentText"/>
    <w:link w:val="CommentSubjectChar"/>
    <w:rsid w:val="008B7BF8"/>
    <w:rPr>
      <w:b/>
      <w:bCs/>
    </w:rPr>
  </w:style>
  <w:style w:type="character" w:customStyle="1" w:styleId="CommentSubjectChar">
    <w:name w:val="Comment Subject Char"/>
    <w:basedOn w:val="CommentTextChar"/>
    <w:link w:val="CommentSubject"/>
    <w:rsid w:val="008B7BF8"/>
    <w:rPr>
      <w:rFonts w:ascii="Arial" w:hAnsi="Arial"/>
      <w:b/>
      <w:bCs/>
      <w:lang w:eastAsia="en-US"/>
    </w:rPr>
  </w:style>
  <w:style w:type="character" w:customStyle="1" w:styleId="tgc">
    <w:name w:val="_tgc"/>
    <w:basedOn w:val="DefaultParagraphFont"/>
    <w:rsid w:val="0011330D"/>
  </w:style>
  <w:style w:type="character" w:customStyle="1" w:styleId="ya-q-full-text">
    <w:name w:val="ya-q-full-text"/>
    <w:basedOn w:val="DefaultParagraphFont"/>
    <w:rsid w:val="001479F5"/>
  </w:style>
  <w:style w:type="paragraph" w:styleId="NormalWeb">
    <w:name w:val="Normal (Web)"/>
    <w:basedOn w:val="Normal"/>
    <w:uiPriority w:val="99"/>
    <w:unhideWhenUsed/>
    <w:rsid w:val="00D20C3C"/>
    <w:pPr>
      <w:spacing w:before="100" w:beforeAutospacing="1" w:after="100" w:afterAutospacing="1"/>
    </w:pPr>
    <w:rPr>
      <w:rFonts w:ascii="Times New Roman" w:eastAsiaTheme="minorHAnsi" w:hAnsi="Times New Roman"/>
      <w:sz w:val="24"/>
      <w:lang w:eastAsia="en-GB" w:bidi="he-IL"/>
    </w:rPr>
  </w:style>
  <w:style w:type="paragraph" w:styleId="Revision">
    <w:name w:val="Revision"/>
    <w:hidden/>
    <w:uiPriority w:val="99"/>
    <w:semiHidden/>
    <w:rsid w:val="00C24033"/>
    <w:rPr>
      <w:rFonts w:ascii="Arial" w:hAnsi="Arial"/>
      <w:sz w:val="22"/>
      <w:szCs w:val="24"/>
      <w:lang w:eastAsia="en-US"/>
    </w:rPr>
  </w:style>
  <w:style w:type="paragraph" w:styleId="Bibliography">
    <w:name w:val="Bibliography"/>
    <w:basedOn w:val="Normal"/>
    <w:next w:val="Normal"/>
    <w:uiPriority w:val="37"/>
    <w:unhideWhenUsed/>
    <w:rsid w:val="00C24033"/>
  </w:style>
  <w:style w:type="character" w:customStyle="1" w:styleId="UnresolvedMention1">
    <w:name w:val="Unresolved Mention1"/>
    <w:basedOn w:val="DefaultParagraphFont"/>
    <w:uiPriority w:val="99"/>
    <w:semiHidden/>
    <w:unhideWhenUsed/>
    <w:rsid w:val="00697E8F"/>
    <w:rPr>
      <w:color w:val="808080"/>
      <w:shd w:val="clear" w:color="auto" w:fill="E6E6E6"/>
    </w:rPr>
  </w:style>
  <w:style w:type="paragraph" w:customStyle="1" w:styleId="StyleNumberListReferences10pt">
    <w:name w:val="Style Number List References + 10 pt"/>
    <w:basedOn w:val="Normal"/>
    <w:link w:val="StyleNumberListReferences10ptChar"/>
    <w:rsid w:val="00E13AF4"/>
    <w:pPr>
      <w:numPr>
        <w:numId w:val="7"/>
      </w:numPr>
      <w:spacing w:before="60"/>
    </w:pPr>
    <w:rPr>
      <w:sz w:val="20"/>
      <w:szCs w:val="22"/>
    </w:rPr>
  </w:style>
  <w:style w:type="character" w:customStyle="1" w:styleId="StyleNumberListReferences10ptChar">
    <w:name w:val="Style Number List References + 10 pt Char"/>
    <w:link w:val="StyleNumberListReferences10pt"/>
    <w:rsid w:val="00E13AF4"/>
    <w:rPr>
      <w:rFonts w:ascii="Arial" w:hAnsi="Arial"/>
      <w:szCs w:val="22"/>
      <w:lang w:eastAsia="en-US"/>
    </w:rPr>
  </w:style>
  <w:style w:type="paragraph" w:customStyle="1" w:styleId="Ch7num">
    <w:name w:val="Ch 7 num"/>
    <w:basedOn w:val="Normal"/>
    <w:link w:val="Ch7numChar"/>
    <w:qFormat/>
    <w:rsid w:val="002C44BB"/>
    <w:pPr>
      <w:numPr>
        <w:numId w:val="8"/>
      </w:numPr>
      <w:spacing w:before="120" w:after="120"/>
      <w:ind w:left="0" w:firstLine="0"/>
      <w:jc w:val="both"/>
    </w:pPr>
    <w:rPr>
      <w:szCs w:val="22"/>
    </w:rPr>
  </w:style>
  <w:style w:type="character" w:customStyle="1" w:styleId="Ch7numChar">
    <w:name w:val="Ch 7 num Char"/>
    <w:link w:val="Ch7num"/>
    <w:rsid w:val="002C44BB"/>
    <w:rPr>
      <w:rFonts w:ascii="Arial" w:hAnsi="Arial"/>
      <w:sz w:val="22"/>
      <w:szCs w:val="22"/>
      <w:lang w:eastAsia="en-US"/>
    </w:rPr>
  </w:style>
  <w:style w:type="paragraph" w:customStyle="1" w:styleId="NumberedHeading">
    <w:name w:val="Numbered Heading"/>
    <w:basedOn w:val="Normal"/>
    <w:rsid w:val="007E27DC"/>
    <w:pPr>
      <w:keepNext/>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rsid w:val="007E27DC"/>
    <w:pPr>
      <w:spacing w:after="240"/>
      <w:jc w:val="both"/>
    </w:pPr>
    <w:rPr>
      <w:rFonts w:cs="Arial"/>
      <w:szCs w:val="22"/>
    </w:rPr>
  </w:style>
  <w:style w:type="character" w:customStyle="1" w:styleId="e24kjd">
    <w:name w:val="e24kjd"/>
    <w:basedOn w:val="DefaultParagraphFont"/>
    <w:rsid w:val="005806F7"/>
  </w:style>
  <w:style w:type="paragraph" w:styleId="TOCHeading">
    <w:name w:val="TOC Heading"/>
    <w:basedOn w:val="Heading1"/>
    <w:next w:val="Normal"/>
    <w:uiPriority w:val="39"/>
    <w:semiHidden/>
    <w:unhideWhenUsed/>
    <w:qFormat/>
    <w:rsid w:val="005B35B6"/>
    <w:pPr>
      <w:keepLines/>
      <w:spacing w:before="480" w:line="276" w:lineRule="auto"/>
      <w:jc w:val="left"/>
      <w:outlineLvl w:val="9"/>
    </w:pPr>
    <w:rPr>
      <w:rFonts w:asciiTheme="majorHAnsi" w:eastAsiaTheme="majorEastAsia" w:hAnsiTheme="majorHAnsi" w:cstheme="majorBidi"/>
      <w:caps w:val="0"/>
      <w:color w:val="365F91" w:themeColor="accent1" w:themeShade="BF"/>
      <w:kern w:val="0"/>
      <w:szCs w:val="28"/>
      <w:lang w:val="en-US" w:eastAsia="ja-JP"/>
    </w:rPr>
  </w:style>
  <w:style w:type="character" w:styleId="UnresolvedMention">
    <w:name w:val="Unresolved Mention"/>
    <w:basedOn w:val="DefaultParagraphFont"/>
    <w:uiPriority w:val="99"/>
    <w:semiHidden/>
    <w:unhideWhenUsed/>
    <w:rsid w:val="009D413D"/>
    <w:rPr>
      <w:color w:val="605E5C"/>
      <w:shd w:val="clear" w:color="auto" w:fill="E1DFDD"/>
    </w:rPr>
  </w:style>
  <w:style w:type="paragraph" w:customStyle="1" w:styleId="leglisttextstandard">
    <w:name w:val="leglisttextstandard"/>
    <w:basedOn w:val="Normal"/>
    <w:rsid w:val="006B422B"/>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832">
      <w:bodyDiv w:val="1"/>
      <w:marLeft w:val="0"/>
      <w:marRight w:val="0"/>
      <w:marTop w:val="0"/>
      <w:marBottom w:val="0"/>
      <w:divBdr>
        <w:top w:val="none" w:sz="0" w:space="0" w:color="auto"/>
        <w:left w:val="none" w:sz="0" w:space="0" w:color="auto"/>
        <w:bottom w:val="none" w:sz="0" w:space="0" w:color="auto"/>
        <w:right w:val="none" w:sz="0" w:space="0" w:color="auto"/>
      </w:divBdr>
    </w:div>
    <w:div w:id="39869381">
      <w:bodyDiv w:val="1"/>
      <w:marLeft w:val="0"/>
      <w:marRight w:val="0"/>
      <w:marTop w:val="0"/>
      <w:marBottom w:val="0"/>
      <w:divBdr>
        <w:top w:val="none" w:sz="0" w:space="0" w:color="auto"/>
        <w:left w:val="none" w:sz="0" w:space="0" w:color="auto"/>
        <w:bottom w:val="none" w:sz="0" w:space="0" w:color="auto"/>
        <w:right w:val="none" w:sz="0" w:space="0" w:color="auto"/>
      </w:divBdr>
    </w:div>
    <w:div w:id="68582751">
      <w:bodyDiv w:val="1"/>
      <w:marLeft w:val="0"/>
      <w:marRight w:val="0"/>
      <w:marTop w:val="0"/>
      <w:marBottom w:val="0"/>
      <w:divBdr>
        <w:top w:val="none" w:sz="0" w:space="0" w:color="auto"/>
        <w:left w:val="none" w:sz="0" w:space="0" w:color="auto"/>
        <w:bottom w:val="none" w:sz="0" w:space="0" w:color="auto"/>
        <w:right w:val="none" w:sz="0" w:space="0" w:color="auto"/>
      </w:divBdr>
    </w:div>
    <w:div w:id="70741363">
      <w:bodyDiv w:val="1"/>
      <w:marLeft w:val="0"/>
      <w:marRight w:val="0"/>
      <w:marTop w:val="0"/>
      <w:marBottom w:val="0"/>
      <w:divBdr>
        <w:top w:val="none" w:sz="0" w:space="0" w:color="auto"/>
        <w:left w:val="none" w:sz="0" w:space="0" w:color="auto"/>
        <w:bottom w:val="none" w:sz="0" w:space="0" w:color="auto"/>
        <w:right w:val="none" w:sz="0" w:space="0" w:color="auto"/>
      </w:divBdr>
    </w:div>
    <w:div w:id="137957993">
      <w:bodyDiv w:val="1"/>
      <w:marLeft w:val="0"/>
      <w:marRight w:val="0"/>
      <w:marTop w:val="0"/>
      <w:marBottom w:val="0"/>
      <w:divBdr>
        <w:top w:val="none" w:sz="0" w:space="0" w:color="auto"/>
        <w:left w:val="none" w:sz="0" w:space="0" w:color="auto"/>
        <w:bottom w:val="none" w:sz="0" w:space="0" w:color="auto"/>
        <w:right w:val="none" w:sz="0" w:space="0" w:color="auto"/>
      </w:divBdr>
      <w:divsChild>
        <w:div w:id="1208300474">
          <w:marLeft w:val="0"/>
          <w:marRight w:val="0"/>
          <w:marTop w:val="0"/>
          <w:marBottom w:val="0"/>
          <w:divBdr>
            <w:top w:val="none" w:sz="0" w:space="0" w:color="auto"/>
            <w:left w:val="none" w:sz="0" w:space="0" w:color="auto"/>
            <w:bottom w:val="none" w:sz="0" w:space="0" w:color="auto"/>
            <w:right w:val="none" w:sz="0" w:space="0" w:color="auto"/>
          </w:divBdr>
          <w:divsChild>
            <w:div w:id="1950893793">
              <w:marLeft w:val="0"/>
              <w:marRight w:val="0"/>
              <w:marTop w:val="0"/>
              <w:marBottom w:val="0"/>
              <w:divBdr>
                <w:top w:val="none" w:sz="0" w:space="0" w:color="auto"/>
                <w:left w:val="none" w:sz="0" w:space="0" w:color="auto"/>
                <w:bottom w:val="none" w:sz="0" w:space="0" w:color="auto"/>
                <w:right w:val="none" w:sz="0" w:space="0" w:color="auto"/>
              </w:divBdr>
              <w:divsChild>
                <w:div w:id="1173181909">
                  <w:marLeft w:val="0"/>
                  <w:marRight w:val="0"/>
                  <w:marTop w:val="0"/>
                  <w:marBottom w:val="0"/>
                  <w:divBdr>
                    <w:top w:val="none" w:sz="0" w:space="0" w:color="auto"/>
                    <w:left w:val="none" w:sz="0" w:space="0" w:color="auto"/>
                    <w:bottom w:val="none" w:sz="0" w:space="0" w:color="auto"/>
                    <w:right w:val="none" w:sz="0" w:space="0" w:color="auto"/>
                  </w:divBdr>
                  <w:divsChild>
                    <w:div w:id="201476550">
                      <w:marLeft w:val="0"/>
                      <w:marRight w:val="0"/>
                      <w:marTop w:val="0"/>
                      <w:marBottom w:val="0"/>
                      <w:divBdr>
                        <w:top w:val="none" w:sz="0" w:space="0" w:color="auto"/>
                        <w:left w:val="none" w:sz="0" w:space="0" w:color="auto"/>
                        <w:bottom w:val="none" w:sz="0" w:space="0" w:color="auto"/>
                        <w:right w:val="none" w:sz="0" w:space="0" w:color="auto"/>
                      </w:divBdr>
                      <w:divsChild>
                        <w:div w:id="1332101805">
                          <w:marLeft w:val="0"/>
                          <w:marRight w:val="0"/>
                          <w:marTop w:val="0"/>
                          <w:marBottom w:val="345"/>
                          <w:divBdr>
                            <w:top w:val="none" w:sz="0" w:space="0" w:color="auto"/>
                            <w:left w:val="none" w:sz="0" w:space="0" w:color="auto"/>
                            <w:bottom w:val="none" w:sz="0" w:space="0" w:color="auto"/>
                            <w:right w:val="none" w:sz="0" w:space="0" w:color="auto"/>
                          </w:divBdr>
                          <w:divsChild>
                            <w:div w:id="210071645">
                              <w:marLeft w:val="0"/>
                              <w:marRight w:val="0"/>
                              <w:marTop w:val="0"/>
                              <w:marBottom w:val="0"/>
                              <w:divBdr>
                                <w:top w:val="none" w:sz="0" w:space="0" w:color="auto"/>
                                <w:left w:val="none" w:sz="0" w:space="0" w:color="auto"/>
                                <w:bottom w:val="none" w:sz="0" w:space="0" w:color="auto"/>
                                <w:right w:val="none" w:sz="0" w:space="0" w:color="auto"/>
                              </w:divBdr>
                              <w:divsChild>
                                <w:div w:id="1680426266">
                                  <w:marLeft w:val="0"/>
                                  <w:marRight w:val="0"/>
                                  <w:marTop w:val="0"/>
                                  <w:marBottom w:val="0"/>
                                  <w:divBdr>
                                    <w:top w:val="none" w:sz="0" w:space="0" w:color="auto"/>
                                    <w:left w:val="none" w:sz="0" w:space="0" w:color="auto"/>
                                    <w:bottom w:val="none" w:sz="0" w:space="0" w:color="auto"/>
                                    <w:right w:val="none" w:sz="0" w:space="0" w:color="auto"/>
                                  </w:divBdr>
                                  <w:divsChild>
                                    <w:div w:id="20288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6172">
      <w:bodyDiv w:val="1"/>
      <w:marLeft w:val="0"/>
      <w:marRight w:val="0"/>
      <w:marTop w:val="0"/>
      <w:marBottom w:val="0"/>
      <w:divBdr>
        <w:top w:val="none" w:sz="0" w:space="0" w:color="auto"/>
        <w:left w:val="none" w:sz="0" w:space="0" w:color="auto"/>
        <w:bottom w:val="none" w:sz="0" w:space="0" w:color="auto"/>
        <w:right w:val="none" w:sz="0" w:space="0" w:color="auto"/>
      </w:divBdr>
    </w:div>
    <w:div w:id="158278164">
      <w:bodyDiv w:val="1"/>
      <w:marLeft w:val="0"/>
      <w:marRight w:val="0"/>
      <w:marTop w:val="0"/>
      <w:marBottom w:val="0"/>
      <w:divBdr>
        <w:top w:val="none" w:sz="0" w:space="0" w:color="auto"/>
        <w:left w:val="none" w:sz="0" w:space="0" w:color="auto"/>
        <w:bottom w:val="none" w:sz="0" w:space="0" w:color="auto"/>
        <w:right w:val="none" w:sz="0" w:space="0" w:color="auto"/>
      </w:divBdr>
    </w:div>
    <w:div w:id="207647505">
      <w:bodyDiv w:val="1"/>
      <w:marLeft w:val="0"/>
      <w:marRight w:val="0"/>
      <w:marTop w:val="0"/>
      <w:marBottom w:val="0"/>
      <w:divBdr>
        <w:top w:val="none" w:sz="0" w:space="0" w:color="auto"/>
        <w:left w:val="none" w:sz="0" w:space="0" w:color="auto"/>
        <w:bottom w:val="none" w:sz="0" w:space="0" w:color="auto"/>
        <w:right w:val="none" w:sz="0" w:space="0" w:color="auto"/>
      </w:divBdr>
    </w:div>
    <w:div w:id="223226344">
      <w:bodyDiv w:val="1"/>
      <w:marLeft w:val="0"/>
      <w:marRight w:val="0"/>
      <w:marTop w:val="0"/>
      <w:marBottom w:val="0"/>
      <w:divBdr>
        <w:top w:val="none" w:sz="0" w:space="0" w:color="auto"/>
        <w:left w:val="none" w:sz="0" w:space="0" w:color="auto"/>
        <w:bottom w:val="none" w:sz="0" w:space="0" w:color="auto"/>
        <w:right w:val="none" w:sz="0" w:space="0" w:color="auto"/>
      </w:divBdr>
    </w:div>
    <w:div w:id="240025438">
      <w:bodyDiv w:val="1"/>
      <w:marLeft w:val="0"/>
      <w:marRight w:val="0"/>
      <w:marTop w:val="0"/>
      <w:marBottom w:val="0"/>
      <w:divBdr>
        <w:top w:val="none" w:sz="0" w:space="0" w:color="auto"/>
        <w:left w:val="none" w:sz="0" w:space="0" w:color="auto"/>
        <w:bottom w:val="none" w:sz="0" w:space="0" w:color="auto"/>
        <w:right w:val="none" w:sz="0" w:space="0" w:color="auto"/>
      </w:divBdr>
    </w:div>
    <w:div w:id="249507034">
      <w:bodyDiv w:val="1"/>
      <w:marLeft w:val="0"/>
      <w:marRight w:val="0"/>
      <w:marTop w:val="0"/>
      <w:marBottom w:val="0"/>
      <w:divBdr>
        <w:top w:val="none" w:sz="0" w:space="0" w:color="auto"/>
        <w:left w:val="none" w:sz="0" w:space="0" w:color="auto"/>
        <w:bottom w:val="none" w:sz="0" w:space="0" w:color="auto"/>
        <w:right w:val="none" w:sz="0" w:space="0" w:color="auto"/>
      </w:divBdr>
    </w:div>
    <w:div w:id="258878416">
      <w:bodyDiv w:val="1"/>
      <w:marLeft w:val="0"/>
      <w:marRight w:val="0"/>
      <w:marTop w:val="0"/>
      <w:marBottom w:val="0"/>
      <w:divBdr>
        <w:top w:val="none" w:sz="0" w:space="0" w:color="auto"/>
        <w:left w:val="none" w:sz="0" w:space="0" w:color="auto"/>
        <w:bottom w:val="none" w:sz="0" w:space="0" w:color="auto"/>
        <w:right w:val="none" w:sz="0" w:space="0" w:color="auto"/>
      </w:divBdr>
    </w:div>
    <w:div w:id="301010980">
      <w:bodyDiv w:val="1"/>
      <w:marLeft w:val="0"/>
      <w:marRight w:val="0"/>
      <w:marTop w:val="0"/>
      <w:marBottom w:val="0"/>
      <w:divBdr>
        <w:top w:val="none" w:sz="0" w:space="0" w:color="auto"/>
        <w:left w:val="none" w:sz="0" w:space="0" w:color="auto"/>
        <w:bottom w:val="none" w:sz="0" w:space="0" w:color="auto"/>
        <w:right w:val="none" w:sz="0" w:space="0" w:color="auto"/>
      </w:divBdr>
    </w:div>
    <w:div w:id="306208085">
      <w:bodyDiv w:val="1"/>
      <w:marLeft w:val="0"/>
      <w:marRight w:val="0"/>
      <w:marTop w:val="0"/>
      <w:marBottom w:val="0"/>
      <w:divBdr>
        <w:top w:val="none" w:sz="0" w:space="0" w:color="auto"/>
        <w:left w:val="none" w:sz="0" w:space="0" w:color="auto"/>
        <w:bottom w:val="none" w:sz="0" w:space="0" w:color="auto"/>
        <w:right w:val="none" w:sz="0" w:space="0" w:color="auto"/>
      </w:divBdr>
    </w:div>
    <w:div w:id="333001253">
      <w:bodyDiv w:val="1"/>
      <w:marLeft w:val="0"/>
      <w:marRight w:val="0"/>
      <w:marTop w:val="0"/>
      <w:marBottom w:val="0"/>
      <w:divBdr>
        <w:top w:val="none" w:sz="0" w:space="0" w:color="auto"/>
        <w:left w:val="none" w:sz="0" w:space="0" w:color="auto"/>
        <w:bottom w:val="none" w:sz="0" w:space="0" w:color="auto"/>
        <w:right w:val="none" w:sz="0" w:space="0" w:color="auto"/>
      </w:divBdr>
    </w:div>
    <w:div w:id="336154010">
      <w:bodyDiv w:val="1"/>
      <w:marLeft w:val="0"/>
      <w:marRight w:val="0"/>
      <w:marTop w:val="0"/>
      <w:marBottom w:val="0"/>
      <w:divBdr>
        <w:top w:val="none" w:sz="0" w:space="0" w:color="auto"/>
        <w:left w:val="none" w:sz="0" w:space="0" w:color="auto"/>
        <w:bottom w:val="none" w:sz="0" w:space="0" w:color="auto"/>
        <w:right w:val="none" w:sz="0" w:space="0" w:color="auto"/>
      </w:divBdr>
    </w:div>
    <w:div w:id="341513402">
      <w:bodyDiv w:val="1"/>
      <w:marLeft w:val="0"/>
      <w:marRight w:val="0"/>
      <w:marTop w:val="0"/>
      <w:marBottom w:val="0"/>
      <w:divBdr>
        <w:top w:val="none" w:sz="0" w:space="0" w:color="auto"/>
        <w:left w:val="none" w:sz="0" w:space="0" w:color="auto"/>
        <w:bottom w:val="none" w:sz="0" w:space="0" w:color="auto"/>
        <w:right w:val="none" w:sz="0" w:space="0" w:color="auto"/>
      </w:divBdr>
    </w:div>
    <w:div w:id="362825710">
      <w:bodyDiv w:val="1"/>
      <w:marLeft w:val="0"/>
      <w:marRight w:val="0"/>
      <w:marTop w:val="0"/>
      <w:marBottom w:val="0"/>
      <w:divBdr>
        <w:top w:val="none" w:sz="0" w:space="0" w:color="auto"/>
        <w:left w:val="none" w:sz="0" w:space="0" w:color="auto"/>
        <w:bottom w:val="none" w:sz="0" w:space="0" w:color="auto"/>
        <w:right w:val="none" w:sz="0" w:space="0" w:color="auto"/>
      </w:divBdr>
    </w:div>
    <w:div w:id="399905143">
      <w:bodyDiv w:val="1"/>
      <w:marLeft w:val="0"/>
      <w:marRight w:val="0"/>
      <w:marTop w:val="0"/>
      <w:marBottom w:val="0"/>
      <w:divBdr>
        <w:top w:val="none" w:sz="0" w:space="0" w:color="auto"/>
        <w:left w:val="none" w:sz="0" w:space="0" w:color="auto"/>
        <w:bottom w:val="none" w:sz="0" w:space="0" w:color="auto"/>
        <w:right w:val="none" w:sz="0" w:space="0" w:color="auto"/>
      </w:divBdr>
    </w:div>
    <w:div w:id="424156764">
      <w:bodyDiv w:val="1"/>
      <w:marLeft w:val="0"/>
      <w:marRight w:val="0"/>
      <w:marTop w:val="0"/>
      <w:marBottom w:val="0"/>
      <w:divBdr>
        <w:top w:val="none" w:sz="0" w:space="0" w:color="auto"/>
        <w:left w:val="none" w:sz="0" w:space="0" w:color="auto"/>
        <w:bottom w:val="none" w:sz="0" w:space="0" w:color="auto"/>
        <w:right w:val="none" w:sz="0" w:space="0" w:color="auto"/>
      </w:divBdr>
    </w:div>
    <w:div w:id="446393544">
      <w:bodyDiv w:val="1"/>
      <w:marLeft w:val="0"/>
      <w:marRight w:val="0"/>
      <w:marTop w:val="0"/>
      <w:marBottom w:val="0"/>
      <w:divBdr>
        <w:top w:val="none" w:sz="0" w:space="0" w:color="auto"/>
        <w:left w:val="none" w:sz="0" w:space="0" w:color="auto"/>
        <w:bottom w:val="none" w:sz="0" w:space="0" w:color="auto"/>
        <w:right w:val="none" w:sz="0" w:space="0" w:color="auto"/>
      </w:divBdr>
    </w:div>
    <w:div w:id="450705426">
      <w:bodyDiv w:val="1"/>
      <w:marLeft w:val="0"/>
      <w:marRight w:val="0"/>
      <w:marTop w:val="0"/>
      <w:marBottom w:val="0"/>
      <w:divBdr>
        <w:top w:val="none" w:sz="0" w:space="0" w:color="auto"/>
        <w:left w:val="none" w:sz="0" w:space="0" w:color="auto"/>
        <w:bottom w:val="none" w:sz="0" w:space="0" w:color="auto"/>
        <w:right w:val="none" w:sz="0" w:space="0" w:color="auto"/>
      </w:divBdr>
    </w:div>
    <w:div w:id="490099644">
      <w:bodyDiv w:val="1"/>
      <w:marLeft w:val="0"/>
      <w:marRight w:val="0"/>
      <w:marTop w:val="0"/>
      <w:marBottom w:val="0"/>
      <w:divBdr>
        <w:top w:val="none" w:sz="0" w:space="0" w:color="auto"/>
        <w:left w:val="none" w:sz="0" w:space="0" w:color="auto"/>
        <w:bottom w:val="none" w:sz="0" w:space="0" w:color="auto"/>
        <w:right w:val="none" w:sz="0" w:space="0" w:color="auto"/>
      </w:divBdr>
    </w:div>
    <w:div w:id="501043521">
      <w:bodyDiv w:val="1"/>
      <w:marLeft w:val="0"/>
      <w:marRight w:val="0"/>
      <w:marTop w:val="0"/>
      <w:marBottom w:val="0"/>
      <w:divBdr>
        <w:top w:val="none" w:sz="0" w:space="0" w:color="auto"/>
        <w:left w:val="none" w:sz="0" w:space="0" w:color="auto"/>
        <w:bottom w:val="none" w:sz="0" w:space="0" w:color="auto"/>
        <w:right w:val="none" w:sz="0" w:space="0" w:color="auto"/>
      </w:divBdr>
    </w:div>
    <w:div w:id="501700065">
      <w:bodyDiv w:val="1"/>
      <w:marLeft w:val="0"/>
      <w:marRight w:val="0"/>
      <w:marTop w:val="0"/>
      <w:marBottom w:val="0"/>
      <w:divBdr>
        <w:top w:val="none" w:sz="0" w:space="0" w:color="auto"/>
        <w:left w:val="none" w:sz="0" w:space="0" w:color="auto"/>
        <w:bottom w:val="none" w:sz="0" w:space="0" w:color="auto"/>
        <w:right w:val="none" w:sz="0" w:space="0" w:color="auto"/>
      </w:divBdr>
    </w:div>
    <w:div w:id="528102694">
      <w:bodyDiv w:val="1"/>
      <w:marLeft w:val="0"/>
      <w:marRight w:val="0"/>
      <w:marTop w:val="0"/>
      <w:marBottom w:val="0"/>
      <w:divBdr>
        <w:top w:val="none" w:sz="0" w:space="0" w:color="auto"/>
        <w:left w:val="none" w:sz="0" w:space="0" w:color="auto"/>
        <w:bottom w:val="none" w:sz="0" w:space="0" w:color="auto"/>
        <w:right w:val="none" w:sz="0" w:space="0" w:color="auto"/>
      </w:divBdr>
    </w:div>
    <w:div w:id="528882011">
      <w:bodyDiv w:val="1"/>
      <w:marLeft w:val="0"/>
      <w:marRight w:val="0"/>
      <w:marTop w:val="0"/>
      <w:marBottom w:val="0"/>
      <w:divBdr>
        <w:top w:val="none" w:sz="0" w:space="0" w:color="auto"/>
        <w:left w:val="none" w:sz="0" w:space="0" w:color="auto"/>
        <w:bottom w:val="none" w:sz="0" w:space="0" w:color="auto"/>
        <w:right w:val="none" w:sz="0" w:space="0" w:color="auto"/>
      </w:divBdr>
    </w:div>
    <w:div w:id="532039123">
      <w:bodyDiv w:val="1"/>
      <w:marLeft w:val="0"/>
      <w:marRight w:val="0"/>
      <w:marTop w:val="0"/>
      <w:marBottom w:val="0"/>
      <w:divBdr>
        <w:top w:val="none" w:sz="0" w:space="0" w:color="auto"/>
        <w:left w:val="none" w:sz="0" w:space="0" w:color="auto"/>
        <w:bottom w:val="none" w:sz="0" w:space="0" w:color="auto"/>
        <w:right w:val="none" w:sz="0" w:space="0" w:color="auto"/>
      </w:divBdr>
    </w:div>
    <w:div w:id="555312728">
      <w:bodyDiv w:val="1"/>
      <w:marLeft w:val="0"/>
      <w:marRight w:val="0"/>
      <w:marTop w:val="0"/>
      <w:marBottom w:val="0"/>
      <w:divBdr>
        <w:top w:val="none" w:sz="0" w:space="0" w:color="auto"/>
        <w:left w:val="none" w:sz="0" w:space="0" w:color="auto"/>
        <w:bottom w:val="none" w:sz="0" w:space="0" w:color="auto"/>
        <w:right w:val="none" w:sz="0" w:space="0" w:color="auto"/>
      </w:divBdr>
    </w:div>
    <w:div w:id="555433496">
      <w:bodyDiv w:val="1"/>
      <w:marLeft w:val="0"/>
      <w:marRight w:val="0"/>
      <w:marTop w:val="0"/>
      <w:marBottom w:val="0"/>
      <w:divBdr>
        <w:top w:val="none" w:sz="0" w:space="0" w:color="auto"/>
        <w:left w:val="none" w:sz="0" w:space="0" w:color="auto"/>
        <w:bottom w:val="none" w:sz="0" w:space="0" w:color="auto"/>
        <w:right w:val="none" w:sz="0" w:space="0" w:color="auto"/>
      </w:divBdr>
    </w:div>
    <w:div w:id="574516337">
      <w:bodyDiv w:val="1"/>
      <w:marLeft w:val="0"/>
      <w:marRight w:val="0"/>
      <w:marTop w:val="0"/>
      <w:marBottom w:val="0"/>
      <w:divBdr>
        <w:top w:val="none" w:sz="0" w:space="0" w:color="auto"/>
        <w:left w:val="none" w:sz="0" w:space="0" w:color="auto"/>
        <w:bottom w:val="none" w:sz="0" w:space="0" w:color="auto"/>
        <w:right w:val="none" w:sz="0" w:space="0" w:color="auto"/>
      </w:divBdr>
    </w:div>
    <w:div w:id="581724047">
      <w:bodyDiv w:val="1"/>
      <w:marLeft w:val="0"/>
      <w:marRight w:val="0"/>
      <w:marTop w:val="0"/>
      <w:marBottom w:val="0"/>
      <w:divBdr>
        <w:top w:val="none" w:sz="0" w:space="0" w:color="auto"/>
        <w:left w:val="none" w:sz="0" w:space="0" w:color="auto"/>
        <w:bottom w:val="none" w:sz="0" w:space="0" w:color="auto"/>
        <w:right w:val="none" w:sz="0" w:space="0" w:color="auto"/>
      </w:divBdr>
      <w:divsChild>
        <w:div w:id="1866864062">
          <w:marLeft w:val="0"/>
          <w:marRight w:val="0"/>
          <w:marTop w:val="0"/>
          <w:marBottom w:val="0"/>
          <w:divBdr>
            <w:top w:val="none" w:sz="0" w:space="0" w:color="auto"/>
            <w:left w:val="none" w:sz="0" w:space="0" w:color="auto"/>
            <w:bottom w:val="none" w:sz="0" w:space="0" w:color="auto"/>
            <w:right w:val="none" w:sz="0" w:space="0" w:color="auto"/>
          </w:divBdr>
          <w:divsChild>
            <w:div w:id="19284085">
              <w:marLeft w:val="0"/>
              <w:marRight w:val="0"/>
              <w:marTop w:val="0"/>
              <w:marBottom w:val="0"/>
              <w:divBdr>
                <w:top w:val="none" w:sz="0" w:space="0" w:color="auto"/>
                <w:left w:val="none" w:sz="0" w:space="0" w:color="auto"/>
                <w:bottom w:val="none" w:sz="0" w:space="0" w:color="auto"/>
                <w:right w:val="none" w:sz="0" w:space="0" w:color="auto"/>
              </w:divBdr>
              <w:divsChild>
                <w:div w:id="1626693552">
                  <w:marLeft w:val="0"/>
                  <w:marRight w:val="0"/>
                  <w:marTop w:val="0"/>
                  <w:marBottom w:val="0"/>
                  <w:divBdr>
                    <w:top w:val="none" w:sz="0" w:space="0" w:color="auto"/>
                    <w:left w:val="none" w:sz="0" w:space="0" w:color="auto"/>
                    <w:bottom w:val="none" w:sz="0" w:space="0" w:color="auto"/>
                    <w:right w:val="none" w:sz="0" w:space="0" w:color="auto"/>
                  </w:divBdr>
                </w:div>
                <w:div w:id="46026963">
                  <w:marLeft w:val="0"/>
                  <w:marRight w:val="0"/>
                  <w:marTop w:val="0"/>
                  <w:marBottom w:val="0"/>
                  <w:divBdr>
                    <w:top w:val="none" w:sz="0" w:space="0" w:color="auto"/>
                    <w:left w:val="none" w:sz="0" w:space="0" w:color="auto"/>
                    <w:bottom w:val="none" w:sz="0" w:space="0" w:color="auto"/>
                    <w:right w:val="none" w:sz="0" w:space="0" w:color="auto"/>
                  </w:divBdr>
                </w:div>
                <w:div w:id="14474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1040">
      <w:bodyDiv w:val="1"/>
      <w:marLeft w:val="0"/>
      <w:marRight w:val="0"/>
      <w:marTop w:val="0"/>
      <w:marBottom w:val="0"/>
      <w:divBdr>
        <w:top w:val="none" w:sz="0" w:space="0" w:color="auto"/>
        <w:left w:val="none" w:sz="0" w:space="0" w:color="auto"/>
        <w:bottom w:val="none" w:sz="0" w:space="0" w:color="auto"/>
        <w:right w:val="none" w:sz="0" w:space="0" w:color="auto"/>
      </w:divBdr>
    </w:div>
    <w:div w:id="667052009">
      <w:bodyDiv w:val="1"/>
      <w:marLeft w:val="0"/>
      <w:marRight w:val="0"/>
      <w:marTop w:val="0"/>
      <w:marBottom w:val="0"/>
      <w:divBdr>
        <w:top w:val="none" w:sz="0" w:space="0" w:color="auto"/>
        <w:left w:val="none" w:sz="0" w:space="0" w:color="auto"/>
        <w:bottom w:val="none" w:sz="0" w:space="0" w:color="auto"/>
        <w:right w:val="none" w:sz="0" w:space="0" w:color="auto"/>
      </w:divBdr>
    </w:div>
    <w:div w:id="673143713">
      <w:bodyDiv w:val="1"/>
      <w:marLeft w:val="0"/>
      <w:marRight w:val="0"/>
      <w:marTop w:val="0"/>
      <w:marBottom w:val="0"/>
      <w:divBdr>
        <w:top w:val="none" w:sz="0" w:space="0" w:color="auto"/>
        <w:left w:val="none" w:sz="0" w:space="0" w:color="auto"/>
        <w:bottom w:val="none" w:sz="0" w:space="0" w:color="auto"/>
        <w:right w:val="none" w:sz="0" w:space="0" w:color="auto"/>
      </w:divBdr>
    </w:div>
    <w:div w:id="689641904">
      <w:bodyDiv w:val="1"/>
      <w:marLeft w:val="0"/>
      <w:marRight w:val="0"/>
      <w:marTop w:val="0"/>
      <w:marBottom w:val="0"/>
      <w:divBdr>
        <w:top w:val="none" w:sz="0" w:space="0" w:color="auto"/>
        <w:left w:val="none" w:sz="0" w:space="0" w:color="auto"/>
        <w:bottom w:val="none" w:sz="0" w:space="0" w:color="auto"/>
        <w:right w:val="none" w:sz="0" w:space="0" w:color="auto"/>
      </w:divBdr>
    </w:div>
    <w:div w:id="716003874">
      <w:bodyDiv w:val="1"/>
      <w:marLeft w:val="0"/>
      <w:marRight w:val="0"/>
      <w:marTop w:val="0"/>
      <w:marBottom w:val="0"/>
      <w:divBdr>
        <w:top w:val="none" w:sz="0" w:space="0" w:color="auto"/>
        <w:left w:val="none" w:sz="0" w:space="0" w:color="auto"/>
        <w:bottom w:val="none" w:sz="0" w:space="0" w:color="auto"/>
        <w:right w:val="none" w:sz="0" w:space="0" w:color="auto"/>
      </w:divBdr>
    </w:div>
    <w:div w:id="727798748">
      <w:bodyDiv w:val="1"/>
      <w:marLeft w:val="0"/>
      <w:marRight w:val="0"/>
      <w:marTop w:val="0"/>
      <w:marBottom w:val="0"/>
      <w:divBdr>
        <w:top w:val="none" w:sz="0" w:space="0" w:color="auto"/>
        <w:left w:val="none" w:sz="0" w:space="0" w:color="auto"/>
        <w:bottom w:val="none" w:sz="0" w:space="0" w:color="auto"/>
        <w:right w:val="none" w:sz="0" w:space="0" w:color="auto"/>
      </w:divBdr>
    </w:div>
    <w:div w:id="743141074">
      <w:bodyDiv w:val="1"/>
      <w:marLeft w:val="0"/>
      <w:marRight w:val="0"/>
      <w:marTop w:val="0"/>
      <w:marBottom w:val="0"/>
      <w:divBdr>
        <w:top w:val="none" w:sz="0" w:space="0" w:color="auto"/>
        <w:left w:val="none" w:sz="0" w:space="0" w:color="auto"/>
        <w:bottom w:val="none" w:sz="0" w:space="0" w:color="auto"/>
        <w:right w:val="none" w:sz="0" w:space="0" w:color="auto"/>
      </w:divBdr>
    </w:div>
    <w:div w:id="782967662">
      <w:bodyDiv w:val="1"/>
      <w:marLeft w:val="0"/>
      <w:marRight w:val="0"/>
      <w:marTop w:val="0"/>
      <w:marBottom w:val="0"/>
      <w:divBdr>
        <w:top w:val="none" w:sz="0" w:space="0" w:color="auto"/>
        <w:left w:val="none" w:sz="0" w:space="0" w:color="auto"/>
        <w:bottom w:val="none" w:sz="0" w:space="0" w:color="auto"/>
        <w:right w:val="none" w:sz="0" w:space="0" w:color="auto"/>
      </w:divBdr>
    </w:div>
    <w:div w:id="787700958">
      <w:bodyDiv w:val="1"/>
      <w:marLeft w:val="0"/>
      <w:marRight w:val="0"/>
      <w:marTop w:val="0"/>
      <w:marBottom w:val="0"/>
      <w:divBdr>
        <w:top w:val="none" w:sz="0" w:space="0" w:color="auto"/>
        <w:left w:val="none" w:sz="0" w:space="0" w:color="auto"/>
        <w:bottom w:val="none" w:sz="0" w:space="0" w:color="auto"/>
        <w:right w:val="none" w:sz="0" w:space="0" w:color="auto"/>
      </w:divBdr>
    </w:div>
    <w:div w:id="812865152">
      <w:bodyDiv w:val="1"/>
      <w:marLeft w:val="0"/>
      <w:marRight w:val="0"/>
      <w:marTop w:val="0"/>
      <w:marBottom w:val="0"/>
      <w:divBdr>
        <w:top w:val="none" w:sz="0" w:space="0" w:color="auto"/>
        <w:left w:val="none" w:sz="0" w:space="0" w:color="auto"/>
        <w:bottom w:val="none" w:sz="0" w:space="0" w:color="auto"/>
        <w:right w:val="none" w:sz="0" w:space="0" w:color="auto"/>
      </w:divBdr>
    </w:div>
    <w:div w:id="831336306">
      <w:bodyDiv w:val="1"/>
      <w:marLeft w:val="0"/>
      <w:marRight w:val="0"/>
      <w:marTop w:val="0"/>
      <w:marBottom w:val="0"/>
      <w:divBdr>
        <w:top w:val="none" w:sz="0" w:space="0" w:color="auto"/>
        <w:left w:val="none" w:sz="0" w:space="0" w:color="auto"/>
        <w:bottom w:val="none" w:sz="0" w:space="0" w:color="auto"/>
        <w:right w:val="none" w:sz="0" w:space="0" w:color="auto"/>
      </w:divBdr>
    </w:div>
    <w:div w:id="849609988">
      <w:bodyDiv w:val="1"/>
      <w:marLeft w:val="0"/>
      <w:marRight w:val="0"/>
      <w:marTop w:val="0"/>
      <w:marBottom w:val="0"/>
      <w:divBdr>
        <w:top w:val="none" w:sz="0" w:space="0" w:color="auto"/>
        <w:left w:val="none" w:sz="0" w:space="0" w:color="auto"/>
        <w:bottom w:val="none" w:sz="0" w:space="0" w:color="auto"/>
        <w:right w:val="none" w:sz="0" w:space="0" w:color="auto"/>
      </w:divBdr>
    </w:div>
    <w:div w:id="857736009">
      <w:bodyDiv w:val="1"/>
      <w:marLeft w:val="0"/>
      <w:marRight w:val="0"/>
      <w:marTop w:val="0"/>
      <w:marBottom w:val="0"/>
      <w:divBdr>
        <w:top w:val="none" w:sz="0" w:space="0" w:color="auto"/>
        <w:left w:val="none" w:sz="0" w:space="0" w:color="auto"/>
        <w:bottom w:val="none" w:sz="0" w:space="0" w:color="auto"/>
        <w:right w:val="none" w:sz="0" w:space="0" w:color="auto"/>
      </w:divBdr>
    </w:div>
    <w:div w:id="864445829">
      <w:bodyDiv w:val="1"/>
      <w:marLeft w:val="0"/>
      <w:marRight w:val="0"/>
      <w:marTop w:val="0"/>
      <w:marBottom w:val="0"/>
      <w:divBdr>
        <w:top w:val="none" w:sz="0" w:space="0" w:color="auto"/>
        <w:left w:val="none" w:sz="0" w:space="0" w:color="auto"/>
        <w:bottom w:val="none" w:sz="0" w:space="0" w:color="auto"/>
        <w:right w:val="none" w:sz="0" w:space="0" w:color="auto"/>
      </w:divBdr>
    </w:div>
    <w:div w:id="877162579">
      <w:bodyDiv w:val="1"/>
      <w:marLeft w:val="0"/>
      <w:marRight w:val="0"/>
      <w:marTop w:val="0"/>
      <w:marBottom w:val="0"/>
      <w:divBdr>
        <w:top w:val="none" w:sz="0" w:space="0" w:color="auto"/>
        <w:left w:val="none" w:sz="0" w:space="0" w:color="auto"/>
        <w:bottom w:val="none" w:sz="0" w:space="0" w:color="auto"/>
        <w:right w:val="none" w:sz="0" w:space="0" w:color="auto"/>
      </w:divBdr>
    </w:div>
    <w:div w:id="911963512">
      <w:bodyDiv w:val="1"/>
      <w:marLeft w:val="0"/>
      <w:marRight w:val="0"/>
      <w:marTop w:val="0"/>
      <w:marBottom w:val="0"/>
      <w:divBdr>
        <w:top w:val="none" w:sz="0" w:space="0" w:color="auto"/>
        <w:left w:val="none" w:sz="0" w:space="0" w:color="auto"/>
        <w:bottom w:val="none" w:sz="0" w:space="0" w:color="auto"/>
        <w:right w:val="none" w:sz="0" w:space="0" w:color="auto"/>
      </w:divBdr>
    </w:div>
    <w:div w:id="915169815">
      <w:bodyDiv w:val="1"/>
      <w:marLeft w:val="0"/>
      <w:marRight w:val="0"/>
      <w:marTop w:val="0"/>
      <w:marBottom w:val="0"/>
      <w:divBdr>
        <w:top w:val="none" w:sz="0" w:space="0" w:color="auto"/>
        <w:left w:val="none" w:sz="0" w:space="0" w:color="auto"/>
        <w:bottom w:val="none" w:sz="0" w:space="0" w:color="auto"/>
        <w:right w:val="none" w:sz="0" w:space="0" w:color="auto"/>
      </w:divBdr>
    </w:div>
    <w:div w:id="916940484">
      <w:bodyDiv w:val="1"/>
      <w:marLeft w:val="0"/>
      <w:marRight w:val="0"/>
      <w:marTop w:val="0"/>
      <w:marBottom w:val="0"/>
      <w:divBdr>
        <w:top w:val="none" w:sz="0" w:space="0" w:color="auto"/>
        <w:left w:val="none" w:sz="0" w:space="0" w:color="auto"/>
        <w:bottom w:val="none" w:sz="0" w:space="0" w:color="auto"/>
        <w:right w:val="none" w:sz="0" w:space="0" w:color="auto"/>
      </w:divBdr>
    </w:div>
    <w:div w:id="950670086">
      <w:bodyDiv w:val="1"/>
      <w:marLeft w:val="0"/>
      <w:marRight w:val="0"/>
      <w:marTop w:val="0"/>
      <w:marBottom w:val="0"/>
      <w:divBdr>
        <w:top w:val="none" w:sz="0" w:space="0" w:color="auto"/>
        <w:left w:val="none" w:sz="0" w:space="0" w:color="auto"/>
        <w:bottom w:val="none" w:sz="0" w:space="0" w:color="auto"/>
        <w:right w:val="none" w:sz="0" w:space="0" w:color="auto"/>
      </w:divBdr>
    </w:div>
    <w:div w:id="967394022">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94802541">
      <w:bodyDiv w:val="1"/>
      <w:marLeft w:val="0"/>
      <w:marRight w:val="0"/>
      <w:marTop w:val="0"/>
      <w:marBottom w:val="0"/>
      <w:divBdr>
        <w:top w:val="none" w:sz="0" w:space="0" w:color="auto"/>
        <w:left w:val="none" w:sz="0" w:space="0" w:color="auto"/>
        <w:bottom w:val="none" w:sz="0" w:space="0" w:color="auto"/>
        <w:right w:val="none" w:sz="0" w:space="0" w:color="auto"/>
      </w:divBdr>
    </w:div>
    <w:div w:id="1007631200">
      <w:bodyDiv w:val="1"/>
      <w:marLeft w:val="0"/>
      <w:marRight w:val="0"/>
      <w:marTop w:val="0"/>
      <w:marBottom w:val="0"/>
      <w:divBdr>
        <w:top w:val="none" w:sz="0" w:space="0" w:color="auto"/>
        <w:left w:val="none" w:sz="0" w:space="0" w:color="auto"/>
        <w:bottom w:val="none" w:sz="0" w:space="0" w:color="auto"/>
        <w:right w:val="none" w:sz="0" w:space="0" w:color="auto"/>
      </w:divBdr>
    </w:div>
    <w:div w:id="1024357122">
      <w:bodyDiv w:val="1"/>
      <w:marLeft w:val="0"/>
      <w:marRight w:val="0"/>
      <w:marTop w:val="0"/>
      <w:marBottom w:val="0"/>
      <w:divBdr>
        <w:top w:val="none" w:sz="0" w:space="0" w:color="auto"/>
        <w:left w:val="none" w:sz="0" w:space="0" w:color="auto"/>
        <w:bottom w:val="none" w:sz="0" w:space="0" w:color="auto"/>
        <w:right w:val="none" w:sz="0" w:space="0" w:color="auto"/>
      </w:divBdr>
    </w:div>
    <w:div w:id="1044478366">
      <w:bodyDiv w:val="1"/>
      <w:marLeft w:val="0"/>
      <w:marRight w:val="0"/>
      <w:marTop w:val="0"/>
      <w:marBottom w:val="0"/>
      <w:divBdr>
        <w:top w:val="none" w:sz="0" w:space="0" w:color="auto"/>
        <w:left w:val="none" w:sz="0" w:space="0" w:color="auto"/>
        <w:bottom w:val="none" w:sz="0" w:space="0" w:color="auto"/>
        <w:right w:val="none" w:sz="0" w:space="0" w:color="auto"/>
      </w:divBdr>
    </w:div>
    <w:div w:id="1062943331">
      <w:bodyDiv w:val="1"/>
      <w:marLeft w:val="0"/>
      <w:marRight w:val="0"/>
      <w:marTop w:val="0"/>
      <w:marBottom w:val="0"/>
      <w:divBdr>
        <w:top w:val="none" w:sz="0" w:space="0" w:color="auto"/>
        <w:left w:val="none" w:sz="0" w:space="0" w:color="auto"/>
        <w:bottom w:val="none" w:sz="0" w:space="0" w:color="auto"/>
        <w:right w:val="none" w:sz="0" w:space="0" w:color="auto"/>
      </w:divBdr>
    </w:div>
    <w:div w:id="1071540915">
      <w:bodyDiv w:val="1"/>
      <w:marLeft w:val="0"/>
      <w:marRight w:val="0"/>
      <w:marTop w:val="0"/>
      <w:marBottom w:val="0"/>
      <w:divBdr>
        <w:top w:val="none" w:sz="0" w:space="0" w:color="auto"/>
        <w:left w:val="none" w:sz="0" w:space="0" w:color="auto"/>
        <w:bottom w:val="none" w:sz="0" w:space="0" w:color="auto"/>
        <w:right w:val="none" w:sz="0" w:space="0" w:color="auto"/>
      </w:divBdr>
    </w:div>
    <w:div w:id="1130588565">
      <w:bodyDiv w:val="1"/>
      <w:marLeft w:val="0"/>
      <w:marRight w:val="0"/>
      <w:marTop w:val="0"/>
      <w:marBottom w:val="0"/>
      <w:divBdr>
        <w:top w:val="none" w:sz="0" w:space="0" w:color="auto"/>
        <w:left w:val="none" w:sz="0" w:space="0" w:color="auto"/>
        <w:bottom w:val="none" w:sz="0" w:space="0" w:color="auto"/>
        <w:right w:val="none" w:sz="0" w:space="0" w:color="auto"/>
      </w:divBdr>
    </w:div>
    <w:div w:id="1136753145">
      <w:bodyDiv w:val="1"/>
      <w:marLeft w:val="0"/>
      <w:marRight w:val="0"/>
      <w:marTop w:val="0"/>
      <w:marBottom w:val="0"/>
      <w:divBdr>
        <w:top w:val="none" w:sz="0" w:space="0" w:color="auto"/>
        <w:left w:val="none" w:sz="0" w:space="0" w:color="auto"/>
        <w:bottom w:val="none" w:sz="0" w:space="0" w:color="auto"/>
        <w:right w:val="none" w:sz="0" w:space="0" w:color="auto"/>
      </w:divBdr>
    </w:div>
    <w:div w:id="1143936218">
      <w:bodyDiv w:val="1"/>
      <w:marLeft w:val="0"/>
      <w:marRight w:val="0"/>
      <w:marTop w:val="0"/>
      <w:marBottom w:val="0"/>
      <w:divBdr>
        <w:top w:val="none" w:sz="0" w:space="0" w:color="auto"/>
        <w:left w:val="none" w:sz="0" w:space="0" w:color="auto"/>
        <w:bottom w:val="none" w:sz="0" w:space="0" w:color="auto"/>
        <w:right w:val="none" w:sz="0" w:space="0" w:color="auto"/>
      </w:divBdr>
    </w:div>
    <w:div w:id="1155757782">
      <w:bodyDiv w:val="1"/>
      <w:marLeft w:val="0"/>
      <w:marRight w:val="0"/>
      <w:marTop w:val="0"/>
      <w:marBottom w:val="0"/>
      <w:divBdr>
        <w:top w:val="none" w:sz="0" w:space="0" w:color="auto"/>
        <w:left w:val="none" w:sz="0" w:space="0" w:color="auto"/>
        <w:bottom w:val="none" w:sz="0" w:space="0" w:color="auto"/>
        <w:right w:val="none" w:sz="0" w:space="0" w:color="auto"/>
      </w:divBdr>
    </w:div>
    <w:div w:id="1158687120">
      <w:bodyDiv w:val="1"/>
      <w:marLeft w:val="0"/>
      <w:marRight w:val="0"/>
      <w:marTop w:val="0"/>
      <w:marBottom w:val="0"/>
      <w:divBdr>
        <w:top w:val="none" w:sz="0" w:space="0" w:color="auto"/>
        <w:left w:val="none" w:sz="0" w:space="0" w:color="auto"/>
        <w:bottom w:val="none" w:sz="0" w:space="0" w:color="auto"/>
        <w:right w:val="none" w:sz="0" w:space="0" w:color="auto"/>
      </w:divBdr>
    </w:div>
    <w:div w:id="1200165147">
      <w:bodyDiv w:val="1"/>
      <w:marLeft w:val="0"/>
      <w:marRight w:val="0"/>
      <w:marTop w:val="0"/>
      <w:marBottom w:val="0"/>
      <w:divBdr>
        <w:top w:val="none" w:sz="0" w:space="0" w:color="auto"/>
        <w:left w:val="none" w:sz="0" w:space="0" w:color="auto"/>
        <w:bottom w:val="none" w:sz="0" w:space="0" w:color="auto"/>
        <w:right w:val="none" w:sz="0" w:space="0" w:color="auto"/>
      </w:divBdr>
    </w:div>
    <w:div w:id="1201554208">
      <w:bodyDiv w:val="1"/>
      <w:marLeft w:val="0"/>
      <w:marRight w:val="0"/>
      <w:marTop w:val="0"/>
      <w:marBottom w:val="0"/>
      <w:divBdr>
        <w:top w:val="none" w:sz="0" w:space="0" w:color="auto"/>
        <w:left w:val="none" w:sz="0" w:space="0" w:color="auto"/>
        <w:bottom w:val="none" w:sz="0" w:space="0" w:color="auto"/>
        <w:right w:val="none" w:sz="0" w:space="0" w:color="auto"/>
      </w:divBdr>
    </w:div>
    <w:div w:id="1202471526">
      <w:bodyDiv w:val="1"/>
      <w:marLeft w:val="0"/>
      <w:marRight w:val="0"/>
      <w:marTop w:val="0"/>
      <w:marBottom w:val="0"/>
      <w:divBdr>
        <w:top w:val="none" w:sz="0" w:space="0" w:color="auto"/>
        <w:left w:val="none" w:sz="0" w:space="0" w:color="auto"/>
        <w:bottom w:val="none" w:sz="0" w:space="0" w:color="auto"/>
        <w:right w:val="none" w:sz="0" w:space="0" w:color="auto"/>
      </w:divBdr>
    </w:div>
    <w:div w:id="1242593603">
      <w:bodyDiv w:val="1"/>
      <w:marLeft w:val="0"/>
      <w:marRight w:val="0"/>
      <w:marTop w:val="0"/>
      <w:marBottom w:val="0"/>
      <w:divBdr>
        <w:top w:val="none" w:sz="0" w:space="0" w:color="auto"/>
        <w:left w:val="none" w:sz="0" w:space="0" w:color="auto"/>
        <w:bottom w:val="none" w:sz="0" w:space="0" w:color="auto"/>
        <w:right w:val="none" w:sz="0" w:space="0" w:color="auto"/>
      </w:divBdr>
      <w:divsChild>
        <w:div w:id="404451481">
          <w:marLeft w:val="0"/>
          <w:marRight w:val="0"/>
          <w:marTop w:val="0"/>
          <w:marBottom w:val="0"/>
          <w:divBdr>
            <w:top w:val="none" w:sz="0" w:space="0" w:color="auto"/>
            <w:left w:val="none" w:sz="0" w:space="0" w:color="auto"/>
            <w:bottom w:val="none" w:sz="0" w:space="0" w:color="auto"/>
            <w:right w:val="none" w:sz="0" w:space="0" w:color="auto"/>
          </w:divBdr>
        </w:div>
      </w:divsChild>
    </w:div>
    <w:div w:id="1294214099">
      <w:bodyDiv w:val="1"/>
      <w:marLeft w:val="0"/>
      <w:marRight w:val="0"/>
      <w:marTop w:val="0"/>
      <w:marBottom w:val="0"/>
      <w:divBdr>
        <w:top w:val="none" w:sz="0" w:space="0" w:color="auto"/>
        <w:left w:val="none" w:sz="0" w:space="0" w:color="auto"/>
        <w:bottom w:val="none" w:sz="0" w:space="0" w:color="auto"/>
        <w:right w:val="none" w:sz="0" w:space="0" w:color="auto"/>
      </w:divBdr>
    </w:div>
    <w:div w:id="1294673241">
      <w:bodyDiv w:val="1"/>
      <w:marLeft w:val="0"/>
      <w:marRight w:val="0"/>
      <w:marTop w:val="0"/>
      <w:marBottom w:val="0"/>
      <w:divBdr>
        <w:top w:val="none" w:sz="0" w:space="0" w:color="auto"/>
        <w:left w:val="none" w:sz="0" w:space="0" w:color="auto"/>
        <w:bottom w:val="none" w:sz="0" w:space="0" w:color="auto"/>
        <w:right w:val="none" w:sz="0" w:space="0" w:color="auto"/>
      </w:divBdr>
    </w:div>
    <w:div w:id="1311905039">
      <w:bodyDiv w:val="1"/>
      <w:marLeft w:val="0"/>
      <w:marRight w:val="0"/>
      <w:marTop w:val="0"/>
      <w:marBottom w:val="0"/>
      <w:divBdr>
        <w:top w:val="none" w:sz="0" w:space="0" w:color="auto"/>
        <w:left w:val="none" w:sz="0" w:space="0" w:color="auto"/>
        <w:bottom w:val="none" w:sz="0" w:space="0" w:color="auto"/>
        <w:right w:val="none" w:sz="0" w:space="0" w:color="auto"/>
      </w:divBdr>
    </w:div>
    <w:div w:id="1322540440">
      <w:bodyDiv w:val="1"/>
      <w:marLeft w:val="0"/>
      <w:marRight w:val="0"/>
      <w:marTop w:val="0"/>
      <w:marBottom w:val="0"/>
      <w:divBdr>
        <w:top w:val="none" w:sz="0" w:space="0" w:color="auto"/>
        <w:left w:val="none" w:sz="0" w:space="0" w:color="auto"/>
        <w:bottom w:val="none" w:sz="0" w:space="0" w:color="auto"/>
        <w:right w:val="none" w:sz="0" w:space="0" w:color="auto"/>
      </w:divBdr>
    </w:div>
    <w:div w:id="1334333697">
      <w:bodyDiv w:val="1"/>
      <w:marLeft w:val="0"/>
      <w:marRight w:val="0"/>
      <w:marTop w:val="0"/>
      <w:marBottom w:val="0"/>
      <w:divBdr>
        <w:top w:val="none" w:sz="0" w:space="0" w:color="auto"/>
        <w:left w:val="none" w:sz="0" w:space="0" w:color="auto"/>
        <w:bottom w:val="none" w:sz="0" w:space="0" w:color="auto"/>
        <w:right w:val="none" w:sz="0" w:space="0" w:color="auto"/>
      </w:divBdr>
    </w:div>
    <w:div w:id="1345355425">
      <w:bodyDiv w:val="1"/>
      <w:marLeft w:val="0"/>
      <w:marRight w:val="0"/>
      <w:marTop w:val="0"/>
      <w:marBottom w:val="0"/>
      <w:divBdr>
        <w:top w:val="none" w:sz="0" w:space="0" w:color="auto"/>
        <w:left w:val="none" w:sz="0" w:space="0" w:color="auto"/>
        <w:bottom w:val="none" w:sz="0" w:space="0" w:color="auto"/>
        <w:right w:val="none" w:sz="0" w:space="0" w:color="auto"/>
      </w:divBdr>
    </w:div>
    <w:div w:id="1346009672">
      <w:bodyDiv w:val="1"/>
      <w:marLeft w:val="0"/>
      <w:marRight w:val="0"/>
      <w:marTop w:val="0"/>
      <w:marBottom w:val="0"/>
      <w:divBdr>
        <w:top w:val="none" w:sz="0" w:space="0" w:color="auto"/>
        <w:left w:val="none" w:sz="0" w:space="0" w:color="auto"/>
        <w:bottom w:val="none" w:sz="0" w:space="0" w:color="auto"/>
        <w:right w:val="none" w:sz="0" w:space="0" w:color="auto"/>
      </w:divBdr>
    </w:div>
    <w:div w:id="1356157233">
      <w:bodyDiv w:val="1"/>
      <w:marLeft w:val="0"/>
      <w:marRight w:val="0"/>
      <w:marTop w:val="0"/>
      <w:marBottom w:val="0"/>
      <w:divBdr>
        <w:top w:val="none" w:sz="0" w:space="0" w:color="auto"/>
        <w:left w:val="none" w:sz="0" w:space="0" w:color="auto"/>
        <w:bottom w:val="none" w:sz="0" w:space="0" w:color="auto"/>
        <w:right w:val="none" w:sz="0" w:space="0" w:color="auto"/>
      </w:divBdr>
    </w:div>
    <w:div w:id="1388601933">
      <w:bodyDiv w:val="1"/>
      <w:marLeft w:val="0"/>
      <w:marRight w:val="0"/>
      <w:marTop w:val="0"/>
      <w:marBottom w:val="0"/>
      <w:divBdr>
        <w:top w:val="none" w:sz="0" w:space="0" w:color="auto"/>
        <w:left w:val="none" w:sz="0" w:space="0" w:color="auto"/>
        <w:bottom w:val="none" w:sz="0" w:space="0" w:color="auto"/>
        <w:right w:val="none" w:sz="0" w:space="0" w:color="auto"/>
      </w:divBdr>
    </w:div>
    <w:div w:id="1400133808">
      <w:bodyDiv w:val="1"/>
      <w:marLeft w:val="0"/>
      <w:marRight w:val="0"/>
      <w:marTop w:val="0"/>
      <w:marBottom w:val="0"/>
      <w:divBdr>
        <w:top w:val="none" w:sz="0" w:space="0" w:color="auto"/>
        <w:left w:val="none" w:sz="0" w:space="0" w:color="auto"/>
        <w:bottom w:val="none" w:sz="0" w:space="0" w:color="auto"/>
        <w:right w:val="none" w:sz="0" w:space="0" w:color="auto"/>
      </w:divBdr>
    </w:div>
    <w:div w:id="1406101996">
      <w:bodyDiv w:val="1"/>
      <w:marLeft w:val="0"/>
      <w:marRight w:val="0"/>
      <w:marTop w:val="0"/>
      <w:marBottom w:val="0"/>
      <w:divBdr>
        <w:top w:val="none" w:sz="0" w:space="0" w:color="auto"/>
        <w:left w:val="none" w:sz="0" w:space="0" w:color="auto"/>
        <w:bottom w:val="none" w:sz="0" w:space="0" w:color="auto"/>
        <w:right w:val="none" w:sz="0" w:space="0" w:color="auto"/>
      </w:divBdr>
    </w:div>
    <w:div w:id="1436364463">
      <w:bodyDiv w:val="1"/>
      <w:marLeft w:val="0"/>
      <w:marRight w:val="0"/>
      <w:marTop w:val="0"/>
      <w:marBottom w:val="0"/>
      <w:divBdr>
        <w:top w:val="none" w:sz="0" w:space="0" w:color="auto"/>
        <w:left w:val="none" w:sz="0" w:space="0" w:color="auto"/>
        <w:bottom w:val="none" w:sz="0" w:space="0" w:color="auto"/>
        <w:right w:val="none" w:sz="0" w:space="0" w:color="auto"/>
      </w:divBdr>
    </w:div>
    <w:div w:id="1446457959">
      <w:bodyDiv w:val="1"/>
      <w:marLeft w:val="0"/>
      <w:marRight w:val="0"/>
      <w:marTop w:val="0"/>
      <w:marBottom w:val="0"/>
      <w:divBdr>
        <w:top w:val="none" w:sz="0" w:space="0" w:color="auto"/>
        <w:left w:val="none" w:sz="0" w:space="0" w:color="auto"/>
        <w:bottom w:val="none" w:sz="0" w:space="0" w:color="auto"/>
        <w:right w:val="none" w:sz="0" w:space="0" w:color="auto"/>
      </w:divBdr>
    </w:div>
    <w:div w:id="1455515559">
      <w:bodyDiv w:val="1"/>
      <w:marLeft w:val="0"/>
      <w:marRight w:val="0"/>
      <w:marTop w:val="0"/>
      <w:marBottom w:val="0"/>
      <w:divBdr>
        <w:top w:val="none" w:sz="0" w:space="0" w:color="auto"/>
        <w:left w:val="none" w:sz="0" w:space="0" w:color="auto"/>
        <w:bottom w:val="none" w:sz="0" w:space="0" w:color="auto"/>
        <w:right w:val="none" w:sz="0" w:space="0" w:color="auto"/>
      </w:divBdr>
    </w:div>
    <w:div w:id="1461145258">
      <w:bodyDiv w:val="1"/>
      <w:marLeft w:val="0"/>
      <w:marRight w:val="0"/>
      <w:marTop w:val="0"/>
      <w:marBottom w:val="0"/>
      <w:divBdr>
        <w:top w:val="none" w:sz="0" w:space="0" w:color="auto"/>
        <w:left w:val="none" w:sz="0" w:space="0" w:color="auto"/>
        <w:bottom w:val="none" w:sz="0" w:space="0" w:color="auto"/>
        <w:right w:val="none" w:sz="0" w:space="0" w:color="auto"/>
      </w:divBdr>
    </w:div>
    <w:div w:id="1495991982">
      <w:bodyDiv w:val="1"/>
      <w:marLeft w:val="0"/>
      <w:marRight w:val="0"/>
      <w:marTop w:val="0"/>
      <w:marBottom w:val="0"/>
      <w:divBdr>
        <w:top w:val="none" w:sz="0" w:space="0" w:color="auto"/>
        <w:left w:val="none" w:sz="0" w:space="0" w:color="auto"/>
        <w:bottom w:val="none" w:sz="0" w:space="0" w:color="auto"/>
        <w:right w:val="none" w:sz="0" w:space="0" w:color="auto"/>
      </w:divBdr>
    </w:div>
    <w:div w:id="1497842947">
      <w:bodyDiv w:val="1"/>
      <w:marLeft w:val="0"/>
      <w:marRight w:val="0"/>
      <w:marTop w:val="0"/>
      <w:marBottom w:val="0"/>
      <w:divBdr>
        <w:top w:val="none" w:sz="0" w:space="0" w:color="auto"/>
        <w:left w:val="none" w:sz="0" w:space="0" w:color="auto"/>
        <w:bottom w:val="none" w:sz="0" w:space="0" w:color="auto"/>
        <w:right w:val="none" w:sz="0" w:space="0" w:color="auto"/>
      </w:divBdr>
    </w:div>
    <w:div w:id="1498502092">
      <w:bodyDiv w:val="1"/>
      <w:marLeft w:val="0"/>
      <w:marRight w:val="0"/>
      <w:marTop w:val="0"/>
      <w:marBottom w:val="0"/>
      <w:divBdr>
        <w:top w:val="none" w:sz="0" w:space="0" w:color="auto"/>
        <w:left w:val="none" w:sz="0" w:space="0" w:color="auto"/>
        <w:bottom w:val="none" w:sz="0" w:space="0" w:color="auto"/>
        <w:right w:val="none" w:sz="0" w:space="0" w:color="auto"/>
      </w:divBdr>
    </w:div>
    <w:div w:id="1515874616">
      <w:bodyDiv w:val="1"/>
      <w:marLeft w:val="0"/>
      <w:marRight w:val="0"/>
      <w:marTop w:val="0"/>
      <w:marBottom w:val="0"/>
      <w:divBdr>
        <w:top w:val="none" w:sz="0" w:space="0" w:color="auto"/>
        <w:left w:val="none" w:sz="0" w:space="0" w:color="auto"/>
        <w:bottom w:val="none" w:sz="0" w:space="0" w:color="auto"/>
        <w:right w:val="none" w:sz="0" w:space="0" w:color="auto"/>
      </w:divBdr>
    </w:div>
    <w:div w:id="1523392993">
      <w:bodyDiv w:val="1"/>
      <w:marLeft w:val="0"/>
      <w:marRight w:val="0"/>
      <w:marTop w:val="0"/>
      <w:marBottom w:val="0"/>
      <w:divBdr>
        <w:top w:val="none" w:sz="0" w:space="0" w:color="auto"/>
        <w:left w:val="none" w:sz="0" w:space="0" w:color="auto"/>
        <w:bottom w:val="none" w:sz="0" w:space="0" w:color="auto"/>
        <w:right w:val="none" w:sz="0" w:space="0" w:color="auto"/>
      </w:divBdr>
    </w:div>
    <w:div w:id="1546405324">
      <w:bodyDiv w:val="1"/>
      <w:marLeft w:val="0"/>
      <w:marRight w:val="0"/>
      <w:marTop w:val="0"/>
      <w:marBottom w:val="0"/>
      <w:divBdr>
        <w:top w:val="none" w:sz="0" w:space="0" w:color="auto"/>
        <w:left w:val="none" w:sz="0" w:space="0" w:color="auto"/>
        <w:bottom w:val="none" w:sz="0" w:space="0" w:color="auto"/>
        <w:right w:val="none" w:sz="0" w:space="0" w:color="auto"/>
      </w:divBdr>
    </w:div>
    <w:div w:id="1554080294">
      <w:bodyDiv w:val="1"/>
      <w:marLeft w:val="0"/>
      <w:marRight w:val="0"/>
      <w:marTop w:val="0"/>
      <w:marBottom w:val="0"/>
      <w:divBdr>
        <w:top w:val="none" w:sz="0" w:space="0" w:color="auto"/>
        <w:left w:val="none" w:sz="0" w:space="0" w:color="auto"/>
        <w:bottom w:val="none" w:sz="0" w:space="0" w:color="auto"/>
        <w:right w:val="none" w:sz="0" w:space="0" w:color="auto"/>
      </w:divBdr>
    </w:div>
    <w:div w:id="1554196177">
      <w:bodyDiv w:val="1"/>
      <w:marLeft w:val="0"/>
      <w:marRight w:val="0"/>
      <w:marTop w:val="0"/>
      <w:marBottom w:val="0"/>
      <w:divBdr>
        <w:top w:val="none" w:sz="0" w:space="0" w:color="auto"/>
        <w:left w:val="none" w:sz="0" w:space="0" w:color="auto"/>
        <w:bottom w:val="none" w:sz="0" w:space="0" w:color="auto"/>
        <w:right w:val="none" w:sz="0" w:space="0" w:color="auto"/>
      </w:divBdr>
    </w:div>
    <w:div w:id="1573080830">
      <w:bodyDiv w:val="1"/>
      <w:marLeft w:val="0"/>
      <w:marRight w:val="0"/>
      <w:marTop w:val="0"/>
      <w:marBottom w:val="0"/>
      <w:divBdr>
        <w:top w:val="none" w:sz="0" w:space="0" w:color="auto"/>
        <w:left w:val="none" w:sz="0" w:space="0" w:color="auto"/>
        <w:bottom w:val="none" w:sz="0" w:space="0" w:color="auto"/>
        <w:right w:val="none" w:sz="0" w:space="0" w:color="auto"/>
      </w:divBdr>
    </w:div>
    <w:div w:id="1578781308">
      <w:bodyDiv w:val="1"/>
      <w:marLeft w:val="0"/>
      <w:marRight w:val="0"/>
      <w:marTop w:val="0"/>
      <w:marBottom w:val="0"/>
      <w:divBdr>
        <w:top w:val="none" w:sz="0" w:space="0" w:color="auto"/>
        <w:left w:val="none" w:sz="0" w:space="0" w:color="auto"/>
        <w:bottom w:val="none" w:sz="0" w:space="0" w:color="auto"/>
        <w:right w:val="none" w:sz="0" w:space="0" w:color="auto"/>
      </w:divBdr>
    </w:div>
    <w:div w:id="1590502809">
      <w:bodyDiv w:val="1"/>
      <w:marLeft w:val="0"/>
      <w:marRight w:val="0"/>
      <w:marTop w:val="0"/>
      <w:marBottom w:val="0"/>
      <w:divBdr>
        <w:top w:val="none" w:sz="0" w:space="0" w:color="auto"/>
        <w:left w:val="none" w:sz="0" w:space="0" w:color="auto"/>
        <w:bottom w:val="none" w:sz="0" w:space="0" w:color="auto"/>
        <w:right w:val="none" w:sz="0" w:space="0" w:color="auto"/>
      </w:divBdr>
    </w:div>
    <w:div w:id="1593928187">
      <w:bodyDiv w:val="1"/>
      <w:marLeft w:val="0"/>
      <w:marRight w:val="0"/>
      <w:marTop w:val="0"/>
      <w:marBottom w:val="0"/>
      <w:divBdr>
        <w:top w:val="none" w:sz="0" w:space="0" w:color="auto"/>
        <w:left w:val="none" w:sz="0" w:space="0" w:color="auto"/>
        <w:bottom w:val="none" w:sz="0" w:space="0" w:color="auto"/>
        <w:right w:val="none" w:sz="0" w:space="0" w:color="auto"/>
      </w:divBdr>
    </w:div>
    <w:div w:id="1600289917">
      <w:bodyDiv w:val="1"/>
      <w:marLeft w:val="0"/>
      <w:marRight w:val="0"/>
      <w:marTop w:val="0"/>
      <w:marBottom w:val="0"/>
      <w:divBdr>
        <w:top w:val="none" w:sz="0" w:space="0" w:color="auto"/>
        <w:left w:val="none" w:sz="0" w:space="0" w:color="auto"/>
        <w:bottom w:val="none" w:sz="0" w:space="0" w:color="auto"/>
        <w:right w:val="none" w:sz="0" w:space="0" w:color="auto"/>
      </w:divBdr>
    </w:div>
    <w:div w:id="1604454000">
      <w:bodyDiv w:val="1"/>
      <w:marLeft w:val="0"/>
      <w:marRight w:val="0"/>
      <w:marTop w:val="0"/>
      <w:marBottom w:val="0"/>
      <w:divBdr>
        <w:top w:val="none" w:sz="0" w:space="0" w:color="auto"/>
        <w:left w:val="none" w:sz="0" w:space="0" w:color="auto"/>
        <w:bottom w:val="none" w:sz="0" w:space="0" w:color="auto"/>
        <w:right w:val="none" w:sz="0" w:space="0" w:color="auto"/>
      </w:divBdr>
    </w:div>
    <w:div w:id="1608002997">
      <w:bodyDiv w:val="1"/>
      <w:marLeft w:val="0"/>
      <w:marRight w:val="0"/>
      <w:marTop w:val="0"/>
      <w:marBottom w:val="0"/>
      <w:divBdr>
        <w:top w:val="none" w:sz="0" w:space="0" w:color="auto"/>
        <w:left w:val="none" w:sz="0" w:space="0" w:color="auto"/>
        <w:bottom w:val="none" w:sz="0" w:space="0" w:color="auto"/>
        <w:right w:val="none" w:sz="0" w:space="0" w:color="auto"/>
      </w:divBdr>
    </w:div>
    <w:div w:id="1623615231">
      <w:bodyDiv w:val="1"/>
      <w:marLeft w:val="0"/>
      <w:marRight w:val="0"/>
      <w:marTop w:val="0"/>
      <w:marBottom w:val="0"/>
      <w:divBdr>
        <w:top w:val="none" w:sz="0" w:space="0" w:color="auto"/>
        <w:left w:val="none" w:sz="0" w:space="0" w:color="auto"/>
        <w:bottom w:val="none" w:sz="0" w:space="0" w:color="auto"/>
        <w:right w:val="none" w:sz="0" w:space="0" w:color="auto"/>
      </w:divBdr>
    </w:div>
    <w:div w:id="1636787597">
      <w:bodyDiv w:val="1"/>
      <w:marLeft w:val="0"/>
      <w:marRight w:val="0"/>
      <w:marTop w:val="0"/>
      <w:marBottom w:val="0"/>
      <w:divBdr>
        <w:top w:val="none" w:sz="0" w:space="0" w:color="auto"/>
        <w:left w:val="none" w:sz="0" w:space="0" w:color="auto"/>
        <w:bottom w:val="none" w:sz="0" w:space="0" w:color="auto"/>
        <w:right w:val="none" w:sz="0" w:space="0" w:color="auto"/>
      </w:divBdr>
    </w:div>
    <w:div w:id="1717503773">
      <w:bodyDiv w:val="1"/>
      <w:marLeft w:val="0"/>
      <w:marRight w:val="0"/>
      <w:marTop w:val="0"/>
      <w:marBottom w:val="0"/>
      <w:divBdr>
        <w:top w:val="none" w:sz="0" w:space="0" w:color="auto"/>
        <w:left w:val="none" w:sz="0" w:space="0" w:color="auto"/>
        <w:bottom w:val="none" w:sz="0" w:space="0" w:color="auto"/>
        <w:right w:val="none" w:sz="0" w:space="0" w:color="auto"/>
      </w:divBdr>
    </w:div>
    <w:div w:id="1727797968">
      <w:bodyDiv w:val="1"/>
      <w:marLeft w:val="0"/>
      <w:marRight w:val="0"/>
      <w:marTop w:val="0"/>
      <w:marBottom w:val="0"/>
      <w:divBdr>
        <w:top w:val="none" w:sz="0" w:space="0" w:color="auto"/>
        <w:left w:val="none" w:sz="0" w:space="0" w:color="auto"/>
        <w:bottom w:val="none" w:sz="0" w:space="0" w:color="auto"/>
        <w:right w:val="none" w:sz="0" w:space="0" w:color="auto"/>
      </w:divBdr>
    </w:div>
    <w:div w:id="1728257087">
      <w:bodyDiv w:val="1"/>
      <w:marLeft w:val="0"/>
      <w:marRight w:val="0"/>
      <w:marTop w:val="0"/>
      <w:marBottom w:val="0"/>
      <w:divBdr>
        <w:top w:val="none" w:sz="0" w:space="0" w:color="auto"/>
        <w:left w:val="none" w:sz="0" w:space="0" w:color="auto"/>
        <w:bottom w:val="none" w:sz="0" w:space="0" w:color="auto"/>
        <w:right w:val="none" w:sz="0" w:space="0" w:color="auto"/>
      </w:divBdr>
    </w:div>
    <w:div w:id="1755590416">
      <w:bodyDiv w:val="1"/>
      <w:marLeft w:val="0"/>
      <w:marRight w:val="0"/>
      <w:marTop w:val="0"/>
      <w:marBottom w:val="0"/>
      <w:divBdr>
        <w:top w:val="none" w:sz="0" w:space="0" w:color="auto"/>
        <w:left w:val="none" w:sz="0" w:space="0" w:color="auto"/>
        <w:bottom w:val="none" w:sz="0" w:space="0" w:color="auto"/>
        <w:right w:val="none" w:sz="0" w:space="0" w:color="auto"/>
      </w:divBdr>
    </w:div>
    <w:div w:id="1763792053">
      <w:bodyDiv w:val="1"/>
      <w:marLeft w:val="0"/>
      <w:marRight w:val="0"/>
      <w:marTop w:val="0"/>
      <w:marBottom w:val="0"/>
      <w:divBdr>
        <w:top w:val="none" w:sz="0" w:space="0" w:color="auto"/>
        <w:left w:val="none" w:sz="0" w:space="0" w:color="auto"/>
        <w:bottom w:val="none" w:sz="0" w:space="0" w:color="auto"/>
        <w:right w:val="none" w:sz="0" w:space="0" w:color="auto"/>
      </w:divBdr>
    </w:div>
    <w:div w:id="1768622943">
      <w:bodyDiv w:val="1"/>
      <w:marLeft w:val="0"/>
      <w:marRight w:val="0"/>
      <w:marTop w:val="0"/>
      <w:marBottom w:val="0"/>
      <w:divBdr>
        <w:top w:val="none" w:sz="0" w:space="0" w:color="auto"/>
        <w:left w:val="none" w:sz="0" w:space="0" w:color="auto"/>
        <w:bottom w:val="none" w:sz="0" w:space="0" w:color="auto"/>
        <w:right w:val="none" w:sz="0" w:space="0" w:color="auto"/>
      </w:divBdr>
    </w:div>
    <w:div w:id="1772971020">
      <w:bodyDiv w:val="1"/>
      <w:marLeft w:val="0"/>
      <w:marRight w:val="0"/>
      <w:marTop w:val="0"/>
      <w:marBottom w:val="0"/>
      <w:divBdr>
        <w:top w:val="none" w:sz="0" w:space="0" w:color="auto"/>
        <w:left w:val="none" w:sz="0" w:space="0" w:color="auto"/>
        <w:bottom w:val="none" w:sz="0" w:space="0" w:color="auto"/>
        <w:right w:val="none" w:sz="0" w:space="0" w:color="auto"/>
      </w:divBdr>
    </w:div>
    <w:div w:id="1786919903">
      <w:bodyDiv w:val="1"/>
      <w:marLeft w:val="0"/>
      <w:marRight w:val="0"/>
      <w:marTop w:val="0"/>
      <w:marBottom w:val="0"/>
      <w:divBdr>
        <w:top w:val="none" w:sz="0" w:space="0" w:color="auto"/>
        <w:left w:val="none" w:sz="0" w:space="0" w:color="auto"/>
        <w:bottom w:val="none" w:sz="0" w:space="0" w:color="auto"/>
        <w:right w:val="none" w:sz="0" w:space="0" w:color="auto"/>
      </w:divBdr>
    </w:div>
    <w:div w:id="1788039364">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42698160">
      <w:bodyDiv w:val="1"/>
      <w:marLeft w:val="0"/>
      <w:marRight w:val="0"/>
      <w:marTop w:val="0"/>
      <w:marBottom w:val="0"/>
      <w:divBdr>
        <w:top w:val="none" w:sz="0" w:space="0" w:color="auto"/>
        <w:left w:val="none" w:sz="0" w:space="0" w:color="auto"/>
        <w:bottom w:val="none" w:sz="0" w:space="0" w:color="auto"/>
        <w:right w:val="none" w:sz="0" w:space="0" w:color="auto"/>
      </w:divBdr>
    </w:div>
    <w:div w:id="1850441557">
      <w:bodyDiv w:val="1"/>
      <w:marLeft w:val="0"/>
      <w:marRight w:val="0"/>
      <w:marTop w:val="0"/>
      <w:marBottom w:val="0"/>
      <w:divBdr>
        <w:top w:val="none" w:sz="0" w:space="0" w:color="auto"/>
        <w:left w:val="none" w:sz="0" w:space="0" w:color="auto"/>
        <w:bottom w:val="none" w:sz="0" w:space="0" w:color="auto"/>
        <w:right w:val="none" w:sz="0" w:space="0" w:color="auto"/>
      </w:divBdr>
    </w:div>
    <w:div w:id="1852866417">
      <w:bodyDiv w:val="1"/>
      <w:marLeft w:val="0"/>
      <w:marRight w:val="0"/>
      <w:marTop w:val="0"/>
      <w:marBottom w:val="0"/>
      <w:divBdr>
        <w:top w:val="none" w:sz="0" w:space="0" w:color="auto"/>
        <w:left w:val="none" w:sz="0" w:space="0" w:color="auto"/>
        <w:bottom w:val="none" w:sz="0" w:space="0" w:color="auto"/>
        <w:right w:val="none" w:sz="0" w:space="0" w:color="auto"/>
      </w:divBdr>
    </w:div>
    <w:div w:id="1869679870">
      <w:bodyDiv w:val="1"/>
      <w:marLeft w:val="0"/>
      <w:marRight w:val="0"/>
      <w:marTop w:val="0"/>
      <w:marBottom w:val="0"/>
      <w:divBdr>
        <w:top w:val="none" w:sz="0" w:space="0" w:color="auto"/>
        <w:left w:val="none" w:sz="0" w:space="0" w:color="auto"/>
        <w:bottom w:val="none" w:sz="0" w:space="0" w:color="auto"/>
        <w:right w:val="none" w:sz="0" w:space="0" w:color="auto"/>
      </w:divBdr>
    </w:div>
    <w:div w:id="1878465370">
      <w:bodyDiv w:val="1"/>
      <w:marLeft w:val="0"/>
      <w:marRight w:val="0"/>
      <w:marTop w:val="0"/>
      <w:marBottom w:val="0"/>
      <w:divBdr>
        <w:top w:val="none" w:sz="0" w:space="0" w:color="auto"/>
        <w:left w:val="none" w:sz="0" w:space="0" w:color="auto"/>
        <w:bottom w:val="none" w:sz="0" w:space="0" w:color="auto"/>
        <w:right w:val="none" w:sz="0" w:space="0" w:color="auto"/>
      </w:divBdr>
    </w:div>
    <w:div w:id="1904679845">
      <w:bodyDiv w:val="1"/>
      <w:marLeft w:val="0"/>
      <w:marRight w:val="0"/>
      <w:marTop w:val="0"/>
      <w:marBottom w:val="0"/>
      <w:divBdr>
        <w:top w:val="none" w:sz="0" w:space="0" w:color="auto"/>
        <w:left w:val="none" w:sz="0" w:space="0" w:color="auto"/>
        <w:bottom w:val="none" w:sz="0" w:space="0" w:color="auto"/>
        <w:right w:val="none" w:sz="0" w:space="0" w:color="auto"/>
      </w:divBdr>
    </w:div>
    <w:div w:id="1919824683">
      <w:bodyDiv w:val="1"/>
      <w:marLeft w:val="0"/>
      <w:marRight w:val="0"/>
      <w:marTop w:val="0"/>
      <w:marBottom w:val="0"/>
      <w:divBdr>
        <w:top w:val="none" w:sz="0" w:space="0" w:color="auto"/>
        <w:left w:val="none" w:sz="0" w:space="0" w:color="auto"/>
        <w:bottom w:val="none" w:sz="0" w:space="0" w:color="auto"/>
        <w:right w:val="none" w:sz="0" w:space="0" w:color="auto"/>
      </w:divBdr>
    </w:div>
    <w:div w:id="1934974514">
      <w:bodyDiv w:val="1"/>
      <w:marLeft w:val="0"/>
      <w:marRight w:val="0"/>
      <w:marTop w:val="0"/>
      <w:marBottom w:val="0"/>
      <w:divBdr>
        <w:top w:val="none" w:sz="0" w:space="0" w:color="auto"/>
        <w:left w:val="none" w:sz="0" w:space="0" w:color="auto"/>
        <w:bottom w:val="none" w:sz="0" w:space="0" w:color="auto"/>
        <w:right w:val="none" w:sz="0" w:space="0" w:color="auto"/>
      </w:divBdr>
    </w:div>
    <w:div w:id="1942106475">
      <w:bodyDiv w:val="1"/>
      <w:marLeft w:val="0"/>
      <w:marRight w:val="0"/>
      <w:marTop w:val="0"/>
      <w:marBottom w:val="0"/>
      <w:divBdr>
        <w:top w:val="none" w:sz="0" w:space="0" w:color="auto"/>
        <w:left w:val="none" w:sz="0" w:space="0" w:color="auto"/>
        <w:bottom w:val="none" w:sz="0" w:space="0" w:color="auto"/>
        <w:right w:val="none" w:sz="0" w:space="0" w:color="auto"/>
      </w:divBdr>
    </w:div>
    <w:div w:id="1946885264">
      <w:bodyDiv w:val="1"/>
      <w:marLeft w:val="0"/>
      <w:marRight w:val="0"/>
      <w:marTop w:val="0"/>
      <w:marBottom w:val="0"/>
      <w:divBdr>
        <w:top w:val="none" w:sz="0" w:space="0" w:color="auto"/>
        <w:left w:val="none" w:sz="0" w:space="0" w:color="auto"/>
        <w:bottom w:val="none" w:sz="0" w:space="0" w:color="auto"/>
        <w:right w:val="none" w:sz="0" w:space="0" w:color="auto"/>
      </w:divBdr>
    </w:div>
    <w:div w:id="1949509733">
      <w:bodyDiv w:val="1"/>
      <w:marLeft w:val="0"/>
      <w:marRight w:val="0"/>
      <w:marTop w:val="0"/>
      <w:marBottom w:val="0"/>
      <w:divBdr>
        <w:top w:val="none" w:sz="0" w:space="0" w:color="auto"/>
        <w:left w:val="none" w:sz="0" w:space="0" w:color="auto"/>
        <w:bottom w:val="none" w:sz="0" w:space="0" w:color="auto"/>
        <w:right w:val="none" w:sz="0" w:space="0" w:color="auto"/>
      </w:divBdr>
    </w:div>
    <w:div w:id="1952588176">
      <w:bodyDiv w:val="1"/>
      <w:marLeft w:val="0"/>
      <w:marRight w:val="0"/>
      <w:marTop w:val="0"/>
      <w:marBottom w:val="0"/>
      <w:divBdr>
        <w:top w:val="none" w:sz="0" w:space="0" w:color="auto"/>
        <w:left w:val="none" w:sz="0" w:space="0" w:color="auto"/>
        <w:bottom w:val="none" w:sz="0" w:space="0" w:color="auto"/>
        <w:right w:val="none" w:sz="0" w:space="0" w:color="auto"/>
      </w:divBdr>
    </w:div>
    <w:div w:id="1958293006">
      <w:bodyDiv w:val="1"/>
      <w:marLeft w:val="0"/>
      <w:marRight w:val="0"/>
      <w:marTop w:val="0"/>
      <w:marBottom w:val="0"/>
      <w:divBdr>
        <w:top w:val="none" w:sz="0" w:space="0" w:color="auto"/>
        <w:left w:val="none" w:sz="0" w:space="0" w:color="auto"/>
        <w:bottom w:val="none" w:sz="0" w:space="0" w:color="auto"/>
        <w:right w:val="none" w:sz="0" w:space="0" w:color="auto"/>
      </w:divBdr>
    </w:div>
    <w:div w:id="1960523970">
      <w:bodyDiv w:val="1"/>
      <w:marLeft w:val="0"/>
      <w:marRight w:val="0"/>
      <w:marTop w:val="0"/>
      <w:marBottom w:val="0"/>
      <w:divBdr>
        <w:top w:val="none" w:sz="0" w:space="0" w:color="auto"/>
        <w:left w:val="none" w:sz="0" w:space="0" w:color="auto"/>
        <w:bottom w:val="none" w:sz="0" w:space="0" w:color="auto"/>
        <w:right w:val="none" w:sz="0" w:space="0" w:color="auto"/>
      </w:divBdr>
    </w:div>
    <w:div w:id="1965967227">
      <w:bodyDiv w:val="1"/>
      <w:marLeft w:val="0"/>
      <w:marRight w:val="0"/>
      <w:marTop w:val="0"/>
      <w:marBottom w:val="0"/>
      <w:divBdr>
        <w:top w:val="none" w:sz="0" w:space="0" w:color="auto"/>
        <w:left w:val="none" w:sz="0" w:space="0" w:color="auto"/>
        <w:bottom w:val="none" w:sz="0" w:space="0" w:color="auto"/>
        <w:right w:val="none" w:sz="0" w:space="0" w:color="auto"/>
      </w:divBdr>
    </w:div>
    <w:div w:id="1974092402">
      <w:bodyDiv w:val="1"/>
      <w:marLeft w:val="0"/>
      <w:marRight w:val="0"/>
      <w:marTop w:val="0"/>
      <w:marBottom w:val="0"/>
      <w:divBdr>
        <w:top w:val="none" w:sz="0" w:space="0" w:color="auto"/>
        <w:left w:val="none" w:sz="0" w:space="0" w:color="auto"/>
        <w:bottom w:val="none" w:sz="0" w:space="0" w:color="auto"/>
        <w:right w:val="none" w:sz="0" w:space="0" w:color="auto"/>
      </w:divBdr>
    </w:div>
    <w:div w:id="2011760336">
      <w:bodyDiv w:val="1"/>
      <w:marLeft w:val="0"/>
      <w:marRight w:val="0"/>
      <w:marTop w:val="0"/>
      <w:marBottom w:val="0"/>
      <w:divBdr>
        <w:top w:val="none" w:sz="0" w:space="0" w:color="auto"/>
        <w:left w:val="none" w:sz="0" w:space="0" w:color="auto"/>
        <w:bottom w:val="none" w:sz="0" w:space="0" w:color="auto"/>
        <w:right w:val="none" w:sz="0" w:space="0" w:color="auto"/>
      </w:divBdr>
    </w:div>
    <w:div w:id="2023238776">
      <w:bodyDiv w:val="1"/>
      <w:marLeft w:val="0"/>
      <w:marRight w:val="0"/>
      <w:marTop w:val="0"/>
      <w:marBottom w:val="0"/>
      <w:divBdr>
        <w:top w:val="none" w:sz="0" w:space="0" w:color="auto"/>
        <w:left w:val="none" w:sz="0" w:space="0" w:color="auto"/>
        <w:bottom w:val="none" w:sz="0" w:space="0" w:color="auto"/>
        <w:right w:val="none" w:sz="0" w:space="0" w:color="auto"/>
      </w:divBdr>
    </w:div>
    <w:div w:id="2025744884">
      <w:bodyDiv w:val="1"/>
      <w:marLeft w:val="0"/>
      <w:marRight w:val="0"/>
      <w:marTop w:val="0"/>
      <w:marBottom w:val="0"/>
      <w:divBdr>
        <w:top w:val="none" w:sz="0" w:space="0" w:color="auto"/>
        <w:left w:val="none" w:sz="0" w:space="0" w:color="auto"/>
        <w:bottom w:val="none" w:sz="0" w:space="0" w:color="auto"/>
        <w:right w:val="none" w:sz="0" w:space="0" w:color="auto"/>
      </w:divBdr>
    </w:div>
    <w:div w:id="2035232631">
      <w:bodyDiv w:val="1"/>
      <w:marLeft w:val="0"/>
      <w:marRight w:val="0"/>
      <w:marTop w:val="0"/>
      <w:marBottom w:val="0"/>
      <w:divBdr>
        <w:top w:val="none" w:sz="0" w:space="0" w:color="auto"/>
        <w:left w:val="none" w:sz="0" w:space="0" w:color="auto"/>
        <w:bottom w:val="none" w:sz="0" w:space="0" w:color="auto"/>
        <w:right w:val="none" w:sz="0" w:space="0" w:color="auto"/>
      </w:divBdr>
    </w:div>
    <w:div w:id="2086028170">
      <w:bodyDiv w:val="1"/>
      <w:marLeft w:val="0"/>
      <w:marRight w:val="0"/>
      <w:marTop w:val="0"/>
      <w:marBottom w:val="0"/>
      <w:divBdr>
        <w:top w:val="none" w:sz="0" w:space="0" w:color="auto"/>
        <w:left w:val="none" w:sz="0" w:space="0" w:color="auto"/>
        <w:bottom w:val="none" w:sz="0" w:space="0" w:color="auto"/>
        <w:right w:val="none" w:sz="0" w:space="0" w:color="auto"/>
      </w:divBdr>
    </w:div>
    <w:div w:id="21311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donrgov.sharepoint.com/sites/HOW2Hub/_layouts/15/DocIdRedir.aspx?ID=ONRHH-822789359-20105" TargetMode="External"/><Relationship Id="rId18" Type="http://schemas.openxmlformats.org/officeDocument/2006/relationships/hyperlink" Target="http://www.iaea.org" TargetMode="Externa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aea.org" TargetMode="External"/><Relationship Id="rId2" Type="http://schemas.openxmlformats.org/officeDocument/2006/relationships/customXml" Target="../customXml/item1.xml"/><Relationship Id="rId16" Type="http://schemas.openxmlformats.org/officeDocument/2006/relationships/hyperlink" Target="http://www.iaea.org"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onr.org.uk/saps/saps2014.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n.wikipedia.org/wiki/Demol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6" ma:contentTypeDescription="Create a new document." ma:contentTypeScope="" ma:versionID="41db1cc4f542b7d9451b5349327def09">
  <xsd:schema xmlns:xsd="http://www.w3.org/2001/XMLSchema" xmlns:xs="http://www.w3.org/2001/XMLSchema" xmlns:p="http://schemas.microsoft.com/office/2006/metadata/properties" xmlns:ns1="http://schemas.microsoft.com/sharepoint/v3" xmlns:ns3="e7136045-8404-4488-8b75-837c2c7b996a" targetNamespace="http://schemas.microsoft.com/office/2006/metadata/properties" ma:root="true" ma:fieldsID="701eb8b2f0b7f513fba525fef7b81865" ns1:_="" ns3:_="">
    <xsd:import namespace="http://schemas.microsoft.com/sharepoint/v3"/>
    <xsd:import namespace="e7136045-8404-4488-8b75-837c2c7b996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Version="2006">
  <b:Source>
    <b:Tag>ONR111</b:Tag>
    <b:SourceType>Report</b:SourceType>
    <b:Guid>{9F7A57F5-6849-4BB2-A0CE-32B5D87DBD55}</b:Guid>
    <b:Author>
      <b:Author>
        <b:Corporate>ONR</b:Corporate>
      </b:Author>
    </b:Author>
    <b:Title>Japanese earthquake and tsunami: Implications for the UK nuclear industry. Final Report. HM Chief Inspector of Nuclear Installations</b:Title>
    <b:Year>September 2011, www.onr.org.uk/fukushima/final-report.pdf</b:Year>
    <b:RefOrder>3</b:RefOrder>
  </b:Source>
  <b:Source>
    <b:Tag>BSE</b:Tag>
    <b:SourceType>Report</b:SourceType>
    <b:Guid>{74C6D0C2-1FCF-49A2-9C17-368F8D9F0289}</b:Guid>
    <b:Author>
      <b:Author>
        <b:Corporate>BSI</b:Corporate>
      </b:Author>
    </b:Author>
    <b:Title>BS EN/IEC 62305-1:2011 Protection against Lightning. General Principles</b:Title>
    <b:Year>June 2011</b:Year>
    <b:RefOrder>4</b:RefOrder>
  </b:Source>
  <b:Source>
    <b:Tag>EAO17</b:Tag>
    <b:SourceType>Report</b:SourceType>
    <b:Guid>{A72FB219-273F-439F-A34E-7308437669F8}</b:Guid>
    <b:Author>
      <b:Author>
        <b:Corporate>EA &amp; ONR</b:Corporate>
      </b:Author>
    </b:Author>
    <b:Title>Principles for Flood and Coastal Erosion Risk Management - Office for Nuclear Regulation and Environment Agency Joint Advice Note, Ver. 1</b:Title>
    <b:Year>July 2017, http://www.onr.org.uk/guidance.htm</b:Year>
    <b:RefOrder>5</b:RefOrder>
  </b:Source>
  <b:Source>
    <b:Tag>Env07</b:Tag>
    <b:SourceType>Report</b:SourceType>
    <b:Guid>{52BDAD7F-7FF4-4B2B-A45B-39B1183AED83}</b:Guid>
    <b:Author>
      <b:Author>
        <b:Corporate>Environment Agency</b:Corporate>
      </b:Author>
    </b:Author>
    <b:Title>Flood estimation guidelines, Version 6</b:Title>
    <b:Year>May 2017</b:Year>
    <b:RefOrder>6</b:RefOrder>
  </b:Source>
  <b:Source>
    <b:Tag>Ins99</b:Tag>
    <b:SourceType>Report</b:SourceType>
    <b:Guid>{71A97731-4A7B-485D-8A27-F56186A83A18}</b:Guid>
    <b:Author>
      <b:Author>
        <b:Corporate>Centre for Ecology and Hydrology</b:Corporate>
      </b:Author>
    </b:Author>
    <b:Title>Flood estimation handbook</b:Title>
    <b:Year>May 2016, https://www.ceh.ac.uk/services/flood-estimation-handbook-web-service</b:Year>
    <b:RefOrder>7</b:RefOrder>
  </b:Source>
  <b:Source>
    <b:Tag>USN</b:Tag>
    <b:SourceType>Report</b:SourceType>
    <b:Guid>{3EEFB6EA-320D-430F-92E9-CA4E67C413B1}</b:Guid>
    <b:Author>
      <b:Author>
        <b:Corporate>USNRC</b:Corporate>
      </b:Author>
    </b:Author>
    <b:Title>NUREG 0800 Sect. 2.2.1, Standard Review Plan for NPPs - Regional Climatology</b:Title>
    <b:Year>March 2007, https://www.nrc.gov/docs/ML0636/ML063600393.pdf</b:Year>
    <b:RefOrder>8</b:RefOrder>
  </b:Source>
  <b:Source>
    <b:Tag>WENdf3</b:Tag>
    <b:SourceType>Report</b:SourceType>
    <b:Guid>{47C78048-45ED-46D7-8CD6-BFA6C08CFD76}</b:Guid>
    <b:Author>
      <b:Author>
        <b:Corporate>WENRA RHWG</b:Corporate>
      </b:Author>
    </b:Author>
    <b:Title>Guidance Document Issue T: Natural Hazards - Guidance on Extreme Weather Conditions</b:Title>
    <b:Year>11 October 2016, www.wenra.org/media/filer_public/2016/11/04/wenra_guidance_on_extreme_weather_conditions_-_2016-10-11.pdf</b:Year>
    <b:RefOrder>9</b:RefOrder>
  </b:Source>
  <b:Source>
    <b:Tag>WENdf4</b:Tag>
    <b:SourceType>Report</b:SourceType>
    <b:Guid>{87E88418-803F-4930-9711-76F80880F1DD}</b:Guid>
    <b:Author>
      <b:Author>
        <b:Corporate>WENRA RWHG</b:Corporate>
      </b:Author>
    </b:Author>
    <b:Title>Guidance Document Issue T: Natural Hazards - Guidance on External Flooding</b:Title>
    <b:Year>11 October 2016, http://www.wenra.org/media/filer_public/2016/11/04/wenra_guidance_on_external_flooding_-_2016-10-11.pdf</b:Year>
    <b:RefOrder>10</b:RefOrder>
  </b:Source>
  <b:Source>
    <b:Tag>Natdf</b:Tag>
    <b:SourceType>Report</b:SourceType>
    <b:Guid>{66A44E31-A343-4F21-9A16-3116DB0A7F7A}</b:Guid>
    <b:Author>
      <b:Author>
        <b:Corporate>Natural Resources Wales</b:Corporate>
      </b:Author>
    </b:Author>
    <b:Title>Flood estimation technical guidance</b:Title>
    <b:Year>https://naturalresources.wales/media/683757/gn008-flood-estimation-technical-guidance.pdf</b:Year>
    <b:RefOrder>11</b:RefOrder>
  </b:Source>
  <b:Source>
    <b:Tag>Scodf</b:Tag>
    <b:SourceType>Report</b:SourceType>
    <b:Guid>{E457C0B9-3CB5-408A-A609-3C7ADC200314}</b:Guid>
    <b:Author>
      <b:Author>
        <b:Corporate>Scottish Environmental Protection Agency</b:Corporate>
      </b:Author>
    </b:Author>
    <b:Title>Technical Flood Risk Guidance for Stakeholders, SS-NFR-P-002 ver. 9.1</b:Title>
    <b:Year>June 2015, https://www.sepa.org.uk/media/162602/ss-nfr-p-002-technical-flood-risk-guidance-for-stakeholders.pdf</b:Year>
    <b:RefOrder>12</b:RefOrder>
  </b:Source>
  <b:Source>
    <b:Tag>ONR173</b:Tag>
    <b:SourceType>Report</b:SourceType>
    <b:Guid>{32BF5AA5-7C3F-443B-A41B-72E04D23307C}</b:Guid>
    <b:Author>
      <b:Author>
        <b:Corporate>ONR</b:Corporate>
      </b:Author>
    </b:Author>
    <b:Title>NS-TAST-GD-013 Rev. 7, Nuclear Safety Technical Assessment Guide: External Hazards</b:Title>
    <b:Year>2018</b:Year>
    <b:RefOrder>1</b:RefOrder>
  </b:Source>
  <b:Source>
    <b:Tag>ONR14</b:Tag>
    <b:SourceType>Report</b:SourceType>
    <b:Guid>{3910358D-872F-4514-9A88-B6A9F6EB18AB}</b:Guid>
    <b:Author>
      <b:Author>
        <b:Corporate>ONR</b:Corporate>
      </b:Author>
    </b:Author>
    <b:Title>Safety Assessment Principles for Nuclear Facilities, 2014 Edition, Rev 0</b:Title>
    <b:Year>November 2014, www.onr.org.uk/saps/saps2014.pdf</b:Year>
    <b:RefOrder>2</b:RefOrder>
  </b:Source>
  <b:Source>
    <b:Tag>NAt07</b:Tag>
    <b:SourceType>Report</b:SourceType>
    <b:Guid>{A6888775-15F2-4F66-BE69-AE9F78FA0E19}</b:Guid>
    <b:Author>
      <b:Author>
        <b:Corporate>BSI</b:Corporate>
      </b:Author>
    </b:Author>
    <b:Title>NA to BS EN 1991-1-5: 2003, UK National Annex to Eurocode 1: Actions on Structures: Part 1-5: General Actions – Thermal Actions.</b:Title>
    <b:Year>2007</b:Year>
    <b:RefOrder>13</b:RefOrder>
  </b:Source>
  <b:Source>
    <b:Tag>NAt11</b:Tag>
    <b:SourceType>Report</b:SourceType>
    <b:Guid>{8C0E1004-5086-41B9-BE8E-96D7840235D6}</b:Guid>
    <b:Author>
      <b:Author>
        <b:Corporate>BSI</b:Corporate>
      </b:Author>
    </b:Author>
    <b:Title>NA to BS EN 1991-1-4 + A1:2010, UK National Annex to Eurocode 1: Actions on Structures: Part 1-4: General Actions – Wind Actions</b:Title>
    <b:Year>2011</b:Year>
    <b:RefOrder>14</b:RefOrder>
  </b:Source>
  <b:Source>
    <b:Tag>GTM85</b:Tag>
    <b:SourceType>Report</b:SourceType>
    <b:Guid>{4BECFD52-1872-450D-8C59-77A20DCFCC7B}</b:Guid>
    <b:Author>
      <b:Author>
        <b:Corporate>Meaden, G.T.</b:Corporate>
      </b:Author>
    </b:Author>
    <b:Title>A Study of Tornadoes in Britain with Assessments of the Central Tornado Risk Potential and the Specific Risk Potential at Particular Regional Sites, Prepared for ONR</b:Title>
    <b:Year>1985</b:Year>
    <b:RefOrder>15</b:RefOrder>
  </b:Source>
  <b:Source>
    <b:Tag>CGC16</b:Tag>
    <b:SourceType>Report</b:SourceType>
    <b:Guid>{1B8CFB10-D852-459F-95AD-B586A0B2D121}</b:Guid>
    <b:Author>
      <b:Author>
        <b:Corporate>Collier, C.G.</b:Corporate>
      </b:Author>
    </b:Author>
    <b:Title>Hydrometeorology (Advancing Weather and Climate Science), pub. Wiley</b:Title>
    <b:Year>ISBN 978-1118414972, 2016</b:Year>
    <b:RefOrder>16</b:RefOrder>
  </b:Source>
  <b:Source>
    <b:Tag>TRKdf</b:Tag>
    <b:SourceType>Report</b:SourceType>
    <b:Guid>{06A49F1F-0AE4-4033-B5EA-CB66D8AC94C5}</b:Guid>
    <b:Author>
      <b:Author>
        <b:Corporate>Kjeldsen, T. R.</b:Corporate>
      </b:Author>
    </b:Author>
    <b:Title>Flood estimation handbook supplementary report 1. The revitalised FSR/FEH rainfall–runoff method</b:Title>
    <b:Year>Centre for Ecology and Hydrology, 2007,  http://www.ceh.ac.uk/sections/hrr/documents/FEHSR1finalreportx.pdf</b:Year>
    <b:RefOrder>17</b:RefOrder>
  </b:Source>
  <b:Source>
    <b:Tag>WMOdf</b:Tag>
    <b:SourceType>Report</b:SourceType>
    <b:Guid>{80CFAC86-B677-4AFA-AD02-359A84AD0C9F}</b:Guid>
    <b:Author>
      <b:Author>
        <b:Corporate>WMO</b:Corporate>
      </b:Author>
    </b:Author>
    <b:Title>A research activity on High Impact Weather</b:Title>
    <b:Year>2014, https://www.wmo.int/pages/prog/arep/wwrp/new/documents/HIW_IP_v1_4.pdf</b:Year>
    <b:RefOrder>18</b:RefOrder>
  </b:Source>
  <b:Source>
    <b:Tag>ECEep</b:Tag>
    <b:SourceType>Report</b:SourceType>
    <b:Guid>{E6BFFA3C-A746-4AF6-AD45-E62EC184E643}</b:Guid>
    <b:Author>
      <b:Author>
        <b:Corporate>ECEP</b:Corporate>
      </b:Author>
    </b:Author>
    <b:Title>ECEP Vision and Mission</b:Title>
    <b:Year>https://www.c3we.ucar.edu/ecep</b:Year>
    <b:RefOrder>19</b:RefOrder>
  </b:Source>
  <b:Source>
    <b:Tag>BSE05</b:Tag>
    <b:SourceType>Report</b:SourceType>
    <b:Guid>{DBBDF208-5EDE-4AAF-9410-66E2CFDA1391}</b:Guid>
    <b:Author>
      <b:Author>
        <b:Corporate>BSI</b:Corporate>
      </b:Author>
    </b:Author>
    <b:Title>BS EN 1991-1-4: 2005. Eurocode 1: Actions on Structures - Part 1-4: General Actions – Wind Actions</b:Title>
    <b:Year>European Committee for Standardisation, Brussels, 2005</b:Year>
    <b:RefOrder>20</b:RefOrder>
  </b:Source>
  <b:Source>
    <b:Tag>8BS03</b:Tag>
    <b:SourceType>Report</b:SourceType>
    <b:Guid>{ABC75BB7-F999-408B-A0E5-463BD8C1FDC6}</b:Guid>
    <b:Author>
      <b:Author>
        <b:Corporate>BSI</b:Corporate>
      </b:Author>
    </b:Author>
    <b:Title>BS EN 1991-1-3: 2003. Eurocode 1: Actions on Structures - Part 1-3: General Actions – Snow loads</b:Title>
    <b:Year>European Committee for Standardisation, Brussels, 2003</b:Year>
    <b:RefOrder>21</b:RefOrder>
  </b:Source>
  <b:Source>
    <b:Tag>10B03</b:Tag>
    <b:SourceType>Report</b:SourceType>
    <b:Guid>{488A78CD-CEAD-43CF-AFDE-87DBF838A508}</b:Guid>
    <b:Author>
      <b:Author>
        <b:Corporate>BSI</b:Corporate>
      </b:Author>
    </b:Author>
    <b:Title>BS EN 1991-1-5: 2003. Eurocode 1: Actions on Structures - Part 1-5: General Actions – Thermal Actions</b:Title>
    <b:Year>European Committee for Standardisation, Brussels, 2003</b:Year>
    <b:RefOrder>22</b:RefOrder>
  </b:Source>
  <b:Source>
    <b:Tag>9NA07</b:Tag>
    <b:SourceType>Report</b:SourceType>
    <b:Guid>{9C1C2909-6EB1-436F-BBE7-74BA4294D0D7}</b:Guid>
    <b:Author>
      <b:Author>
        <b:Corporate>BSI</b:Corporate>
      </b:Author>
    </b:Author>
    <b:Title>NA to BS EN 1991-1-3: 2003, UK National Annex to Eurocode 1: Actions on Structures: Part 1-3: General Actions – Snow loads</b:Title>
    <b:Year>2007</b:Year>
    <b:RefOrder>23</b:RefOrder>
  </b:Source>
  <b:Source>
    <b:Tag>7PD09</b:Tag>
    <b:SourceType>Report</b:SourceType>
    <b:Guid>{5808245A-4E84-4318-824D-F49F0A1390C2}</b:Guid>
    <b:Author>
      <b:Author>
        <b:Corporate>BSI</b:Corporate>
      </b:Author>
    </b:Author>
    <b:Title>PD 6688-1-4: 2009. Background paper to National Annex to BS EN 1991-1-4</b:Title>
    <b:Year>2009</b:Year>
    <b:RefOrder>24</b:RefOrder>
  </b:Source>
  <b:Source>
    <b:Tag>UKMuk</b:Tag>
    <b:SourceType>Report</b:SourceType>
    <b:Guid>{D0C178D0-F006-4E2D-B207-4EA2C1F9828C}</b:Guid>
    <b:Author>
      <b:Author>
        <b:Corporate>UK Met. Office</b:Corporate>
      </b:Author>
    </b:Author>
    <b:Title>UK Climate Projections (UKCP09)</b:Title>
    <b:Year>2009, http://ukclimateprojections.defra.gov.uk/</b:Year>
    <b:RefOrder>25</b:RefOrder>
  </b:Source>
  <b:Source>
    <b:Tag>IPC13</b:Tag>
    <b:SourceType>Report</b:SourceType>
    <b:Guid>{AF6B6E29-B6EB-4097-84AE-BCAAB6D146F1}</b:Guid>
    <b:Author>
      <b:Author>
        <b:Corporate>IPCC</b:Corporate>
      </b:Author>
    </b:Author>
    <b:Title>Climate Change 2013: The Physical Science Basis. Contribution of Working Group 1 to the Fifth Assessment Report of the Intergovernmental Panel on Climate Change</b:Title>
    <b:Year>Cambridge Univ. Press, 2013</b:Year>
    <b:RefOrder>26</b:RefOrder>
  </b:Source>
  <b:Source>
    <b:Tag>IAE11</b:Tag>
    <b:SourceType>Report</b:SourceType>
    <b:Guid>{4DDA5F40-717F-4C32-9B63-A95D2FE6C3BB}</b:Guid>
    <b:Author>
      <b:Author>
        <b:Corporate>IAEA</b:Corporate>
      </b:Author>
    </b:Author>
    <b:Title>Specific Safety Guide No. SSG-18, Meteorological and Hydrological Hazards in Site Evaluation for Nuclear Installations</b:Title>
    <b:Year>2011, www-pub.iaea.org/MTCD/publications/PDF/Pub1506 web.pdf</b:Year>
    <b:RefOrder>27</b:RefOrder>
  </b:Source>
  <b:Source>
    <b:Tag>ONRdf</b:Tag>
    <b:SourceType>Report</b:SourceType>
    <b:Guid>{77E6A5F0-C0B7-4248-A49B-FAD441B1E49D}</b:Guid>
    <b:Author>
      <b:Author>
        <b:Corporate>ONR</b:Corporate>
      </b:Author>
    </b:Author>
    <b:Title>NS-TAST-GD-017, Rev. 3, Nuclear Safety Technical Assessment Guide: Civil Engineering</b:Title>
    <b:Year>May 2013, www.onr.org.uk/operational/tech_asst_guides/ns-tast-gd-017.pdf</b:Year>
    <b:RefOrder>28</b:RefOrder>
  </b:Source>
  <b:Source>
    <b:Tag>ONR16</b:Tag>
    <b:SourceType>Report</b:SourceType>
    <b:Guid>{6065220F-5722-4CCC-BCD9-6D852B483929}</b:Guid>
    <b:Author>
      <b:Author>
        <b:Corporate>ONR</b:Corporate>
      </b:Author>
    </b:Author>
    <b:Title>NS-TAST-GD-030, Rev.5, Nuclear Safety Technical Assessment Guide: Probabilistic Safety Analysis</b:Title>
    <b:Year>June 2016, http://www.onr.org.uk/operational/tech_asst_guides/ns-tast-gd-030.pdf</b:Year>
    <b:RefOrder>29</b:RefOrder>
  </b:Source>
  <b:Source>
    <b:Tag>ONRnn</b:Tag>
    <b:SourceType>Report</b:SourceType>
    <b:Guid>{1B4CE248-475A-4125-96ED-159919BAFF84}</b:Guid>
    <b:Author>
      <b:Author>
        <b:Corporate>ONR Expert Panel on Natural Hazards</b:Corporate>
      </b:Author>
    </b:Author>
    <b:Title>Analysis of Meteorological Hazards for Nuclear Sites</b:Title>
    <b:Year>Expert Panel Paper No: GEN-MCFH-EP-2017-1, 2018</b:Year>
    <b:RefOrder>30</b:RefOrder>
  </b:Source>
  <b:Source>
    <b:Tag>ONR172</b:Tag>
    <b:SourceType>Report</b:SourceType>
    <b:Guid>{3DDAA598-F374-4670-9105-62E3F3C683A7}</b:Guid>
    <b:Author>
      <b:Author>
        <b:Corporate>ONR</b:Corporate>
      </b:Author>
    </b:Author>
    <b:Title>NS-TAST-GD-013 Annex 3, Rev. 1: Coastal Flood Hazards</b:Title>
    <b:Year>2018</b:Year>
    <b:RefOrder>31</b:RefOrder>
  </b:Source>
</b:Sources>
</file>

<file path=customXml/itemProps1.xml><?xml version="1.0" encoding="utf-8"?>
<ds:datastoreItem xmlns:ds="http://schemas.openxmlformats.org/officeDocument/2006/customXml" ds:itemID="{7010C06A-72D3-415A-AF75-1FEC3D4E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04C8E-1708-4627-BF71-FE1371E69D20}">
  <ds:schemaRefs>
    <ds:schemaRef ds:uri="http://schemas.microsoft.com/sharepoint/v3/contenttype/forms"/>
  </ds:schemaRefs>
</ds:datastoreItem>
</file>

<file path=customXml/itemProps3.xml><?xml version="1.0" encoding="utf-8"?>
<ds:datastoreItem xmlns:ds="http://schemas.openxmlformats.org/officeDocument/2006/customXml" ds:itemID="{5F655D61-8B5C-487A-81B2-741C2DAB76E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14712B0-E4DB-45E1-81DA-4A34379C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15618</Words>
  <Characters>89029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104439</CharactersWithSpaces>
  <SharedDoc>false</SharedDoc>
  <HLinks>
    <vt:vector size="150" baseType="variant">
      <vt:variant>
        <vt:i4>5505112</vt:i4>
      </vt:variant>
      <vt:variant>
        <vt:i4>129</vt:i4>
      </vt:variant>
      <vt:variant>
        <vt:i4>0</vt:i4>
      </vt:variant>
      <vt:variant>
        <vt:i4>5</vt:i4>
      </vt:variant>
      <vt:variant>
        <vt:lpwstr>http://www.iaea.org/</vt:lpwstr>
      </vt:variant>
      <vt:variant>
        <vt:lpwstr/>
      </vt:variant>
      <vt:variant>
        <vt:i4>5963803</vt:i4>
      </vt:variant>
      <vt:variant>
        <vt:i4>126</vt:i4>
      </vt:variant>
      <vt:variant>
        <vt:i4>0</vt:i4>
      </vt:variant>
      <vt:variant>
        <vt:i4>5</vt:i4>
      </vt:variant>
      <vt:variant>
        <vt:lpwstr>http://www.wenra.org/</vt:lpwstr>
      </vt:variant>
      <vt:variant>
        <vt:lpwstr/>
      </vt:variant>
      <vt:variant>
        <vt:i4>6357117</vt:i4>
      </vt:variant>
      <vt:variant>
        <vt:i4>123</vt:i4>
      </vt:variant>
      <vt:variant>
        <vt:i4>0</vt:i4>
      </vt:variant>
      <vt:variant>
        <vt:i4>5</vt:i4>
      </vt:variant>
      <vt:variant>
        <vt:lpwstr>http://www.onr.org.uk/operational/tech_asst_guides/index.htm</vt:lpwstr>
      </vt:variant>
      <vt:variant>
        <vt:lpwstr/>
      </vt:variant>
      <vt:variant>
        <vt:i4>3932269</vt:i4>
      </vt:variant>
      <vt:variant>
        <vt:i4>120</vt:i4>
      </vt:variant>
      <vt:variant>
        <vt:i4>0</vt:i4>
      </vt:variant>
      <vt:variant>
        <vt:i4>5</vt:i4>
      </vt:variant>
      <vt:variant>
        <vt:lpwstr>http://www.onr.org.uk/saps/saps2014.pdf</vt:lpwstr>
      </vt:variant>
      <vt:variant>
        <vt:lpwstr/>
      </vt:variant>
      <vt:variant>
        <vt:i4>3604539</vt:i4>
      </vt:variant>
      <vt:variant>
        <vt:i4>117</vt:i4>
      </vt:variant>
      <vt:variant>
        <vt:i4>0</vt:i4>
      </vt:variant>
      <vt:variant>
        <vt:i4>5</vt:i4>
      </vt:variant>
      <vt:variant>
        <vt:lpwstr>http://www.onr.org.uk/operational/assessment/index.htm</vt:lpwstr>
      </vt:variant>
      <vt:variant>
        <vt:lpwstr/>
      </vt:variant>
      <vt:variant>
        <vt:i4>1769530</vt:i4>
      </vt:variant>
      <vt:variant>
        <vt:i4>110</vt:i4>
      </vt:variant>
      <vt:variant>
        <vt:i4>0</vt:i4>
      </vt:variant>
      <vt:variant>
        <vt:i4>5</vt:i4>
      </vt:variant>
      <vt:variant>
        <vt:lpwstr/>
      </vt:variant>
      <vt:variant>
        <vt:lpwstr>_Toc389130357</vt:lpwstr>
      </vt:variant>
      <vt:variant>
        <vt:i4>1769530</vt:i4>
      </vt:variant>
      <vt:variant>
        <vt:i4>104</vt:i4>
      </vt:variant>
      <vt:variant>
        <vt:i4>0</vt:i4>
      </vt:variant>
      <vt:variant>
        <vt:i4>5</vt:i4>
      </vt:variant>
      <vt:variant>
        <vt:lpwstr/>
      </vt:variant>
      <vt:variant>
        <vt:lpwstr>_Toc389130356</vt:lpwstr>
      </vt:variant>
      <vt:variant>
        <vt:i4>1769530</vt:i4>
      </vt:variant>
      <vt:variant>
        <vt:i4>98</vt:i4>
      </vt:variant>
      <vt:variant>
        <vt:i4>0</vt:i4>
      </vt:variant>
      <vt:variant>
        <vt:i4>5</vt:i4>
      </vt:variant>
      <vt:variant>
        <vt:lpwstr/>
      </vt:variant>
      <vt:variant>
        <vt:lpwstr>_Toc389130355</vt:lpwstr>
      </vt:variant>
      <vt:variant>
        <vt:i4>1769530</vt:i4>
      </vt:variant>
      <vt:variant>
        <vt:i4>92</vt:i4>
      </vt:variant>
      <vt:variant>
        <vt:i4>0</vt:i4>
      </vt:variant>
      <vt:variant>
        <vt:i4>5</vt:i4>
      </vt:variant>
      <vt:variant>
        <vt:lpwstr/>
      </vt:variant>
      <vt:variant>
        <vt:lpwstr>_Toc389130354</vt:lpwstr>
      </vt:variant>
      <vt:variant>
        <vt:i4>1769530</vt:i4>
      </vt:variant>
      <vt:variant>
        <vt:i4>86</vt:i4>
      </vt:variant>
      <vt:variant>
        <vt:i4>0</vt:i4>
      </vt:variant>
      <vt:variant>
        <vt:i4>5</vt:i4>
      </vt:variant>
      <vt:variant>
        <vt:lpwstr/>
      </vt:variant>
      <vt:variant>
        <vt:lpwstr>_Toc389130353</vt:lpwstr>
      </vt:variant>
      <vt:variant>
        <vt:i4>1769530</vt:i4>
      </vt:variant>
      <vt:variant>
        <vt:i4>80</vt:i4>
      </vt:variant>
      <vt:variant>
        <vt:i4>0</vt:i4>
      </vt:variant>
      <vt:variant>
        <vt:i4>5</vt:i4>
      </vt:variant>
      <vt:variant>
        <vt:lpwstr/>
      </vt:variant>
      <vt:variant>
        <vt:lpwstr>_Toc389130352</vt:lpwstr>
      </vt:variant>
      <vt:variant>
        <vt:i4>1769530</vt:i4>
      </vt:variant>
      <vt:variant>
        <vt:i4>74</vt:i4>
      </vt:variant>
      <vt:variant>
        <vt:i4>0</vt:i4>
      </vt:variant>
      <vt:variant>
        <vt:i4>5</vt:i4>
      </vt:variant>
      <vt:variant>
        <vt:lpwstr/>
      </vt:variant>
      <vt:variant>
        <vt:lpwstr>_Toc389130351</vt:lpwstr>
      </vt:variant>
      <vt:variant>
        <vt:i4>1769530</vt:i4>
      </vt:variant>
      <vt:variant>
        <vt:i4>68</vt:i4>
      </vt:variant>
      <vt:variant>
        <vt:i4>0</vt:i4>
      </vt:variant>
      <vt:variant>
        <vt:i4>5</vt:i4>
      </vt:variant>
      <vt:variant>
        <vt:lpwstr/>
      </vt:variant>
      <vt:variant>
        <vt:lpwstr>_Toc389130350</vt:lpwstr>
      </vt:variant>
      <vt:variant>
        <vt:i4>1703994</vt:i4>
      </vt:variant>
      <vt:variant>
        <vt:i4>62</vt:i4>
      </vt:variant>
      <vt:variant>
        <vt:i4>0</vt:i4>
      </vt:variant>
      <vt:variant>
        <vt:i4>5</vt:i4>
      </vt:variant>
      <vt:variant>
        <vt:lpwstr/>
      </vt:variant>
      <vt:variant>
        <vt:lpwstr>_Toc389130349</vt:lpwstr>
      </vt:variant>
      <vt:variant>
        <vt:i4>1703994</vt:i4>
      </vt:variant>
      <vt:variant>
        <vt:i4>56</vt:i4>
      </vt:variant>
      <vt:variant>
        <vt:i4>0</vt:i4>
      </vt:variant>
      <vt:variant>
        <vt:i4>5</vt:i4>
      </vt:variant>
      <vt:variant>
        <vt:lpwstr/>
      </vt:variant>
      <vt:variant>
        <vt:lpwstr>_Toc389130348</vt:lpwstr>
      </vt:variant>
      <vt:variant>
        <vt:i4>1703994</vt:i4>
      </vt:variant>
      <vt:variant>
        <vt:i4>50</vt:i4>
      </vt:variant>
      <vt:variant>
        <vt:i4>0</vt:i4>
      </vt:variant>
      <vt:variant>
        <vt:i4>5</vt:i4>
      </vt:variant>
      <vt:variant>
        <vt:lpwstr/>
      </vt:variant>
      <vt:variant>
        <vt:lpwstr>_Toc389130347</vt:lpwstr>
      </vt:variant>
      <vt:variant>
        <vt:i4>1703994</vt:i4>
      </vt:variant>
      <vt:variant>
        <vt:i4>44</vt:i4>
      </vt:variant>
      <vt:variant>
        <vt:i4>0</vt:i4>
      </vt:variant>
      <vt:variant>
        <vt:i4>5</vt:i4>
      </vt:variant>
      <vt:variant>
        <vt:lpwstr/>
      </vt:variant>
      <vt:variant>
        <vt:lpwstr>_Toc389130346</vt:lpwstr>
      </vt:variant>
      <vt:variant>
        <vt:i4>1703994</vt:i4>
      </vt:variant>
      <vt:variant>
        <vt:i4>38</vt:i4>
      </vt:variant>
      <vt:variant>
        <vt:i4>0</vt:i4>
      </vt:variant>
      <vt:variant>
        <vt:i4>5</vt:i4>
      </vt:variant>
      <vt:variant>
        <vt:lpwstr/>
      </vt:variant>
      <vt:variant>
        <vt:lpwstr>_Toc389130345</vt:lpwstr>
      </vt:variant>
      <vt:variant>
        <vt:i4>1703994</vt:i4>
      </vt:variant>
      <vt:variant>
        <vt:i4>32</vt:i4>
      </vt:variant>
      <vt:variant>
        <vt:i4>0</vt:i4>
      </vt:variant>
      <vt:variant>
        <vt:i4>5</vt:i4>
      </vt:variant>
      <vt:variant>
        <vt:lpwstr/>
      </vt:variant>
      <vt:variant>
        <vt:lpwstr>_Toc389130344</vt:lpwstr>
      </vt:variant>
      <vt:variant>
        <vt:i4>1703994</vt:i4>
      </vt:variant>
      <vt:variant>
        <vt:i4>26</vt:i4>
      </vt:variant>
      <vt:variant>
        <vt:i4>0</vt:i4>
      </vt:variant>
      <vt:variant>
        <vt:i4>5</vt:i4>
      </vt:variant>
      <vt:variant>
        <vt:lpwstr/>
      </vt:variant>
      <vt:variant>
        <vt:lpwstr>_Toc389130343</vt:lpwstr>
      </vt:variant>
      <vt:variant>
        <vt:i4>1703994</vt:i4>
      </vt:variant>
      <vt:variant>
        <vt:i4>20</vt:i4>
      </vt:variant>
      <vt:variant>
        <vt:i4>0</vt:i4>
      </vt:variant>
      <vt:variant>
        <vt:i4>5</vt:i4>
      </vt:variant>
      <vt:variant>
        <vt:lpwstr/>
      </vt:variant>
      <vt:variant>
        <vt:lpwstr>_Toc389130342</vt:lpwstr>
      </vt:variant>
      <vt:variant>
        <vt:i4>1703994</vt:i4>
      </vt:variant>
      <vt:variant>
        <vt:i4>14</vt:i4>
      </vt:variant>
      <vt:variant>
        <vt:i4>0</vt:i4>
      </vt:variant>
      <vt:variant>
        <vt:i4>5</vt:i4>
      </vt:variant>
      <vt:variant>
        <vt:lpwstr/>
      </vt:variant>
      <vt:variant>
        <vt:lpwstr>_Toc389130341</vt:lpwstr>
      </vt:variant>
      <vt:variant>
        <vt:i4>1703994</vt:i4>
      </vt:variant>
      <vt:variant>
        <vt:i4>8</vt:i4>
      </vt:variant>
      <vt:variant>
        <vt:i4>0</vt:i4>
      </vt:variant>
      <vt:variant>
        <vt:i4>5</vt:i4>
      </vt:variant>
      <vt:variant>
        <vt:lpwstr/>
      </vt:variant>
      <vt:variant>
        <vt:lpwstr>_Toc389130340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Steve McCabe</cp:lastModifiedBy>
  <cp:revision>3</cp:revision>
  <cp:lastPrinted>2020-04-23T16:32:00Z</cp:lastPrinted>
  <dcterms:created xsi:type="dcterms:W3CDTF">2025-11-25T15:49:00Z</dcterms:created>
  <dcterms:modified xsi:type="dcterms:W3CDTF">2025-11-25T15:49:00Z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9e5e003a-90eb-47c9-a506-ad47e7a0b281_Enabled">
    <vt:lpwstr>True</vt:lpwstr>
  </property>
  <property fmtid="{D5CDD505-2E9C-101B-9397-08002B2CF9AE}" pid="5" name="MSIP_Label_9e5e003a-90eb-47c9-a506-ad47e7a0b281_SiteId">
    <vt:lpwstr>742775df-8077-48d6-81d0-1e82a1f52cb8</vt:lpwstr>
  </property>
  <property fmtid="{D5CDD505-2E9C-101B-9397-08002B2CF9AE}" pid="6" name="MSIP_Label_9e5e003a-90eb-47c9-a506-ad47e7a0b281_SetDate">
    <vt:lpwstr>2025-03-31T16:35:44Z</vt:lpwstr>
  </property>
  <property fmtid="{D5CDD505-2E9C-101B-9397-08002B2CF9AE}" pid="7" name="MSIP_Label_9e5e003a-90eb-47c9-a506-ad47e7a0b281_Name">
    <vt:lpwstr>OFFICIAL</vt:lpwstr>
  </property>
  <property fmtid="{D5CDD505-2E9C-101B-9397-08002B2CF9AE}" pid="8" name="MSIP_Label_9e5e003a-90eb-47c9-a506-ad47e7a0b281_ActionId">
    <vt:lpwstr>4e813943-af35-43b6-a461-1266203c4de8</vt:lpwstr>
  </property>
  <property fmtid="{D5CDD505-2E9C-101B-9397-08002B2CF9AE}" pid="9" name="MSIP_Label_9e5e003a-90eb-47c9-a506-ad47e7a0b281_Removed">
    <vt:lpwstr>False</vt:lpwstr>
  </property>
  <property fmtid="{D5CDD505-2E9C-101B-9397-08002B2CF9AE}" pid="10" name="MSIP_Label_9e5e003a-90eb-47c9-a506-ad47e7a0b281_Extended_MSFT_Method">
    <vt:lpwstr>Standard</vt:lpwstr>
  </property>
  <property fmtid="{D5CDD505-2E9C-101B-9397-08002B2CF9AE}" pid="11" name="Sensitivity">
    <vt:lpwstr>OFFICIAL</vt:lpwstr>
  </property>
</Properties>
</file>