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233522" w14:paraId="6C65111E" w14:textId="77777777" w:rsidTr="00881B6F">
        <w:trPr>
          <w:trHeight w:val="1162"/>
        </w:trPr>
        <w:tc>
          <w:tcPr>
            <w:tcW w:w="9156" w:type="dxa"/>
            <w:tcBorders>
              <w:bottom w:val="single" w:sz="24" w:space="0" w:color="22413A"/>
            </w:tcBorders>
          </w:tcPr>
          <w:p w14:paraId="35C1F1C6" w14:textId="77777777" w:rsidR="00C20562" w:rsidRPr="00233522" w:rsidRDefault="00C20562" w:rsidP="00323E71">
            <w:bookmarkStart w:id="0" w:name="_Toc466022543"/>
          </w:p>
        </w:tc>
      </w:tr>
      <w:tr w:rsidR="00D0226A" w:rsidRPr="00CB6A00"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832CDB2" w:rsidR="00595C8C" w:rsidRPr="00595C8C" w:rsidRDefault="00595C8C" w:rsidP="00595C8C">
            <w:pPr>
              <w:pStyle w:val="InnerCoverTitle"/>
              <w:rPr>
                <w:sz w:val="36"/>
                <w:szCs w:val="36"/>
              </w:rPr>
            </w:pPr>
            <w:r w:rsidRPr="00595C8C">
              <w:rPr>
                <w:sz w:val="36"/>
                <w:szCs w:val="36"/>
              </w:rPr>
              <w:t xml:space="preserve">ONR </w:t>
            </w:r>
            <w:r w:rsidR="000950B3">
              <w:rPr>
                <w:sz w:val="36"/>
                <w:szCs w:val="36"/>
              </w:rPr>
              <w:t>Technical Assessment Guide</w:t>
            </w:r>
          </w:p>
          <w:p w14:paraId="7C4EA414" w14:textId="170CDD81" w:rsidR="00D0226A" w:rsidRPr="00CB6A00" w:rsidRDefault="00E366B0" w:rsidP="001E03E1">
            <w:pPr>
              <w:pStyle w:val="CoverTitle"/>
              <w:rPr>
                <w:szCs w:val="90"/>
                <w:lang w:val="sv-SE"/>
              </w:rPr>
            </w:pPr>
            <w:sdt>
              <w:sdtPr>
                <w:rPr>
                  <w:sz w:val="56"/>
                  <w:szCs w:val="56"/>
                </w:rPr>
                <w:id w:val="1228188510"/>
                <w:placeholder>
                  <w:docPart w:val="DefaultPlaceholder_-1854013440"/>
                </w:placeholder>
              </w:sdtPr>
              <w:sdtEndPr>
                <w:rPr>
                  <w:sz w:val="96"/>
                  <w:szCs w:val="96"/>
                </w:rPr>
              </w:sdtEndPr>
              <w:sdtContent>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9687A">
                      <w:rPr>
                        <w:sz w:val="56"/>
                        <w:szCs w:val="56"/>
                      </w:rPr>
                      <w:t>Civil engineering (Annex 6) – Post operational sites</w:t>
                    </w:r>
                  </w:sdtContent>
                </w:sdt>
              </w:sdtContent>
            </w:sdt>
          </w:p>
        </w:tc>
      </w:tr>
    </w:tbl>
    <w:p w14:paraId="56A09D10" w14:textId="77777777" w:rsidR="00D0226A" w:rsidRPr="00CB6A00" w:rsidRDefault="00D0226A">
      <w:pPr>
        <w:spacing w:after="0"/>
        <w:rPr>
          <w:lang w:val="sv-SE"/>
        </w:rPr>
      </w:pPr>
    </w:p>
    <w:p w14:paraId="6AB6425B" w14:textId="77777777" w:rsidR="00D0226A" w:rsidRPr="00CB6A00" w:rsidRDefault="00881B6F">
      <w:pPr>
        <w:spacing w:after="0"/>
        <w:rPr>
          <w:lang w:val="sv-SE"/>
        </w:rPr>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CB6A00" w:rsidRDefault="00267815">
      <w:pPr>
        <w:spacing w:after="0"/>
        <w:rPr>
          <w:lang w:val="sv-SE"/>
        </w:rPr>
      </w:pPr>
      <w:r w:rsidRPr="00CB6A00">
        <w:rPr>
          <w:lang w:val="sv-SE"/>
        </w:rPr>
        <w:br w:type="page"/>
      </w:r>
    </w:p>
    <w:p w14:paraId="1FDB4B56" w14:textId="27460A5D" w:rsidR="00693A7A" w:rsidRPr="00693A7A" w:rsidRDefault="00693A7A" w:rsidP="00693A7A">
      <w:pPr>
        <w:sectPr w:rsidR="00693A7A" w:rsidRPr="00693A7A" w:rsidSect="000B2BCD">
          <w:headerReference w:type="default" r:id="rId16"/>
          <w:footerReference w:type="default" r:id="rId17"/>
          <w:pgSz w:w="11906" w:h="16838" w:code="9"/>
          <w:pgMar w:top="1440" w:right="1440" w:bottom="1440" w:left="1440" w:header="397" w:footer="397" w:gutter="0"/>
          <w:cols w:space="312"/>
          <w:titlePg/>
          <w:docGrid w:linePitch="360"/>
        </w:sectPr>
      </w:pPr>
    </w:p>
    <w:sdt>
      <w:sdtPr>
        <w:rPr>
          <w:rFonts w:ascii="Arial" w:eastAsia="Calibri" w:hAnsi="Arial" w:cs="Arial"/>
          <w:color w:val="auto"/>
          <w:sz w:val="24"/>
          <w:szCs w:val="22"/>
          <w:lang w:val="en-GB" w:bidi="he-IL"/>
        </w:rPr>
        <w:id w:val="1523518583"/>
        <w:docPartObj>
          <w:docPartGallery w:val="Table of Contents"/>
          <w:docPartUnique/>
        </w:docPartObj>
      </w:sdtPr>
      <w:sdtEndPr>
        <w:rPr>
          <w:b/>
          <w:bCs/>
          <w:szCs w:val="24"/>
        </w:rPr>
      </w:sdtEndPr>
      <w:sdtContent>
        <w:p w14:paraId="4DAD9AD0" w14:textId="283C53CF" w:rsidR="00693A7A" w:rsidRPr="0029687A" w:rsidRDefault="00693A7A" w:rsidP="0029687A">
          <w:pPr>
            <w:pStyle w:val="TOCHeading"/>
            <w:numPr>
              <w:ilvl w:val="0"/>
              <w:numId w:val="0"/>
            </w:numPr>
            <w:rPr>
              <w:sz w:val="48"/>
              <w:szCs w:val="48"/>
            </w:rPr>
          </w:pPr>
          <w:r w:rsidRPr="0029687A">
            <w:rPr>
              <w:sz w:val="48"/>
              <w:szCs w:val="48"/>
              <w:lang w:val="en-GB"/>
            </w:rPr>
            <w:t>Contents</w:t>
          </w:r>
        </w:p>
        <w:p w14:paraId="495B2597" w14:textId="6510D320" w:rsidR="00864C9B" w:rsidRDefault="00134A4A">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4839742" w:history="1">
            <w:r w:rsidR="00864C9B" w:rsidRPr="000F1F9A">
              <w:rPr>
                <w:rStyle w:val="Hyperlink"/>
              </w:rPr>
              <w:t>1.</w:t>
            </w:r>
            <w:r w:rsidR="00864C9B">
              <w:rPr>
                <w:rFonts w:asciiTheme="minorHAnsi" w:eastAsiaTheme="minorEastAsia" w:hAnsiTheme="minorHAnsi" w:cstheme="minorBidi"/>
                <w:kern w:val="2"/>
                <w:szCs w:val="24"/>
                <w:lang w:eastAsia="en-GB" w:bidi="ar-SA"/>
                <w14:ligatures w14:val="standardContextual"/>
              </w:rPr>
              <w:tab/>
            </w:r>
            <w:r w:rsidR="00864C9B" w:rsidRPr="000F1F9A">
              <w:rPr>
                <w:rStyle w:val="Hyperlink"/>
              </w:rPr>
              <w:t>Introduction</w:t>
            </w:r>
            <w:r w:rsidR="00864C9B">
              <w:rPr>
                <w:webHidden/>
              </w:rPr>
              <w:tab/>
            </w:r>
            <w:r w:rsidR="00864C9B">
              <w:rPr>
                <w:webHidden/>
              </w:rPr>
              <w:fldChar w:fldCharType="begin"/>
            </w:r>
            <w:r w:rsidR="00864C9B">
              <w:rPr>
                <w:webHidden/>
              </w:rPr>
              <w:instrText xml:space="preserve"> PAGEREF _Toc234839742 \h </w:instrText>
            </w:r>
            <w:r w:rsidR="00864C9B">
              <w:rPr>
                <w:webHidden/>
              </w:rPr>
            </w:r>
            <w:r w:rsidR="00864C9B">
              <w:rPr>
                <w:webHidden/>
              </w:rPr>
              <w:fldChar w:fldCharType="separate"/>
            </w:r>
            <w:r w:rsidR="00864C9B">
              <w:rPr>
                <w:webHidden/>
              </w:rPr>
              <w:t>3</w:t>
            </w:r>
            <w:r w:rsidR="00864C9B">
              <w:rPr>
                <w:webHidden/>
              </w:rPr>
              <w:fldChar w:fldCharType="end"/>
            </w:r>
          </w:hyperlink>
        </w:p>
        <w:p w14:paraId="48BDFDFA" w14:textId="46ED4A42" w:rsidR="00864C9B" w:rsidRDefault="00864C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9743" w:history="1">
            <w:r w:rsidRPr="000F1F9A">
              <w:rPr>
                <w:rStyle w:val="Hyperlink"/>
              </w:rPr>
              <w:t>2.</w:t>
            </w:r>
            <w:r>
              <w:rPr>
                <w:rFonts w:asciiTheme="minorHAnsi" w:eastAsiaTheme="minorEastAsia" w:hAnsiTheme="minorHAnsi" w:cstheme="minorBidi"/>
                <w:kern w:val="2"/>
                <w:szCs w:val="24"/>
                <w:lang w:eastAsia="en-GB" w:bidi="ar-SA"/>
                <w14:ligatures w14:val="standardContextual"/>
              </w:rPr>
              <w:tab/>
            </w:r>
            <w:r w:rsidRPr="000F1F9A">
              <w:rPr>
                <w:rStyle w:val="Hyperlink"/>
              </w:rPr>
              <w:t>Post operation – Overall considerations</w:t>
            </w:r>
            <w:r>
              <w:rPr>
                <w:webHidden/>
              </w:rPr>
              <w:tab/>
            </w:r>
            <w:r>
              <w:rPr>
                <w:webHidden/>
              </w:rPr>
              <w:fldChar w:fldCharType="begin"/>
            </w:r>
            <w:r>
              <w:rPr>
                <w:webHidden/>
              </w:rPr>
              <w:instrText xml:space="preserve"> PAGEREF _Toc234839743 \h </w:instrText>
            </w:r>
            <w:r>
              <w:rPr>
                <w:webHidden/>
              </w:rPr>
            </w:r>
            <w:r>
              <w:rPr>
                <w:webHidden/>
              </w:rPr>
              <w:fldChar w:fldCharType="separate"/>
            </w:r>
            <w:r>
              <w:rPr>
                <w:webHidden/>
              </w:rPr>
              <w:t>7</w:t>
            </w:r>
            <w:r>
              <w:rPr>
                <w:webHidden/>
              </w:rPr>
              <w:fldChar w:fldCharType="end"/>
            </w:r>
          </w:hyperlink>
        </w:p>
        <w:p w14:paraId="3BC53DC8" w14:textId="6811EABC" w:rsidR="00864C9B" w:rsidRDefault="00864C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9744" w:history="1">
            <w:r w:rsidRPr="000F1F9A">
              <w:rPr>
                <w:rStyle w:val="Hyperlink"/>
              </w:rPr>
              <w:t>3.</w:t>
            </w:r>
            <w:r>
              <w:rPr>
                <w:rFonts w:asciiTheme="minorHAnsi" w:eastAsiaTheme="minorEastAsia" w:hAnsiTheme="minorHAnsi" w:cstheme="minorBidi"/>
                <w:kern w:val="2"/>
                <w:szCs w:val="24"/>
                <w:lang w:eastAsia="en-GB" w:bidi="ar-SA"/>
                <w14:ligatures w14:val="standardContextual"/>
              </w:rPr>
              <w:tab/>
            </w:r>
            <w:r w:rsidRPr="000F1F9A">
              <w:rPr>
                <w:rStyle w:val="Hyperlink"/>
              </w:rPr>
              <w:t>Post operational phases</w:t>
            </w:r>
            <w:r>
              <w:rPr>
                <w:webHidden/>
              </w:rPr>
              <w:tab/>
            </w:r>
            <w:r>
              <w:rPr>
                <w:webHidden/>
              </w:rPr>
              <w:fldChar w:fldCharType="begin"/>
            </w:r>
            <w:r>
              <w:rPr>
                <w:webHidden/>
              </w:rPr>
              <w:instrText xml:space="preserve"> PAGEREF _Toc234839744 \h </w:instrText>
            </w:r>
            <w:r>
              <w:rPr>
                <w:webHidden/>
              </w:rPr>
            </w:r>
            <w:r>
              <w:rPr>
                <w:webHidden/>
              </w:rPr>
              <w:fldChar w:fldCharType="separate"/>
            </w:r>
            <w:r>
              <w:rPr>
                <w:webHidden/>
              </w:rPr>
              <w:t>13</w:t>
            </w:r>
            <w:r>
              <w:rPr>
                <w:webHidden/>
              </w:rPr>
              <w:fldChar w:fldCharType="end"/>
            </w:r>
          </w:hyperlink>
        </w:p>
        <w:p w14:paraId="18DFF2F5" w14:textId="18229C32" w:rsidR="00864C9B" w:rsidRDefault="00864C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9745" w:history="1">
            <w:r w:rsidRPr="000F1F9A">
              <w:rPr>
                <w:rStyle w:val="Hyperlink"/>
              </w:rPr>
              <w:t>4.</w:t>
            </w:r>
            <w:r>
              <w:rPr>
                <w:rFonts w:asciiTheme="minorHAnsi" w:eastAsiaTheme="minorEastAsia" w:hAnsiTheme="minorHAnsi" w:cstheme="minorBidi"/>
                <w:kern w:val="2"/>
                <w:szCs w:val="24"/>
                <w:lang w:eastAsia="en-GB" w:bidi="ar-SA"/>
                <w14:ligatures w14:val="standardContextual"/>
              </w:rPr>
              <w:tab/>
            </w:r>
            <w:r w:rsidRPr="000F1F9A">
              <w:rPr>
                <w:rStyle w:val="Hyperlink"/>
              </w:rPr>
              <w:t>Relevant standards, legislation and good practice</w:t>
            </w:r>
            <w:r>
              <w:rPr>
                <w:webHidden/>
              </w:rPr>
              <w:tab/>
            </w:r>
            <w:r>
              <w:rPr>
                <w:webHidden/>
              </w:rPr>
              <w:fldChar w:fldCharType="begin"/>
            </w:r>
            <w:r>
              <w:rPr>
                <w:webHidden/>
              </w:rPr>
              <w:instrText xml:space="preserve"> PAGEREF _Toc234839745 \h </w:instrText>
            </w:r>
            <w:r>
              <w:rPr>
                <w:webHidden/>
              </w:rPr>
            </w:r>
            <w:r>
              <w:rPr>
                <w:webHidden/>
              </w:rPr>
              <w:fldChar w:fldCharType="separate"/>
            </w:r>
            <w:r>
              <w:rPr>
                <w:webHidden/>
              </w:rPr>
              <w:t>20</w:t>
            </w:r>
            <w:r>
              <w:rPr>
                <w:webHidden/>
              </w:rPr>
              <w:fldChar w:fldCharType="end"/>
            </w:r>
          </w:hyperlink>
        </w:p>
        <w:p w14:paraId="6278578D" w14:textId="5861087C" w:rsidR="00864C9B" w:rsidRDefault="00864C9B">
          <w:pPr>
            <w:pStyle w:val="TOC1"/>
            <w:rPr>
              <w:rFonts w:asciiTheme="minorHAnsi" w:eastAsiaTheme="minorEastAsia" w:hAnsiTheme="minorHAnsi" w:cstheme="minorBidi"/>
              <w:kern w:val="2"/>
              <w:szCs w:val="24"/>
              <w:lang w:eastAsia="en-GB" w:bidi="ar-SA"/>
              <w14:ligatures w14:val="standardContextual"/>
            </w:rPr>
          </w:pPr>
          <w:hyperlink w:anchor="_Toc234839746" w:history="1">
            <w:r w:rsidRPr="000F1F9A">
              <w:rPr>
                <w:rStyle w:val="Hyperlink"/>
              </w:rPr>
              <w:t>References</w:t>
            </w:r>
            <w:r>
              <w:rPr>
                <w:webHidden/>
              </w:rPr>
              <w:tab/>
            </w:r>
            <w:r>
              <w:rPr>
                <w:webHidden/>
              </w:rPr>
              <w:fldChar w:fldCharType="begin"/>
            </w:r>
            <w:r>
              <w:rPr>
                <w:webHidden/>
              </w:rPr>
              <w:instrText xml:space="preserve"> PAGEREF _Toc234839746 \h </w:instrText>
            </w:r>
            <w:r>
              <w:rPr>
                <w:webHidden/>
              </w:rPr>
            </w:r>
            <w:r>
              <w:rPr>
                <w:webHidden/>
              </w:rPr>
              <w:fldChar w:fldCharType="separate"/>
            </w:r>
            <w:r>
              <w:rPr>
                <w:webHidden/>
              </w:rPr>
              <w:t>21</w:t>
            </w:r>
            <w:r>
              <w:rPr>
                <w:webHidden/>
              </w:rPr>
              <w:fldChar w:fldCharType="end"/>
            </w:r>
          </w:hyperlink>
        </w:p>
        <w:p w14:paraId="3DC39F0E" w14:textId="22974204" w:rsidR="00864C9B" w:rsidRDefault="00864C9B">
          <w:pPr>
            <w:pStyle w:val="TOC1"/>
            <w:rPr>
              <w:rFonts w:asciiTheme="minorHAnsi" w:eastAsiaTheme="minorEastAsia" w:hAnsiTheme="minorHAnsi" w:cstheme="minorBidi"/>
              <w:kern w:val="2"/>
              <w:szCs w:val="24"/>
              <w:lang w:eastAsia="en-GB" w:bidi="ar-SA"/>
              <w14:ligatures w14:val="standardContextual"/>
            </w:rPr>
          </w:pPr>
          <w:hyperlink w:anchor="_Toc234839747" w:history="1">
            <w:r w:rsidRPr="000F1F9A">
              <w:rPr>
                <w:rStyle w:val="Hyperlink"/>
              </w:rPr>
              <w:t>List of abbreviations, acronyms and initialisms</w:t>
            </w:r>
            <w:r>
              <w:rPr>
                <w:webHidden/>
              </w:rPr>
              <w:tab/>
            </w:r>
            <w:r>
              <w:rPr>
                <w:webHidden/>
              </w:rPr>
              <w:fldChar w:fldCharType="begin"/>
            </w:r>
            <w:r>
              <w:rPr>
                <w:webHidden/>
              </w:rPr>
              <w:instrText xml:space="preserve"> PAGEREF _Toc234839747 \h </w:instrText>
            </w:r>
            <w:r>
              <w:rPr>
                <w:webHidden/>
              </w:rPr>
            </w:r>
            <w:r>
              <w:rPr>
                <w:webHidden/>
              </w:rPr>
              <w:fldChar w:fldCharType="separate"/>
            </w:r>
            <w:r>
              <w:rPr>
                <w:webHidden/>
              </w:rPr>
              <w:t>21</w:t>
            </w:r>
            <w:r>
              <w:rPr>
                <w:webHidden/>
              </w:rPr>
              <w:fldChar w:fldCharType="end"/>
            </w:r>
          </w:hyperlink>
        </w:p>
        <w:p w14:paraId="14B9A5F8" w14:textId="7E30E2F2" w:rsidR="00864C9B" w:rsidRDefault="00864C9B">
          <w:pPr>
            <w:pStyle w:val="TOC1"/>
            <w:rPr>
              <w:rFonts w:asciiTheme="minorHAnsi" w:eastAsiaTheme="minorEastAsia" w:hAnsiTheme="minorHAnsi" w:cstheme="minorBidi"/>
              <w:kern w:val="2"/>
              <w:szCs w:val="24"/>
              <w:lang w:eastAsia="en-GB" w:bidi="ar-SA"/>
              <w14:ligatures w14:val="standardContextual"/>
            </w:rPr>
          </w:pPr>
          <w:hyperlink w:anchor="_Toc234839748" w:history="1">
            <w:r w:rsidRPr="000F1F9A">
              <w:rPr>
                <w:rStyle w:val="Hyperlink"/>
              </w:rPr>
              <w:t>Document control information</w:t>
            </w:r>
            <w:r>
              <w:rPr>
                <w:webHidden/>
              </w:rPr>
              <w:tab/>
            </w:r>
            <w:r>
              <w:rPr>
                <w:webHidden/>
              </w:rPr>
              <w:fldChar w:fldCharType="begin"/>
            </w:r>
            <w:r>
              <w:rPr>
                <w:webHidden/>
              </w:rPr>
              <w:instrText xml:space="preserve"> PAGEREF _Toc234839748 \h </w:instrText>
            </w:r>
            <w:r>
              <w:rPr>
                <w:webHidden/>
              </w:rPr>
            </w:r>
            <w:r>
              <w:rPr>
                <w:webHidden/>
              </w:rPr>
              <w:fldChar w:fldCharType="separate"/>
            </w:r>
            <w:r>
              <w:rPr>
                <w:webHidden/>
              </w:rPr>
              <w:t>22</w:t>
            </w:r>
            <w:r>
              <w:rPr>
                <w:webHidden/>
              </w:rPr>
              <w:fldChar w:fldCharType="end"/>
            </w:r>
          </w:hyperlink>
        </w:p>
        <w:p w14:paraId="1818F7B4" w14:textId="3120D251" w:rsidR="00693A7A" w:rsidRDefault="00134A4A">
          <w:r>
            <w:rPr>
              <w:noProof/>
            </w:rPr>
            <w:fldChar w:fldCharType="end"/>
          </w:r>
        </w:p>
      </w:sdtContent>
    </w:sdt>
    <w:p w14:paraId="4812BFF8" w14:textId="0E9C5297" w:rsidR="003E098E" w:rsidRDefault="003E098E" w:rsidP="00267815">
      <w:pPr>
        <w:sectPr w:rsidR="003E098E" w:rsidSect="000B2BCD">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43A875A4" w14:textId="5DEDA49A" w:rsidR="008D49A5" w:rsidRDefault="008D49A5" w:rsidP="00912484">
      <w:pPr>
        <w:pStyle w:val="Heading1"/>
        <w:numPr>
          <w:ilvl w:val="0"/>
          <w:numId w:val="4"/>
        </w:numPr>
        <w:ind w:left="851" w:hanging="851"/>
      </w:pPr>
      <w:bookmarkStart w:id="1" w:name="_Toc223701978"/>
      <w:bookmarkStart w:id="2" w:name="_Toc234839742"/>
      <w:bookmarkEnd w:id="0"/>
      <w:r w:rsidRPr="00E90780">
        <w:lastRenderedPageBreak/>
        <w:t>Introduction</w:t>
      </w:r>
      <w:bookmarkEnd w:id="1"/>
      <w:bookmarkEnd w:id="2"/>
    </w:p>
    <w:p w14:paraId="62C7D081" w14:textId="61F55AC3" w:rsidR="0029687A" w:rsidRDefault="00853784" w:rsidP="002A1DDC">
      <w:pPr>
        <w:pStyle w:val="F9-Paragraph"/>
        <w:ind w:left="851" w:hanging="851"/>
      </w:pPr>
      <w:r>
        <w:t>This annex to Technical Assessment Guide 17 (</w:t>
      </w:r>
      <w:r w:rsidR="0029687A">
        <w:t>‘</w:t>
      </w:r>
      <w:r>
        <w:t>TAG 17</w:t>
      </w:r>
      <w:r w:rsidR="0029687A">
        <w:t>’</w:t>
      </w:r>
      <w:r>
        <w:t>)</w:t>
      </w:r>
      <w:r w:rsidR="0029687A">
        <w:t xml:space="preserve"> </w:t>
      </w:r>
      <w:sdt>
        <w:sdtPr>
          <w:id w:val="-1298989873"/>
          <w:citation/>
        </w:sdtPr>
        <w:sdtContent>
          <w:r w:rsidR="0029687A">
            <w:fldChar w:fldCharType="begin"/>
          </w:r>
          <w:r w:rsidR="0029687A">
            <w:instrText xml:space="preserve"> CITATION NST1 \l 2057 </w:instrText>
          </w:r>
          <w:r w:rsidR="0029687A">
            <w:fldChar w:fldCharType="separate"/>
          </w:r>
          <w:r w:rsidR="0029687A">
            <w:rPr>
              <w:noProof/>
            </w:rPr>
            <w:t>[1]</w:t>
          </w:r>
          <w:r w:rsidR="0029687A">
            <w:fldChar w:fldCharType="end"/>
          </w:r>
        </w:sdtContent>
      </w:sdt>
      <w:r>
        <w:t xml:space="preserve"> provides guidance to advise and inform O</w:t>
      </w:r>
      <w:r w:rsidR="00F15CED">
        <w:t xml:space="preserve">ffice for </w:t>
      </w:r>
      <w:r>
        <w:t>N</w:t>
      </w:r>
      <w:r w:rsidR="00F15CED">
        <w:t xml:space="preserve">uclear </w:t>
      </w:r>
      <w:r>
        <w:t>R</w:t>
      </w:r>
      <w:r w:rsidR="00F15CED">
        <w:t>egulation (ONR)</w:t>
      </w:r>
      <w:r>
        <w:t xml:space="preserve"> inspectors </w:t>
      </w:r>
      <w:r w:rsidR="00DA31D3" w:rsidRPr="00E125EA">
        <w:t xml:space="preserve">on the main aspects of </w:t>
      </w:r>
      <w:r w:rsidR="00DA31D3">
        <w:t xml:space="preserve">ONR’s approach to the </w:t>
      </w:r>
      <w:r w:rsidR="00FF6FA9">
        <w:t xml:space="preserve">civil engineering </w:t>
      </w:r>
      <w:r w:rsidR="00DA31D3">
        <w:t>assessment of the post operational phase of</w:t>
      </w:r>
      <w:r w:rsidR="00DA31D3" w:rsidRPr="00E125EA">
        <w:t xml:space="preserve"> nuclear </w:t>
      </w:r>
      <w:r w:rsidR="00DA31D3">
        <w:t>facilities</w:t>
      </w:r>
      <w:r w:rsidR="00DA31D3" w:rsidRPr="00E125EA">
        <w:t>.</w:t>
      </w:r>
      <w:r w:rsidR="00DA31D3">
        <w:t xml:space="preserve"> </w:t>
      </w:r>
    </w:p>
    <w:p w14:paraId="447B7A90" w14:textId="5AF7C2AC" w:rsidR="00853784" w:rsidRDefault="00DA31D3" w:rsidP="002A1DDC">
      <w:pPr>
        <w:pStyle w:val="F9-Paragraph"/>
        <w:ind w:left="851" w:hanging="851"/>
      </w:pPr>
      <w:r>
        <w:t xml:space="preserve">This TAG is not intended to provide detailed guidance on any decommissioning or demolition processes: its main purpose is to highlight certain salient areas for inspectors to consider as part of their regulatory assessment. It aims to highlight the </w:t>
      </w:r>
      <w:r w:rsidRPr="00E125EA">
        <w:t xml:space="preserve">application of the Safety Assessment Principles </w:t>
      </w:r>
      <w:r w:rsidR="00853784">
        <w:t xml:space="preserve">(SAPs) </w:t>
      </w:r>
      <w:sdt>
        <w:sdtPr>
          <w:id w:val="1893069086"/>
          <w:citation/>
        </w:sdtPr>
        <w:sdtEndPr/>
        <w:sdtContent>
          <w:r w:rsidR="0059585D">
            <w:fldChar w:fldCharType="begin"/>
          </w:r>
          <w:r w:rsidR="001C1A4A">
            <w:instrText xml:space="preserve">CITATION ONRSAPs \l 2057 </w:instrText>
          </w:r>
          <w:r w:rsidR="0059585D">
            <w:fldChar w:fldCharType="separate"/>
          </w:r>
          <w:r w:rsidR="0029687A">
            <w:rPr>
              <w:noProof/>
            </w:rPr>
            <w:t>[2]</w:t>
          </w:r>
          <w:r w:rsidR="0059585D">
            <w:fldChar w:fldCharType="end"/>
          </w:r>
        </w:sdtContent>
      </w:sdt>
      <w:r w:rsidR="0059585D">
        <w:t xml:space="preserve"> </w:t>
      </w:r>
      <w:r w:rsidR="00853784">
        <w:t>to aid the assessment of civil engineering works and structures (</w:t>
      </w:r>
      <w:r w:rsidR="0029687A">
        <w:t>refer to</w:t>
      </w:r>
      <w:r w:rsidR="00853784">
        <w:t xml:space="preserve"> Appendix 1 of </w:t>
      </w:r>
      <w:sdt>
        <w:sdtPr>
          <w:id w:val="-582224258"/>
          <w:citation/>
        </w:sdtPr>
        <w:sdtContent>
          <w:r w:rsidR="0029687A">
            <w:fldChar w:fldCharType="begin"/>
          </w:r>
          <w:r w:rsidR="0029687A">
            <w:instrText xml:space="preserve"> CITATION NST1 \l 2057 </w:instrText>
          </w:r>
          <w:r w:rsidR="0029687A">
            <w:fldChar w:fldCharType="separate"/>
          </w:r>
          <w:r w:rsidR="0029687A">
            <w:rPr>
              <w:noProof/>
            </w:rPr>
            <w:t>[1]</w:t>
          </w:r>
          <w:r w:rsidR="0029687A">
            <w:fldChar w:fldCharType="end"/>
          </w:r>
        </w:sdtContent>
      </w:sdt>
      <w:r w:rsidR="00853784">
        <w:t>) and signpost links to other  good practice.</w:t>
      </w:r>
    </w:p>
    <w:p w14:paraId="5019B2AA" w14:textId="311B9EAF" w:rsidR="00853784" w:rsidRDefault="00853784" w:rsidP="002A1DDC">
      <w:pPr>
        <w:pStyle w:val="F9-Paragraph"/>
        <w:ind w:left="851" w:hanging="851"/>
      </w:pPr>
      <w:r>
        <w:t xml:space="preserve">This annex focusses on nuclear safety functions provided by civil engineering </w:t>
      </w:r>
      <w:r w:rsidR="00A0282F">
        <w:t>s</w:t>
      </w:r>
      <w:r w:rsidR="007B48F0">
        <w:t xml:space="preserve">tructures, </w:t>
      </w:r>
      <w:r w:rsidR="00A0282F">
        <w:t>s</w:t>
      </w:r>
      <w:r w:rsidR="007B48F0">
        <w:t xml:space="preserve">ystems and </w:t>
      </w:r>
      <w:r w:rsidR="00A0282F">
        <w:t>c</w:t>
      </w:r>
      <w:r w:rsidR="007B48F0">
        <w:t>omponent</w:t>
      </w:r>
      <w:r>
        <w:t>s</w:t>
      </w:r>
      <w:r w:rsidR="007B48F0">
        <w:t xml:space="preserve"> (SSCs)</w:t>
      </w:r>
      <w:r>
        <w:t>, but the guidance herein is equally applicable to any security, safeguarding or environmental protection functions provided by civil engineering SSCs.</w:t>
      </w:r>
    </w:p>
    <w:p w14:paraId="38AE41A1" w14:textId="0824F2A4" w:rsidR="00E87230" w:rsidRDefault="00E87230" w:rsidP="00E87230">
      <w:pPr>
        <w:pStyle w:val="Heading2"/>
        <w:ind w:left="851" w:hanging="851"/>
      </w:pPr>
      <w:r>
        <w:t>Scope</w:t>
      </w:r>
    </w:p>
    <w:p w14:paraId="5EAE127E" w14:textId="5AFE0AA5" w:rsidR="00844DC5" w:rsidRPr="00BE3145" w:rsidRDefault="00656341" w:rsidP="002A1DDC">
      <w:pPr>
        <w:pStyle w:val="F9-Paragraph"/>
        <w:ind w:left="851" w:hanging="851"/>
      </w:pPr>
      <w:r>
        <w:t>T</w:t>
      </w:r>
      <w:r w:rsidR="00C5687E" w:rsidRPr="00BE3145">
        <w:t xml:space="preserve">his annex </w:t>
      </w:r>
      <w:r>
        <w:t xml:space="preserve">covers the civil engineering aspects associated with the following post </w:t>
      </w:r>
      <w:r w:rsidRPr="004D3EBE">
        <w:t>operation</w:t>
      </w:r>
      <w:r>
        <w:t>al phase</w:t>
      </w:r>
      <w:r w:rsidR="00844DC5" w:rsidRPr="00BE3145">
        <w:t>:</w:t>
      </w:r>
    </w:p>
    <w:p w14:paraId="46B518FA" w14:textId="77777777" w:rsidR="00C47B28" w:rsidRDefault="00C47B28" w:rsidP="00C47B28">
      <w:pPr>
        <w:pStyle w:val="Bulletlist1"/>
        <w:ind w:left="1418" w:hanging="357"/>
      </w:pPr>
      <w:bookmarkStart w:id="3" w:name="_Hlk201928805"/>
      <w:r>
        <w:t>inactive quiescent storage,</w:t>
      </w:r>
    </w:p>
    <w:bookmarkEnd w:id="3"/>
    <w:p w14:paraId="60129D34" w14:textId="77777777" w:rsidR="004E61CE" w:rsidRDefault="004E61CE" w:rsidP="004E61CE">
      <w:pPr>
        <w:pStyle w:val="Bulletlist1"/>
        <w:ind w:left="1418" w:hanging="357"/>
      </w:pPr>
      <w:r>
        <w:t>p</w:t>
      </w:r>
      <w:r w:rsidRPr="004D3EBE">
        <w:t>os</w:t>
      </w:r>
      <w:r>
        <w:t>t operational clean out (POCO),</w:t>
      </w:r>
    </w:p>
    <w:p w14:paraId="4525B632" w14:textId="77777777" w:rsidR="004E61CE" w:rsidRDefault="004E61CE" w:rsidP="004E61CE">
      <w:pPr>
        <w:pStyle w:val="Bulletlist1"/>
        <w:ind w:left="1418" w:hanging="357"/>
      </w:pPr>
      <w:r>
        <w:t>decommissioning,</w:t>
      </w:r>
    </w:p>
    <w:p w14:paraId="52CB81FE" w14:textId="77777777" w:rsidR="004E61CE" w:rsidRDefault="004E61CE" w:rsidP="004E61CE">
      <w:pPr>
        <w:pStyle w:val="Bulletlist1"/>
        <w:ind w:left="1418" w:hanging="357"/>
      </w:pPr>
      <w:r>
        <w:t>care and maintenance (C&amp;M),</w:t>
      </w:r>
    </w:p>
    <w:p w14:paraId="6446C157" w14:textId="77777777" w:rsidR="004E61CE" w:rsidRDefault="004E61CE" w:rsidP="004E61CE">
      <w:pPr>
        <w:pStyle w:val="Bulletlist1"/>
        <w:ind w:left="1418" w:hanging="357"/>
      </w:pPr>
      <w:r>
        <w:t>d</w:t>
      </w:r>
      <w:r w:rsidRPr="004D3EBE">
        <w:t>emolition</w:t>
      </w:r>
      <w:r>
        <w:t>,</w:t>
      </w:r>
    </w:p>
    <w:p w14:paraId="09741F2B" w14:textId="77777777" w:rsidR="004E61CE" w:rsidRDefault="004E61CE" w:rsidP="004E61CE">
      <w:pPr>
        <w:pStyle w:val="Bulletlist1"/>
        <w:ind w:left="1418" w:hanging="357"/>
      </w:pPr>
      <w:r>
        <w:t>site remediation,</w:t>
      </w:r>
    </w:p>
    <w:p w14:paraId="01A31E03" w14:textId="61D34590" w:rsidR="00656341" w:rsidRDefault="004E61CE" w:rsidP="00656341">
      <w:pPr>
        <w:pStyle w:val="Bulletlist1"/>
        <w:ind w:left="1418" w:hanging="357"/>
      </w:pPr>
      <w:r w:rsidRPr="00F03021">
        <w:t>delicencing</w:t>
      </w:r>
      <w:r w:rsidR="006C0751">
        <w:t>.</w:t>
      </w:r>
    </w:p>
    <w:p w14:paraId="7C780374" w14:textId="7940506D" w:rsidR="00FF07B1" w:rsidRDefault="00B74D8D" w:rsidP="001A1B4B">
      <w:pPr>
        <w:pStyle w:val="F9-Paragraph"/>
        <w:ind w:left="851" w:hanging="851"/>
      </w:pPr>
      <w:r w:rsidRPr="002B1AA5">
        <w:t>Disposal of radiological waste, including a geological disposal facility, is outside the scope of this annex</w:t>
      </w:r>
      <w:r>
        <w:t xml:space="preserve">. </w:t>
      </w:r>
      <w:r w:rsidR="00FF07B1">
        <w:t xml:space="preserve"> </w:t>
      </w:r>
    </w:p>
    <w:p w14:paraId="6FEC1AD1" w14:textId="77777777" w:rsidR="001B7B6C" w:rsidRPr="00C90772" w:rsidRDefault="001B7B6C" w:rsidP="001B7B6C">
      <w:pPr>
        <w:pStyle w:val="Heading2"/>
        <w:ind w:left="851" w:hanging="851"/>
      </w:pPr>
      <w:bookmarkStart w:id="4" w:name="_Toc173225667"/>
      <w:r w:rsidRPr="00C90772">
        <w:t>Structure of this annex</w:t>
      </w:r>
      <w:bookmarkEnd w:id="4"/>
    </w:p>
    <w:p w14:paraId="54C1EAA0" w14:textId="7751D46F" w:rsidR="008B278E" w:rsidRPr="002C10A6" w:rsidRDefault="004C5FF7" w:rsidP="004C5FF7">
      <w:pPr>
        <w:pStyle w:val="F9-Paragraph"/>
        <w:ind w:left="851" w:hanging="851"/>
      </w:pPr>
      <w:r>
        <w:t xml:space="preserve">This TAG annex identifies key civil engineering assessment principles and should be read alongside the general guidance of </w:t>
      </w:r>
      <w:r w:rsidR="0029687A">
        <w:t>the TAG on d</w:t>
      </w:r>
      <w:r>
        <w:t>ecommissioning</w:t>
      </w:r>
      <w:r w:rsidR="00CA28B0">
        <w:t xml:space="preserve"> </w:t>
      </w:r>
      <w:sdt>
        <w:sdtPr>
          <w:id w:val="369420382"/>
          <w:citation/>
        </w:sdtPr>
        <w:sdtEndPr/>
        <w:sdtContent>
          <w:r w:rsidR="00FD3D6C">
            <w:fldChar w:fldCharType="begin"/>
          </w:r>
          <w:r w:rsidR="0029687A">
            <w:instrText xml:space="preserve">CITATION TAG26 \l 2057 </w:instrText>
          </w:r>
          <w:r w:rsidR="00FD3D6C">
            <w:fldChar w:fldCharType="separate"/>
          </w:r>
          <w:r w:rsidR="0029687A">
            <w:rPr>
              <w:noProof/>
            </w:rPr>
            <w:t>[3]</w:t>
          </w:r>
          <w:r w:rsidR="00FD3D6C">
            <w:fldChar w:fldCharType="end"/>
          </w:r>
        </w:sdtContent>
      </w:sdt>
      <w:r>
        <w:t>. This TAG annex is structured in the following order:</w:t>
      </w:r>
    </w:p>
    <w:p w14:paraId="01949661" w14:textId="592E28DD" w:rsidR="00CA28B0" w:rsidRPr="00CA28B0" w:rsidRDefault="00CA28B0" w:rsidP="00CA28B0">
      <w:pPr>
        <w:pStyle w:val="Bulletlist1"/>
        <w:ind w:left="1418" w:hanging="357"/>
      </w:pPr>
      <w:r w:rsidRPr="00CA28B0">
        <w:t xml:space="preserve">Section 2 outlines the </w:t>
      </w:r>
      <w:r w:rsidR="00C048ED">
        <w:t>overall considerations</w:t>
      </w:r>
      <w:r w:rsidRPr="00CA28B0">
        <w:t xml:space="preserve"> for post-operation,</w:t>
      </w:r>
    </w:p>
    <w:p w14:paraId="5B95F68C" w14:textId="4F2E08A0" w:rsidR="00CA28B0" w:rsidRPr="00CA28B0" w:rsidRDefault="00CA28B0" w:rsidP="00CA28B0">
      <w:pPr>
        <w:pStyle w:val="Bulletlist1"/>
        <w:ind w:left="1418" w:hanging="357"/>
      </w:pPr>
      <w:r w:rsidRPr="00CA28B0">
        <w:lastRenderedPageBreak/>
        <w:t xml:space="preserve">Section </w:t>
      </w:r>
      <w:r w:rsidR="00FD3D6C">
        <w:t>3</w:t>
      </w:r>
      <w:r w:rsidRPr="00CA28B0">
        <w:t xml:space="preserve"> describes the phases of post-operation,</w:t>
      </w:r>
    </w:p>
    <w:p w14:paraId="5E0E5761" w14:textId="7F9D5118" w:rsidR="00CA28B0" w:rsidRPr="00CA28B0" w:rsidRDefault="00CA28B0" w:rsidP="00CA28B0">
      <w:pPr>
        <w:pStyle w:val="Bulletlist1"/>
        <w:ind w:left="1418" w:hanging="357"/>
      </w:pPr>
      <w:r w:rsidRPr="00CA28B0">
        <w:t xml:space="preserve">Section </w:t>
      </w:r>
      <w:r w:rsidR="00084FB9">
        <w:t>4</w:t>
      </w:r>
      <w:r w:rsidR="00084FB9" w:rsidRPr="00CA28B0">
        <w:t xml:space="preserve"> </w:t>
      </w:r>
      <w:r w:rsidRPr="00CA28B0">
        <w:t>expands on guidance relevant to civil engineering assessment</w:t>
      </w:r>
    </w:p>
    <w:p w14:paraId="109B73E8" w14:textId="6F271AFB" w:rsidR="00695E8A" w:rsidRPr="00954E2E" w:rsidRDefault="00695E8A" w:rsidP="00695E8A">
      <w:pPr>
        <w:pStyle w:val="Heading2"/>
        <w:ind w:left="851" w:hanging="851"/>
      </w:pPr>
      <w:bookmarkStart w:id="5" w:name="_Toc45178847"/>
      <w:bookmarkStart w:id="6" w:name="_Toc173225668"/>
      <w:r w:rsidRPr="00954E2E">
        <w:t>Applicable SAPs</w:t>
      </w:r>
      <w:r>
        <w:t xml:space="preserve"> to this a</w:t>
      </w:r>
      <w:r w:rsidRPr="00954E2E">
        <w:t>nnex</w:t>
      </w:r>
      <w:bookmarkEnd w:id="5"/>
      <w:bookmarkEnd w:id="6"/>
    </w:p>
    <w:p w14:paraId="36C3BA7B" w14:textId="33A432F7" w:rsidR="00A9293E" w:rsidRDefault="00A9293E" w:rsidP="00A9293E">
      <w:pPr>
        <w:pStyle w:val="F9-Paragraph"/>
        <w:ind w:left="851" w:hanging="851"/>
      </w:pPr>
      <w:bookmarkStart w:id="7" w:name="_Hlk201931489"/>
      <w:r>
        <w:t xml:space="preserve">The assessment of civil engineering SSC </w:t>
      </w:r>
      <w:r w:rsidR="00A219CA">
        <w:t>expanded upon within this annex</w:t>
      </w:r>
      <w:r>
        <w:t xml:space="preserve"> is informed by and meets the expectations of the SAPs. The following SAPs are particularly relevant</w:t>
      </w:r>
      <w:bookmarkEnd w:id="7"/>
      <w:r>
        <w:t>:</w:t>
      </w:r>
    </w:p>
    <w:p w14:paraId="2D5F3C8D" w14:textId="4BECC8CF" w:rsidR="00F9749A" w:rsidRPr="006927A9" w:rsidRDefault="00F9749A" w:rsidP="00F9749A">
      <w:pPr>
        <w:pStyle w:val="Bulletlist1"/>
        <w:ind w:left="1418" w:hanging="357"/>
      </w:pPr>
      <w:r w:rsidRPr="006927A9">
        <w:t xml:space="preserve">ECE.6 and EHA.18 states the expectation for loadings to be appropriately considered </w:t>
      </w:r>
      <w:r w:rsidR="00864C9B">
        <w:t>for example,</w:t>
      </w:r>
      <w:r w:rsidRPr="006927A9">
        <w:t xml:space="preserve"> for the intended use of structures, or extension of operations</w:t>
      </w:r>
      <w:r w:rsidR="00E55CBC">
        <w:t>,</w:t>
      </w:r>
    </w:p>
    <w:p w14:paraId="39A2AA84" w14:textId="426B1377" w:rsidR="00F9749A" w:rsidRPr="006927A9" w:rsidRDefault="00F9749A" w:rsidP="00F9749A">
      <w:pPr>
        <w:pStyle w:val="Bulletlist1"/>
        <w:ind w:left="1418" w:hanging="357"/>
      </w:pPr>
      <w:r w:rsidRPr="006927A9">
        <w:t xml:space="preserve">ECE.9 and EHA.12 consider the flooding hazard </w:t>
      </w:r>
      <w:r w:rsidR="00864C9B">
        <w:t>for example,</w:t>
      </w:r>
      <w:r w:rsidRPr="006927A9">
        <w:t xml:space="preserve"> climate change predictions for long term </w:t>
      </w:r>
      <w:r w:rsidR="00864C9B">
        <w:t>for example,</w:t>
      </w:r>
      <w:r w:rsidRPr="006927A9">
        <w:t xml:space="preserve"> for the longer durations of the </w:t>
      </w:r>
      <w:r w:rsidR="00864C9B">
        <w:t>C&amp;M</w:t>
      </w:r>
      <w:r w:rsidRPr="006927A9">
        <w:t xml:space="preserve"> phase,</w:t>
      </w:r>
    </w:p>
    <w:p w14:paraId="307453C2" w14:textId="26E08B2E" w:rsidR="00F9749A" w:rsidRPr="006927A9" w:rsidRDefault="00F9749A" w:rsidP="00F9749A">
      <w:pPr>
        <w:pStyle w:val="Bulletlist1"/>
        <w:ind w:left="1418" w:hanging="357"/>
      </w:pPr>
      <w:r w:rsidRPr="006927A9">
        <w:t>ECE.17</w:t>
      </w:r>
      <w:r>
        <w:t>,</w:t>
      </w:r>
      <w:r w:rsidRPr="006927A9">
        <w:t xml:space="preserve"> EMT.6</w:t>
      </w:r>
      <w:r w:rsidRPr="00C25D60">
        <w:t xml:space="preserve"> and ECE.20 establishes the expectation that provision should be made for </w:t>
      </w:r>
      <w:r>
        <w:t>maintenance for the anticipated lifetime of the structure and considered during changes</w:t>
      </w:r>
      <w:r w:rsidR="008E064B">
        <w:t>,</w:t>
      </w:r>
    </w:p>
    <w:p w14:paraId="79BE1017" w14:textId="7DC920AA" w:rsidR="00F9749A" w:rsidRDefault="00F9749A" w:rsidP="00F9749A">
      <w:pPr>
        <w:pStyle w:val="Bulletlist1"/>
        <w:ind w:left="1418" w:hanging="357"/>
      </w:pPr>
      <w:r w:rsidRPr="006927A9">
        <w:t>ECE.26 and DC.1 state the design should facilitate decommissioning and dismantling</w:t>
      </w:r>
      <w:r w:rsidR="00481D8A">
        <w:t>,</w:t>
      </w:r>
    </w:p>
    <w:p w14:paraId="0B7C41AA" w14:textId="11E578DA" w:rsidR="00F9749A" w:rsidRDefault="00F9749A" w:rsidP="00F9749A">
      <w:pPr>
        <w:pStyle w:val="Bulletlist1"/>
        <w:ind w:left="1418" w:hanging="357"/>
      </w:pPr>
      <w:r>
        <w:t>ECS.1 refers to adequate categorisation and classification of SSCs and how this can change during decommissioning</w:t>
      </w:r>
      <w:r w:rsidR="00481D8A">
        <w:t>,</w:t>
      </w:r>
    </w:p>
    <w:p w14:paraId="5FEF4B55" w14:textId="5B8088D5" w:rsidR="00F9749A" w:rsidRPr="006927A9" w:rsidRDefault="00F9749A" w:rsidP="00F9749A">
      <w:pPr>
        <w:pStyle w:val="Bulletlist1"/>
        <w:ind w:left="1418" w:hanging="357"/>
      </w:pPr>
      <w:r w:rsidRPr="006927A9">
        <w:t>DC.3 states an expectation that if you can’t operate a site safely then the unsafe part of the site should be decommissioned</w:t>
      </w:r>
      <w:r w:rsidR="00E2165E">
        <w:t>,</w:t>
      </w:r>
    </w:p>
    <w:p w14:paraId="7A29E7D9" w14:textId="27F70296" w:rsidR="00F9749A" w:rsidRPr="006927A9" w:rsidRDefault="00F9749A" w:rsidP="00F9749A">
      <w:pPr>
        <w:pStyle w:val="Bulletlist1"/>
        <w:ind w:left="1418" w:hanging="357"/>
      </w:pPr>
      <w:r w:rsidRPr="006927A9">
        <w:t>DC.4 outlines the content of a Decommissioning Plan</w:t>
      </w:r>
      <w:r w:rsidR="00E2165E">
        <w:t>,</w:t>
      </w:r>
    </w:p>
    <w:p w14:paraId="34B06638" w14:textId="4A38CC8D" w:rsidR="00F9749A" w:rsidRPr="006927A9" w:rsidRDefault="00F9749A" w:rsidP="00F9749A">
      <w:pPr>
        <w:pStyle w:val="Bulletlist1"/>
        <w:ind w:left="1418" w:hanging="357"/>
      </w:pPr>
      <w:r w:rsidRPr="006927A9">
        <w:t xml:space="preserve">DC.5 and RL.2 states the expectation for there to be updates to decommissioning strategies and plans, to include identification and remediation of any contaminated land, to ensure the site is passively safe before entering the </w:t>
      </w:r>
      <w:r w:rsidR="00864C9B">
        <w:t>C&amp;M</w:t>
      </w:r>
      <w:r w:rsidRPr="006927A9">
        <w:t xml:space="preserve"> phase</w:t>
      </w:r>
      <w:r w:rsidR="00FB3545">
        <w:t>,</w:t>
      </w:r>
    </w:p>
    <w:p w14:paraId="6E4E4BE1" w14:textId="4B10BAB7" w:rsidR="00F9749A" w:rsidRPr="006927A9" w:rsidRDefault="00F9749A" w:rsidP="00F9749A">
      <w:pPr>
        <w:pStyle w:val="Bulletlist1"/>
        <w:ind w:left="1418" w:hanging="357"/>
      </w:pPr>
      <w:r w:rsidRPr="006927A9">
        <w:t>DC.6 requires adequate arrangements to be implemented for the acquisition, retention and storage of relevant information and records</w:t>
      </w:r>
      <w:r w:rsidR="007A3044">
        <w:t>,</w:t>
      </w:r>
    </w:p>
    <w:p w14:paraId="4CC1F943" w14:textId="59D9BD37" w:rsidR="00F9749A" w:rsidRPr="006927A9" w:rsidRDefault="00F9749A" w:rsidP="00F9749A">
      <w:pPr>
        <w:pStyle w:val="Bulletlist1"/>
        <w:ind w:left="1418" w:hanging="357"/>
      </w:pPr>
      <w:r w:rsidRPr="006927A9">
        <w:t>DC.9 sets out the expectations for an adequate decommissioning safety case</w:t>
      </w:r>
      <w:r w:rsidR="007A3044">
        <w:t>,</w:t>
      </w:r>
    </w:p>
    <w:p w14:paraId="1ACAEF73" w14:textId="123CF958" w:rsidR="00F9749A" w:rsidRPr="006927A9" w:rsidRDefault="00F9749A" w:rsidP="00F9749A">
      <w:pPr>
        <w:pStyle w:val="Bulletlist1"/>
        <w:ind w:left="1418" w:hanging="357"/>
      </w:pPr>
      <w:r w:rsidRPr="006927A9">
        <w:t>EMC.11 failure models should be gradual and predictable</w:t>
      </w:r>
      <w:r w:rsidR="00AF15AD">
        <w:t>,</w:t>
      </w:r>
    </w:p>
    <w:p w14:paraId="17BC954D" w14:textId="596DC8F8" w:rsidR="00F9749A" w:rsidRPr="006927A9" w:rsidRDefault="00F9749A" w:rsidP="00F9749A">
      <w:pPr>
        <w:pStyle w:val="Bulletlist1"/>
        <w:ind w:left="1418" w:hanging="357"/>
      </w:pPr>
      <w:r w:rsidRPr="006927A9">
        <w:t>MS.2, EHF.8, DC.7 and DC.8 explain the expectations that the organisation will consider retention of information during handover between lifecycle phases with sufficient resource to undertake activities</w:t>
      </w:r>
      <w:r w:rsidR="00336729">
        <w:t>,</w:t>
      </w:r>
    </w:p>
    <w:p w14:paraId="38B856F5" w14:textId="48365526" w:rsidR="00F9749A" w:rsidRPr="006927A9" w:rsidRDefault="00F9749A" w:rsidP="00F9749A">
      <w:pPr>
        <w:pStyle w:val="Bulletlist1"/>
        <w:ind w:left="1418" w:hanging="357"/>
      </w:pPr>
      <w:r w:rsidRPr="006927A9">
        <w:lastRenderedPageBreak/>
        <w:t>RL.1, RL.2, RL.4, RL.6 and RL.8 state the expectations around radioactively contaminated land management where civil engineering input may be required</w:t>
      </w:r>
      <w:r w:rsidR="00D741F4">
        <w:t>,</w:t>
      </w:r>
    </w:p>
    <w:p w14:paraId="6E8A9791" w14:textId="523F64F7" w:rsidR="00F9749A" w:rsidRPr="006927A9" w:rsidRDefault="00F9749A" w:rsidP="00F9749A">
      <w:pPr>
        <w:pStyle w:val="Bulletlist1"/>
        <w:ind w:left="1418" w:hanging="357"/>
      </w:pPr>
      <w:r w:rsidRPr="006927A9">
        <w:t>SC.8 states the expectation that the dutyholder maintains responsibility for safety</w:t>
      </w:r>
      <w:r w:rsidR="00542B4F">
        <w:t>,</w:t>
      </w:r>
    </w:p>
    <w:p w14:paraId="0DD5DFC5" w14:textId="676D64C6" w:rsidR="00A9293E" w:rsidRDefault="00A9293E" w:rsidP="00A9293E">
      <w:pPr>
        <w:pStyle w:val="Bulletlist1"/>
        <w:ind w:left="1418" w:hanging="357"/>
      </w:pPr>
      <w:r>
        <w:t>EAD.2 establishes the key principle that adequate margins should exist throughout the life of a facility to allow for the effects of ageing and degradation</w:t>
      </w:r>
      <w:r w:rsidR="00CC125C">
        <w:t>,</w:t>
      </w:r>
    </w:p>
    <w:p w14:paraId="60F64F4C" w14:textId="6ABFF531" w:rsidR="00A9293E" w:rsidRDefault="00A9293E" w:rsidP="00A9293E">
      <w:pPr>
        <w:pStyle w:val="Bulletlist1"/>
        <w:ind w:left="1418" w:hanging="357"/>
      </w:pPr>
      <w:r>
        <w:t>ECE.2 establishes that, for structures requiring the highest level of reliability, failure modes should be predictable, gradual and detectable and consideration should be given to providing devices to monitor for degradation</w:t>
      </w:r>
      <w:r w:rsidR="00C25D60">
        <w:t>,</w:t>
      </w:r>
    </w:p>
    <w:p w14:paraId="644D026E" w14:textId="612E3CE7" w:rsidR="00A9293E" w:rsidRDefault="00A9293E" w:rsidP="00A9293E">
      <w:pPr>
        <w:pStyle w:val="Bulletlist1"/>
        <w:ind w:left="1418" w:hanging="357"/>
      </w:pPr>
      <w:r>
        <w:t>ECE.3 concerns the identification of defects, and in particular the expectation that the existence of defects that could compromise safety functions can be established throughout the lifecycle of the structure</w:t>
      </w:r>
      <w:r w:rsidR="00C25D60">
        <w:t>,</w:t>
      </w:r>
    </w:p>
    <w:p w14:paraId="79631E68" w14:textId="23348F47" w:rsidR="00A9293E" w:rsidRDefault="00A9293E" w:rsidP="00A9293E">
      <w:pPr>
        <w:pStyle w:val="Bulletlist1"/>
        <w:ind w:left="1418" w:hanging="357"/>
      </w:pPr>
      <w:r>
        <w:t xml:space="preserve">ECS.5 </w:t>
      </w:r>
      <w:r w:rsidR="00F40805">
        <w:t xml:space="preserve">is </w:t>
      </w:r>
      <w:r>
        <w:t xml:space="preserve">relevant </w:t>
      </w:r>
      <w:r w:rsidR="00424F2F">
        <w:t xml:space="preserve">when </w:t>
      </w:r>
      <w:r w:rsidR="006944BA">
        <w:t>the demonstration of safety is not possible by complying with applicable codes and standards</w:t>
      </w:r>
      <w:r w:rsidR="007005EE">
        <w:t xml:space="preserve"> and alternative approches are needed</w:t>
      </w:r>
      <w:r w:rsidR="00BA5126">
        <w:t>,</w:t>
      </w:r>
    </w:p>
    <w:p w14:paraId="6A9283EC" w14:textId="72EC9344" w:rsidR="00A9293E" w:rsidRDefault="00A9293E" w:rsidP="00A9293E">
      <w:pPr>
        <w:pStyle w:val="Bulletlist1"/>
        <w:ind w:left="1418" w:hanging="357"/>
      </w:pPr>
      <w:r>
        <w:t>EAD.3 and EAD.4 establish expectations for periodic measurement of material properties and parameters relevant to the design that could change with time (for example the load in post-tensioned tendons)</w:t>
      </w:r>
      <w:r w:rsidR="00C97F3B">
        <w:t>,</w:t>
      </w:r>
    </w:p>
    <w:p w14:paraId="11DBF697" w14:textId="78DA997A" w:rsidR="00A9293E" w:rsidRDefault="00A9293E" w:rsidP="00A9293E">
      <w:pPr>
        <w:pStyle w:val="Bulletlist1"/>
        <w:ind w:left="1418" w:hanging="357"/>
      </w:pPr>
      <w:r>
        <w:t>ECE.8, ECE.20, EMC.25, EMT.1, EMT.2, EMT.6 and EMT.8 establish expectations for inspection, testing and monitoring of structures</w:t>
      </w:r>
      <w:r w:rsidR="00182D14">
        <w:t>,</w:t>
      </w:r>
    </w:p>
    <w:p w14:paraId="3E8FAA04" w14:textId="5A46EC70" w:rsidR="00A9293E" w:rsidRDefault="00A9293E" w:rsidP="00A9293E">
      <w:pPr>
        <w:pStyle w:val="Bulletlist1"/>
        <w:ind w:left="1418" w:hanging="357"/>
      </w:pPr>
      <w:r>
        <w:t xml:space="preserve">SC.6 establishes the expectation that safety cases should identify and justify </w:t>
      </w:r>
      <w:r w:rsidR="00A0282F" w:rsidRPr="003C140B">
        <w:t xml:space="preserve">examination, inspection, maintenance and testing </w:t>
      </w:r>
      <w:r w:rsidR="00A0282F">
        <w:t>(</w:t>
      </w:r>
      <w:r>
        <w:t>EIMT</w:t>
      </w:r>
      <w:r w:rsidR="00A0282F">
        <w:t>)</w:t>
      </w:r>
      <w:r>
        <w:t xml:space="preserve"> regimes</w:t>
      </w:r>
      <w:r w:rsidR="00C70569">
        <w:t>,</w:t>
      </w:r>
    </w:p>
    <w:p w14:paraId="287A26E8" w14:textId="057AC9D0" w:rsidR="00A9293E" w:rsidRDefault="00A9293E" w:rsidP="00A9293E">
      <w:pPr>
        <w:pStyle w:val="Bulletlist1"/>
        <w:ind w:left="1418" w:hanging="357"/>
      </w:pPr>
      <w:r>
        <w:t>SC.7 establishes the expectation that safety cases will be actively maintained and reviewed and updated regularly to take into account changes, including those due to plant or facility ageing</w:t>
      </w:r>
      <w:r w:rsidR="00C70569">
        <w:t>,</w:t>
      </w:r>
    </w:p>
    <w:p w14:paraId="713368BF" w14:textId="2AF926AC" w:rsidR="00A9293E" w:rsidRDefault="00A9293E" w:rsidP="00A9293E">
      <w:pPr>
        <w:pStyle w:val="Bulletlist1"/>
        <w:ind w:left="1418" w:hanging="357"/>
      </w:pPr>
      <w:r>
        <w:t xml:space="preserve">DC.3 and DC.5 consider the possible impact of ageing on the timing of decommissioning and the need to establish an appropriate EIMT regime before entering a </w:t>
      </w:r>
      <w:r w:rsidR="00864C9B">
        <w:t>C&amp;M</w:t>
      </w:r>
      <w:r>
        <w:t xml:space="preserve"> phase.</w:t>
      </w:r>
    </w:p>
    <w:p w14:paraId="4AE0506F" w14:textId="3C7107DA" w:rsidR="00FF17FB" w:rsidRDefault="00985D36" w:rsidP="00985D36">
      <w:pPr>
        <w:pStyle w:val="F9-Paragraph"/>
        <w:ind w:left="851" w:hanging="851"/>
      </w:pPr>
      <w:r w:rsidRPr="00FD2702">
        <w:t xml:space="preserve">Inspectors should </w:t>
      </w:r>
      <w:r w:rsidRPr="002B1AA5">
        <w:t>also be cognisant of the broad intent of the SAPs; namely that it is not the level of conservatism assigned to one element of the civil engineering analysis and maintenance process, but the (overall) level of conservatism, applied to the substantiation and justification process and the structure as a whole</w:t>
      </w:r>
      <w:r w:rsidR="00FF2E7A">
        <w:t>.</w:t>
      </w:r>
    </w:p>
    <w:p w14:paraId="409D0E0C" w14:textId="68AE50BB" w:rsidR="00552D98" w:rsidRDefault="00EC7F32" w:rsidP="009804AB">
      <w:pPr>
        <w:pStyle w:val="Heading2"/>
        <w:ind w:left="851" w:hanging="851"/>
      </w:pPr>
      <w:r>
        <w:lastRenderedPageBreak/>
        <w:t xml:space="preserve">Applicable standards and </w:t>
      </w:r>
      <w:r w:rsidR="009804AB">
        <w:t>international expectations</w:t>
      </w:r>
    </w:p>
    <w:p w14:paraId="0DA0585E" w14:textId="57AB6C66" w:rsidR="009804AB" w:rsidRDefault="009804AB" w:rsidP="009804AB">
      <w:pPr>
        <w:pStyle w:val="F9-Paragraph"/>
        <w:ind w:left="851" w:hanging="851"/>
      </w:pPr>
      <w:r>
        <w:t xml:space="preserve">The assessment of civil engineering SSC expanded upon within this annex is informed by and meets the expectations of the </w:t>
      </w:r>
      <w:r w:rsidR="00757B18">
        <w:t>applicable st</w:t>
      </w:r>
      <w:r w:rsidR="00A56411">
        <w:t>andards and international guidance</w:t>
      </w:r>
      <w:r>
        <w:t>. The following are particularly relevant</w:t>
      </w:r>
      <w:r w:rsidR="004E3682">
        <w:t>:</w:t>
      </w:r>
    </w:p>
    <w:p w14:paraId="2963C7CE" w14:textId="13E82C4C" w:rsidR="009804AB" w:rsidRDefault="008A24F9" w:rsidP="0048241B">
      <w:pPr>
        <w:pStyle w:val="Bulletlist1"/>
        <w:ind w:left="1418" w:hanging="357"/>
      </w:pPr>
      <w:r w:rsidRPr="0048241B">
        <w:t>IAEA Safety Standards SSG-47 ‘Decommissioning of Nuclear Power Plants, Research Reactors and other Nuclear Fuel Cycle Facilities’</w:t>
      </w:r>
      <w:r w:rsidR="0029687A">
        <w:t xml:space="preserve"> </w:t>
      </w:r>
      <w:sdt>
        <w:sdtPr>
          <w:id w:val="-1054310755"/>
          <w:citation/>
        </w:sdtPr>
        <w:sdtEndPr/>
        <w:sdtContent>
          <w:r w:rsidR="000E5215">
            <w:fldChar w:fldCharType="begin"/>
          </w:r>
          <w:r w:rsidR="0029687A">
            <w:instrText xml:space="preserve">CITATION DECIAEASSG47 \l 2057 </w:instrText>
          </w:r>
          <w:r w:rsidR="000E5215">
            <w:fldChar w:fldCharType="separate"/>
          </w:r>
          <w:r w:rsidR="0029687A" w:rsidRPr="0029687A">
            <w:t>[4]</w:t>
          </w:r>
          <w:r w:rsidR="000E5215">
            <w:fldChar w:fldCharType="end"/>
          </w:r>
        </w:sdtContent>
      </w:sdt>
    </w:p>
    <w:p w14:paraId="031BA77A" w14:textId="456990B5" w:rsidR="0048241B" w:rsidRDefault="00445778" w:rsidP="0048241B">
      <w:pPr>
        <w:pStyle w:val="Bulletlist1"/>
        <w:ind w:left="1418" w:hanging="357"/>
      </w:pPr>
      <w:r w:rsidRPr="007405B1">
        <w:rPr>
          <w:iCs/>
        </w:rPr>
        <w:t>IAEA G</w:t>
      </w:r>
      <w:r>
        <w:rPr>
          <w:iCs/>
        </w:rPr>
        <w:t xml:space="preserve">eneral </w:t>
      </w:r>
      <w:r w:rsidRPr="007405B1">
        <w:rPr>
          <w:iCs/>
        </w:rPr>
        <w:t>S</w:t>
      </w:r>
      <w:r>
        <w:rPr>
          <w:iCs/>
        </w:rPr>
        <w:t xml:space="preserve">afety </w:t>
      </w:r>
      <w:r w:rsidRPr="007405B1">
        <w:rPr>
          <w:iCs/>
        </w:rPr>
        <w:t>R</w:t>
      </w:r>
      <w:r>
        <w:rPr>
          <w:iCs/>
        </w:rPr>
        <w:t>equirements No. GSR</w:t>
      </w:r>
      <w:r w:rsidRPr="007405B1">
        <w:rPr>
          <w:iCs/>
        </w:rPr>
        <w:t xml:space="preserve"> Part</w:t>
      </w:r>
      <w:r>
        <w:rPr>
          <w:iCs/>
        </w:rPr>
        <w:t xml:space="preserve"> </w:t>
      </w:r>
      <w:r w:rsidR="009B3406">
        <w:rPr>
          <w:iCs/>
        </w:rPr>
        <w:t>6</w:t>
      </w:r>
      <w:r>
        <w:rPr>
          <w:iCs/>
        </w:rPr>
        <w:t xml:space="preserve"> ‘</w:t>
      </w:r>
      <w:r w:rsidR="009B3406">
        <w:t>Decommissioning of Facilities'</w:t>
      </w:r>
      <w:r w:rsidR="0029687A">
        <w:t xml:space="preserve"> </w:t>
      </w:r>
      <w:sdt>
        <w:sdtPr>
          <w:rPr>
            <w:iCs/>
          </w:rPr>
          <w:id w:val="-970120414"/>
          <w:citation/>
        </w:sdtPr>
        <w:sdtEndPr/>
        <w:sdtContent>
          <w:r w:rsidR="000E5215">
            <w:rPr>
              <w:iCs/>
            </w:rPr>
            <w:fldChar w:fldCharType="begin"/>
          </w:r>
          <w:r w:rsidR="0029687A">
            <w:rPr>
              <w:iCs/>
            </w:rPr>
            <w:instrText xml:space="preserve">CITATION DECIAEAGSRPart6 \l 2057 </w:instrText>
          </w:r>
          <w:r w:rsidR="000E5215">
            <w:rPr>
              <w:iCs/>
            </w:rPr>
            <w:fldChar w:fldCharType="separate"/>
          </w:r>
          <w:r w:rsidR="0029687A" w:rsidRPr="0029687A">
            <w:t>[5]</w:t>
          </w:r>
          <w:r w:rsidR="000E5215">
            <w:rPr>
              <w:iCs/>
            </w:rPr>
            <w:fldChar w:fldCharType="end"/>
          </w:r>
        </w:sdtContent>
      </w:sdt>
    </w:p>
    <w:p w14:paraId="754DCD13" w14:textId="7DE14BFD" w:rsidR="002F60C6" w:rsidRDefault="0048241B" w:rsidP="00A9293E">
      <w:pPr>
        <w:pStyle w:val="Bulletlist1"/>
        <w:ind w:left="1418" w:hanging="357"/>
      </w:pPr>
      <w:r>
        <w:t>WENRA Decommissioning Safety Reference Levels</w:t>
      </w:r>
      <w:r w:rsidR="00A07755">
        <w:t xml:space="preserve"> </w:t>
      </w:r>
      <w:sdt>
        <w:sdtPr>
          <w:id w:val="-609662982"/>
          <w:citation/>
        </w:sdtPr>
        <w:sdtEndPr/>
        <w:sdtContent>
          <w:r w:rsidR="000E5215">
            <w:fldChar w:fldCharType="begin"/>
          </w:r>
          <w:r w:rsidR="0029687A">
            <w:instrText xml:space="preserve">CITATION WEN \l 2057 </w:instrText>
          </w:r>
          <w:r w:rsidR="000E5215">
            <w:fldChar w:fldCharType="separate"/>
          </w:r>
          <w:r w:rsidR="0029687A" w:rsidRPr="0029687A">
            <w:t>[6]</w:t>
          </w:r>
          <w:r w:rsidR="000E5215">
            <w:fldChar w:fldCharType="end"/>
          </w:r>
        </w:sdtContent>
      </w:sdt>
    </w:p>
    <w:p w14:paraId="089A0DA0" w14:textId="77777777" w:rsidR="00EA658F" w:rsidRDefault="00EA658F" w:rsidP="002A1DDC">
      <w:pPr>
        <w:pStyle w:val="F9-Paragraph"/>
        <w:numPr>
          <w:ilvl w:val="0"/>
          <w:numId w:val="0"/>
        </w:numPr>
        <w:ind w:left="851"/>
      </w:pPr>
    </w:p>
    <w:p w14:paraId="3CBD6DB2" w14:textId="610C89DF" w:rsidR="002A1DDC" w:rsidRDefault="002A1DDC" w:rsidP="002A1DDC">
      <w:pPr>
        <w:pStyle w:val="F9-Paragraph"/>
        <w:numPr>
          <w:ilvl w:val="0"/>
          <w:numId w:val="0"/>
        </w:numPr>
        <w:ind w:left="851"/>
        <w:sectPr w:rsidR="002A1DDC" w:rsidSect="00561832">
          <w:headerReference w:type="even" r:id="rId22"/>
          <w:headerReference w:type="default" r:id="rId23"/>
          <w:footerReference w:type="even" r:id="rId24"/>
          <w:pgSz w:w="11906" w:h="16838"/>
          <w:pgMar w:top="1440" w:right="1440" w:bottom="1440" w:left="1440" w:header="708" w:footer="708" w:gutter="0"/>
          <w:cols w:space="708"/>
          <w:docGrid w:linePitch="360"/>
        </w:sectPr>
      </w:pPr>
    </w:p>
    <w:p w14:paraId="05AAE39A" w14:textId="777E733C" w:rsidR="008D49A5" w:rsidRDefault="00E33281" w:rsidP="00E90780">
      <w:pPr>
        <w:pStyle w:val="Heading1"/>
      </w:pPr>
      <w:bookmarkStart w:id="8" w:name="_Toc223701979"/>
      <w:bookmarkStart w:id="9" w:name="_Toc234839743"/>
      <w:r>
        <w:lastRenderedPageBreak/>
        <w:t xml:space="preserve">Post </w:t>
      </w:r>
      <w:r w:rsidR="0029687A">
        <w:t>o</w:t>
      </w:r>
      <w:r>
        <w:t xml:space="preserve">peration </w:t>
      </w:r>
      <w:r w:rsidR="0029687A">
        <w:t xml:space="preserve">– </w:t>
      </w:r>
      <w:r>
        <w:t>Overall</w:t>
      </w:r>
      <w:r w:rsidR="0029687A">
        <w:t xml:space="preserve"> c</w:t>
      </w:r>
      <w:r>
        <w:t>onsiderations</w:t>
      </w:r>
      <w:bookmarkEnd w:id="8"/>
      <w:bookmarkEnd w:id="9"/>
    </w:p>
    <w:p w14:paraId="0FDF3F97" w14:textId="77C83407" w:rsidR="00634AFB" w:rsidRDefault="00634AFB" w:rsidP="00634AFB">
      <w:pPr>
        <w:pStyle w:val="F9-Paragraph"/>
        <w:ind w:left="851" w:hanging="851"/>
      </w:pPr>
      <w:r>
        <w:t>The timing of demolition of the civil engineering SSCs on sites varies as decommissioning and clear-out processes are progressed. The</w:t>
      </w:r>
      <w:r w:rsidR="00DD3C45">
        <w:t xml:space="preserve"> </w:t>
      </w:r>
      <w:r>
        <w:t xml:space="preserve">phases of post operation are rarely site-wide, so an </w:t>
      </w:r>
      <w:r w:rsidRPr="000D7D35">
        <w:t xml:space="preserve">area, section or structure can be considered as ‘post operation’, when </w:t>
      </w:r>
      <w:r>
        <w:t>surrounding SSCs</w:t>
      </w:r>
      <w:r w:rsidRPr="000D7D35">
        <w:t xml:space="preserve"> are still ‘operational’.</w:t>
      </w:r>
    </w:p>
    <w:p w14:paraId="02974C3E" w14:textId="57D2FC4C" w:rsidR="00634AFB" w:rsidRDefault="00634AFB" w:rsidP="00634AFB">
      <w:pPr>
        <w:pStyle w:val="F9-Paragraph"/>
        <w:ind w:left="851" w:hanging="851"/>
      </w:pPr>
      <w:r>
        <w:t>Residual nuclear safety functions may be required of civil engineering SSCs once the site has ceased operation. These demands are likely to extend well beyond</w:t>
      </w:r>
      <w:r w:rsidRPr="004C5980">
        <w:t xml:space="preserve"> the originally envisaged design life</w:t>
      </w:r>
      <w:r>
        <w:t xml:space="preserve"> of the civil engineering SSCs. These residual nuclear safety functions usually include structural support to, and protection, c</w:t>
      </w:r>
      <w:r w:rsidRPr="004C5980">
        <w:t xml:space="preserve">ontainment and shielding </w:t>
      </w:r>
      <w:r>
        <w:t>of, nuclear inventory, including contaminated or activated components</w:t>
      </w:r>
      <w:r w:rsidRPr="004C5980">
        <w:t>.</w:t>
      </w:r>
    </w:p>
    <w:p w14:paraId="14A16CFF" w14:textId="01548579" w:rsidR="00634AFB" w:rsidRDefault="00634AFB" w:rsidP="00634AFB">
      <w:pPr>
        <w:pStyle w:val="F9-Paragraph"/>
        <w:ind w:left="851" w:hanging="851"/>
      </w:pPr>
      <w:r w:rsidRPr="004C5980">
        <w:t>When nuclear safety functions are no longer</w:t>
      </w:r>
      <w:r>
        <w:t xml:space="preserve"> applicable</w:t>
      </w:r>
      <w:r w:rsidRPr="004C5980">
        <w:t>, civil</w:t>
      </w:r>
      <w:r>
        <w:t xml:space="preserve"> engineering SSCs</w:t>
      </w:r>
      <w:r w:rsidRPr="004C5980">
        <w:t xml:space="preserve"> may </w:t>
      </w:r>
      <w:r>
        <w:t xml:space="preserve">still be required to </w:t>
      </w:r>
      <w:r w:rsidRPr="004C5980">
        <w:t xml:space="preserve">provide residual </w:t>
      </w:r>
      <w:r>
        <w:t xml:space="preserve">security, environmental or </w:t>
      </w:r>
      <w:r w:rsidRPr="004C5980">
        <w:t xml:space="preserve">conventional safety functions, such as </w:t>
      </w:r>
      <w:r>
        <w:t xml:space="preserve">a </w:t>
      </w:r>
      <w:r w:rsidRPr="004C5980">
        <w:t>weatherproof envelope</w:t>
      </w:r>
      <w:r>
        <w:t>, confining hazardous substances such as asbestos or other waste materials, or providing</w:t>
      </w:r>
      <w:r w:rsidRPr="004C5980">
        <w:t xml:space="preserve"> sup</w:t>
      </w:r>
      <w:r>
        <w:t>port for security equipment</w:t>
      </w:r>
      <w:r w:rsidRPr="004C5980">
        <w:t>.</w:t>
      </w:r>
    </w:p>
    <w:p w14:paraId="21EB0A76" w14:textId="2B09640C" w:rsidR="00634AFB" w:rsidRDefault="00407E02" w:rsidP="00634AFB">
      <w:pPr>
        <w:pStyle w:val="F9-Paragraph"/>
        <w:ind w:left="851" w:hanging="851"/>
      </w:pPr>
      <w:r>
        <w:t xml:space="preserve">Safety functions must be maintained after the site has cease operation to ensure the ongoing safety of the facility. The </w:t>
      </w:r>
      <w:r w:rsidR="002D690F">
        <w:t>i</w:t>
      </w:r>
      <w:r>
        <w:t>nspector may wish to consider the risk of foreclosure, that safe options for future demolition are not limited</w:t>
      </w:r>
      <w:r w:rsidRPr="00735EA5">
        <w:t xml:space="preserve"> </w:t>
      </w:r>
      <w:r>
        <w:t>un-necessarily by lack of maintenance.</w:t>
      </w:r>
    </w:p>
    <w:p w14:paraId="5C713B31" w14:textId="1DD80A6A" w:rsidR="007956AD" w:rsidRDefault="007956AD" w:rsidP="007956AD">
      <w:pPr>
        <w:pStyle w:val="F9-Paragraph"/>
        <w:ind w:left="851" w:hanging="851"/>
      </w:pPr>
      <w:r w:rsidRPr="00375804">
        <w:t xml:space="preserve">The </w:t>
      </w:r>
      <w:r w:rsidR="002D690F">
        <w:t>i</w:t>
      </w:r>
      <w:r w:rsidRPr="00375804">
        <w:t>nspector should expect a review of internal and external hazards throughout the phases of post-operation, to ensure that decisions made do not preclude options for access or egress, invalidate assumptions in the safety case or increase the risk of structural collapse during a (beyond) design basis event</w:t>
      </w:r>
      <w:r>
        <w:t>.</w:t>
      </w:r>
    </w:p>
    <w:p w14:paraId="19C6FAD4" w14:textId="03876C14" w:rsidR="007956AD" w:rsidRDefault="007956AD" w:rsidP="00E94BF8">
      <w:pPr>
        <w:pStyle w:val="F9-Paragraph"/>
        <w:ind w:left="851" w:hanging="851"/>
      </w:pPr>
      <w:r w:rsidRPr="00E2126C">
        <w:t>For an event in the post-operational phase, either design basis or beyond design basis event or accident, the civil engineering SSCs should still respond in the way they were designed to. SAP EMC.11 establishes the expectation that failure models should be gradual and predictable.</w:t>
      </w:r>
    </w:p>
    <w:p w14:paraId="1CCDAF59" w14:textId="2C4CEC72" w:rsidR="005B283B" w:rsidRDefault="005B283B" w:rsidP="005B283B">
      <w:pPr>
        <w:pStyle w:val="Heading2"/>
        <w:ind w:left="851" w:hanging="851"/>
      </w:pPr>
      <w:r>
        <w:t xml:space="preserve">Decommissioning </w:t>
      </w:r>
      <w:r w:rsidR="0029687A">
        <w:t>p</w:t>
      </w:r>
      <w:r>
        <w:t>lan</w:t>
      </w:r>
    </w:p>
    <w:p w14:paraId="3ECD7978" w14:textId="08A14E15" w:rsidR="00850F49" w:rsidRDefault="00850F49" w:rsidP="00060852">
      <w:pPr>
        <w:pStyle w:val="F9-Paragraph"/>
        <w:ind w:left="851" w:hanging="851"/>
      </w:pPr>
      <w:r>
        <w:t>Each dutyholder is expected to develop an overall site decommissioning strategy. Each licensed site is expected to have a specific decommissioning plan which addresses the what, when and how of the post operation</w:t>
      </w:r>
      <w:r w:rsidRPr="00C646F2">
        <w:t xml:space="preserve"> </w:t>
      </w:r>
      <w:r>
        <w:t xml:space="preserve">phases </w:t>
      </w:r>
      <w:sdt>
        <w:sdtPr>
          <w:id w:val="1395471690"/>
          <w:citation/>
        </w:sdtPr>
        <w:sdtEndPr/>
        <w:sdtContent>
          <w:r>
            <w:fldChar w:fldCharType="begin"/>
          </w:r>
          <w:r w:rsidR="0029687A">
            <w:instrText xml:space="preserve">CITATION WEN \l 2057 </w:instrText>
          </w:r>
          <w:r>
            <w:fldChar w:fldCharType="separate"/>
          </w:r>
          <w:r w:rsidR="0029687A">
            <w:rPr>
              <w:noProof/>
            </w:rPr>
            <w:t>[6]</w:t>
          </w:r>
          <w:r>
            <w:fldChar w:fldCharType="end"/>
          </w:r>
        </w:sdtContent>
      </w:sdt>
      <w:r>
        <w:t xml:space="preserve">. </w:t>
      </w:r>
    </w:p>
    <w:p w14:paraId="37DF9487" w14:textId="77777777" w:rsidR="0029687A" w:rsidRDefault="0029687A" w:rsidP="00E55D6D">
      <w:pPr>
        <w:pStyle w:val="F9-Paragraph"/>
        <w:ind w:left="851" w:hanging="851"/>
        <w:sectPr w:rsidR="0029687A">
          <w:pgSz w:w="11906" w:h="16838"/>
          <w:pgMar w:top="1440" w:right="1440" w:bottom="1440" w:left="1440" w:header="708" w:footer="708" w:gutter="0"/>
          <w:cols w:space="708"/>
          <w:docGrid w:linePitch="360"/>
        </w:sectPr>
      </w:pPr>
    </w:p>
    <w:p w14:paraId="3E9B7D67" w14:textId="1AEABA97" w:rsidR="00E55D6D" w:rsidRPr="00E55D6D" w:rsidRDefault="00E55D6D" w:rsidP="00E55D6D">
      <w:pPr>
        <w:pStyle w:val="F9-Paragraph"/>
        <w:ind w:left="851" w:hanging="851"/>
      </w:pPr>
      <w:r w:rsidRPr="00E55D6D">
        <w:lastRenderedPageBreak/>
        <w:t xml:space="preserve">Due to the advances in </w:t>
      </w:r>
      <w:r>
        <w:t xml:space="preserve">decommissioning </w:t>
      </w:r>
      <w:r w:rsidRPr="00E55D6D">
        <w:t>technolog</w:t>
      </w:r>
      <w:r>
        <w:t>ies and new technologies</w:t>
      </w:r>
      <w:r w:rsidR="00555641">
        <w:t>,</w:t>
      </w:r>
      <w:r w:rsidRPr="00E55D6D">
        <w:t xml:space="preserve"> the final decommissioning plan may differ from the information in the initial decommissioning plan. The final plan will be developed as site ceases operations, and </w:t>
      </w:r>
      <w:r w:rsidR="00A54115">
        <w:t>new</w:t>
      </w:r>
      <w:r w:rsidRPr="00E55D6D">
        <w:t xml:space="preserve"> </w:t>
      </w:r>
      <w:r w:rsidR="00A54115">
        <w:t xml:space="preserve">decommissioning </w:t>
      </w:r>
      <w:r w:rsidRPr="00E55D6D">
        <w:t>technolog</w:t>
      </w:r>
      <w:r w:rsidR="00A54115">
        <w:t>ies</w:t>
      </w:r>
      <w:r w:rsidRPr="00E55D6D">
        <w:t xml:space="preserve"> may provide alternative options that were not feasible at the time of writing the initial decommissioning plan.</w:t>
      </w:r>
    </w:p>
    <w:p w14:paraId="717F7021" w14:textId="217EFBD5" w:rsidR="002C2A1B" w:rsidRPr="002C2A1B" w:rsidRDefault="002C2A1B" w:rsidP="002C2A1B">
      <w:pPr>
        <w:pStyle w:val="F9-Paragraph"/>
        <w:ind w:left="851" w:hanging="851"/>
      </w:pPr>
      <w:r w:rsidRPr="002C2A1B">
        <w:t xml:space="preserve">The </w:t>
      </w:r>
      <w:r w:rsidR="00127677">
        <w:t>i</w:t>
      </w:r>
      <w:r w:rsidRPr="002C2A1B">
        <w:t xml:space="preserve">nspector may wish to seek assurance that constructability of the final decommissioning plan is in line with </w:t>
      </w:r>
      <w:r w:rsidR="0029687A">
        <w:t xml:space="preserve">The </w:t>
      </w:r>
      <w:r w:rsidRPr="002C2A1B">
        <w:t xml:space="preserve">Construction (Design and Management) Regulations (CDM2015) considerations and other relevant health and safety legislation, alongside consideration of the </w:t>
      </w:r>
      <w:r w:rsidR="0029687A">
        <w:t>‘</w:t>
      </w:r>
      <w:r w:rsidRPr="002C2A1B">
        <w:t>ALARP</w:t>
      </w:r>
      <w:r w:rsidR="0029687A">
        <w:t>’</w:t>
      </w:r>
      <w:r w:rsidRPr="002C2A1B">
        <w:t xml:space="preserve"> principle. A list of </w:t>
      </w:r>
      <w:r w:rsidR="00AA352C">
        <w:t xml:space="preserve">key </w:t>
      </w:r>
      <w:r w:rsidRPr="002C2A1B">
        <w:t xml:space="preserve">legislation and guidance that is common to activities post operation is included in Section </w:t>
      </w:r>
      <w:r w:rsidR="0029687A">
        <w:fldChar w:fldCharType="begin"/>
      </w:r>
      <w:r w:rsidR="0029687A">
        <w:instrText xml:space="preserve"> REF _Ref234839184 \r \h </w:instrText>
      </w:r>
      <w:r w:rsidR="0029687A">
        <w:fldChar w:fldCharType="separate"/>
      </w:r>
      <w:r w:rsidR="0029687A">
        <w:rPr>
          <w:cs/>
        </w:rPr>
        <w:t>‎</w:t>
      </w:r>
      <w:r w:rsidR="0029687A">
        <w:t>4.1</w:t>
      </w:r>
      <w:r w:rsidR="0029687A">
        <w:fldChar w:fldCharType="end"/>
      </w:r>
      <w:r w:rsidR="0029687A">
        <w:t xml:space="preserve"> </w:t>
      </w:r>
      <w:r w:rsidRPr="002C2A1B">
        <w:t>of this document.</w:t>
      </w:r>
    </w:p>
    <w:p w14:paraId="44BC6EEE" w14:textId="030EF5A3" w:rsidR="00E55D6D" w:rsidRDefault="002C2A1B" w:rsidP="00B66A68">
      <w:pPr>
        <w:pStyle w:val="F9-Paragraph"/>
        <w:ind w:left="851" w:hanging="851"/>
      </w:pPr>
      <w:r w:rsidRPr="002C2A1B">
        <w:t xml:space="preserve">The </w:t>
      </w:r>
      <w:r w:rsidR="00FB69CF">
        <w:t>i</w:t>
      </w:r>
      <w:r w:rsidRPr="002C2A1B">
        <w:t>nspector may wish to seek assurance that there is a Decommissioning Plan in place for each facility which identifies the plan of how the facility will be safely decommissioned in line with the expectations of SAP DC.4 (</w:t>
      </w:r>
      <w:r w:rsidR="0029687A">
        <w:t xml:space="preserve">refer to </w:t>
      </w:r>
      <w:r w:rsidRPr="002C2A1B">
        <w:t xml:space="preserve"> </w:t>
      </w:r>
      <w:sdt>
        <w:sdtPr>
          <w:id w:val="216796625"/>
          <w:citation/>
        </w:sdtPr>
        <w:sdtContent>
          <w:r w:rsidR="0029687A">
            <w:fldChar w:fldCharType="begin"/>
          </w:r>
          <w:r w:rsidR="0029687A">
            <w:instrText xml:space="preserve"> CITATION WEN \l 2057 </w:instrText>
          </w:r>
          <w:r w:rsidR="0029687A">
            <w:fldChar w:fldCharType="separate"/>
          </w:r>
          <w:r w:rsidR="0029687A">
            <w:rPr>
              <w:noProof/>
            </w:rPr>
            <w:t>[6]</w:t>
          </w:r>
          <w:r w:rsidR="0029687A">
            <w:fldChar w:fldCharType="end"/>
          </w:r>
        </w:sdtContent>
      </w:sdt>
      <w:r w:rsidRPr="002C2A1B">
        <w:t xml:space="preserve">). The </w:t>
      </w:r>
      <w:r w:rsidR="009515E3">
        <w:t>i</w:t>
      </w:r>
      <w:r w:rsidRPr="002C2A1B">
        <w:t xml:space="preserve">nspector may wish to review such plans and consider whether the civil engineering SSC condition has been </w:t>
      </w:r>
      <w:r w:rsidR="00BA2DD7">
        <w:t>demonstrated</w:t>
      </w:r>
      <w:r w:rsidRPr="002C2A1B">
        <w:t xml:space="preserve"> to continue to provide the necessary </w:t>
      </w:r>
      <w:r w:rsidR="002B7A77">
        <w:t>s</w:t>
      </w:r>
      <w:r w:rsidR="000D25FF">
        <w:t xml:space="preserve">afety </w:t>
      </w:r>
      <w:r w:rsidR="00F402D6">
        <w:t>f</w:t>
      </w:r>
      <w:r w:rsidR="000D25FF">
        <w:t xml:space="preserve">unctional </w:t>
      </w:r>
      <w:r w:rsidR="002B7A77">
        <w:t>r</w:t>
      </w:r>
      <w:r w:rsidR="000D25FF">
        <w:t>equirement</w:t>
      </w:r>
      <w:r w:rsidRPr="002C2A1B">
        <w:t xml:space="preserve"> .</w:t>
      </w:r>
    </w:p>
    <w:p w14:paraId="13C71D83" w14:textId="73FF56E0" w:rsidR="00E83127" w:rsidRDefault="00AF7615" w:rsidP="00AF7615">
      <w:pPr>
        <w:pStyle w:val="Heading2"/>
        <w:ind w:left="851" w:hanging="851"/>
      </w:pPr>
      <w:r>
        <w:t xml:space="preserve">Post </w:t>
      </w:r>
      <w:r w:rsidR="0029687A">
        <w:t>o</w:t>
      </w:r>
      <w:r>
        <w:t xml:space="preserve">peration – Understanding of </w:t>
      </w:r>
      <w:r w:rsidR="0029687A">
        <w:t>r</w:t>
      </w:r>
      <w:r>
        <w:t>isks</w:t>
      </w:r>
    </w:p>
    <w:p w14:paraId="002AB342" w14:textId="009BA321" w:rsidR="008C4EF6" w:rsidRDefault="008C4EF6" w:rsidP="00247077">
      <w:pPr>
        <w:pStyle w:val="F9-Paragraph"/>
        <w:ind w:left="851" w:hanging="851"/>
      </w:pPr>
      <w:r>
        <w:t>When an inventory of nuclear material is present on a site, the most significant risk is usually the radiological risk and the possible doses to employees and the public. If this inventory is reduced (by removing the fuel from a power reactor, for example) then it may not be appropriate to make decisions based on dose alone. On a de-fuelled power reactor site, asbestos might be the most significant hazard.</w:t>
      </w:r>
    </w:p>
    <w:p w14:paraId="4B1C7072" w14:textId="3EDB098F" w:rsidR="00B40A32" w:rsidRPr="002B1AA5" w:rsidRDefault="00B40A32" w:rsidP="00B40A32">
      <w:pPr>
        <w:pStyle w:val="F9-Paragraph"/>
        <w:ind w:left="851" w:hanging="851"/>
      </w:pPr>
      <w:r w:rsidRPr="002B1AA5">
        <w:t xml:space="preserve">The </w:t>
      </w:r>
      <w:r w:rsidR="00337114">
        <w:t>i</w:t>
      </w:r>
      <w:r w:rsidRPr="002B1AA5">
        <w:t xml:space="preserve">nspector may wish to consider whether hazards and resultant risks have been considered when assessing activities after cessation of operations. The </w:t>
      </w:r>
      <w:r w:rsidR="00B74591">
        <w:t>i</w:t>
      </w:r>
      <w:r w:rsidRPr="002B1AA5">
        <w:t>nspector may consider the:</w:t>
      </w:r>
    </w:p>
    <w:p w14:paraId="1D12972A" w14:textId="77777777" w:rsidR="00B40A32" w:rsidRDefault="00B40A32" w:rsidP="00AA0D1B">
      <w:pPr>
        <w:pStyle w:val="Bulletlist1"/>
        <w:ind w:left="1418" w:hanging="357"/>
      </w:pPr>
      <w:r>
        <w:t xml:space="preserve">accuracy and adequacy of information in the </w:t>
      </w:r>
      <w:r w:rsidRPr="003C140B">
        <w:t xml:space="preserve">health and safety file for the identification of hazards and resultant risks, </w:t>
      </w:r>
    </w:p>
    <w:p w14:paraId="6D3DE040" w14:textId="77777777" w:rsidR="00B40A32" w:rsidRDefault="00B40A32" w:rsidP="00AA0D1B">
      <w:pPr>
        <w:pStyle w:val="Bulletlist1"/>
        <w:ind w:left="1418" w:hanging="357"/>
      </w:pPr>
      <w:r>
        <w:t xml:space="preserve">adequacy of the </w:t>
      </w:r>
      <w:r w:rsidRPr="003C140B">
        <w:t xml:space="preserve">arrangements in place to manage the risks associated with the </w:t>
      </w:r>
      <w:r>
        <w:t xml:space="preserve">proposed </w:t>
      </w:r>
      <w:r w:rsidRPr="003C140B">
        <w:t xml:space="preserve">civil engineering works, </w:t>
      </w:r>
    </w:p>
    <w:p w14:paraId="79D0E7B7" w14:textId="77777777" w:rsidR="00B40A32" w:rsidRDefault="00B40A32" w:rsidP="00AA0D1B">
      <w:pPr>
        <w:pStyle w:val="Bulletlist1"/>
        <w:ind w:left="1418" w:hanging="357"/>
      </w:pPr>
      <w:r>
        <w:t>load</w:t>
      </w:r>
      <w:r w:rsidRPr="003C140B">
        <w:t xml:space="preserve"> paths or transient and temporary conditions </w:t>
      </w:r>
      <w:r>
        <w:t xml:space="preserve">that </w:t>
      </w:r>
      <w:r w:rsidRPr="003C140B">
        <w:t>may have not been ne</w:t>
      </w:r>
      <w:r>
        <w:t>cessary to have been considered</w:t>
      </w:r>
      <w:r w:rsidRPr="003C140B">
        <w:t xml:space="preserve"> during the operational phase of the structure, </w:t>
      </w:r>
    </w:p>
    <w:p w14:paraId="5E564A0B" w14:textId="77777777" w:rsidR="00B40A32" w:rsidRDefault="00B40A32" w:rsidP="00AA0D1B">
      <w:pPr>
        <w:pStyle w:val="Bulletlist1"/>
        <w:ind w:left="1418" w:hanging="357"/>
      </w:pPr>
      <w:r>
        <w:t xml:space="preserve">potential impact on </w:t>
      </w:r>
      <w:r w:rsidRPr="003C140B">
        <w:t xml:space="preserve">adjacent facilities, especially referring to health and safety files and designers risk assessments of adjacent facilities that may have been built later in the site life, </w:t>
      </w:r>
    </w:p>
    <w:p w14:paraId="2F637DDC" w14:textId="77777777" w:rsidR="00B40A32" w:rsidRDefault="00B40A32" w:rsidP="00AA0D1B">
      <w:pPr>
        <w:pStyle w:val="Bulletlist1"/>
        <w:ind w:left="1418" w:hanging="357"/>
      </w:pPr>
      <w:r w:rsidRPr="003C140B">
        <w:t xml:space="preserve">construction sequence </w:t>
      </w:r>
      <w:r>
        <w:t xml:space="preserve">risks </w:t>
      </w:r>
      <w:r w:rsidRPr="003C140B">
        <w:t xml:space="preserve">for decommissioning and demolition and how this information is recorded, </w:t>
      </w:r>
    </w:p>
    <w:p w14:paraId="31A00F02" w14:textId="77777777" w:rsidR="00B40A32" w:rsidRDefault="00B40A32" w:rsidP="00AA0D1B">
      <w:pPr>
        <w:pStyle w:val="Bulletlist1"/>
        <w:ind w:left="1418" w:hanging="357"/>
      </w:pPr>
      <w:r w:rsidRPr="003C140B">
        <w:lastRenderedPageBreak/>
        <w:t xml:space="preserve">whether the structure has been designed and detailed so that it can be easily decontaminated and dismantled, </w:t>
      </w:r>
    </w:p>
    <w:p w14:paraId="646C809D" w14:textId="77777777" w:rsidR="00B40A32" w:rsidRPr="003C140B" w:rsidRDefault="00B40A32" w:rsidP="00AA0D1B">
      <w:pPr>
        <w:pStyle w:val="Bulletlist1"/>
        <w:ind w:left="1418" w:hanging="357"/>
      </w:pPr>
      <w:r w:rsidRPr="003C140B">
        <w:t xml:space="preserve">specific health and safety control measures identified and documented in the health and safety file for use at the decommissioning and dismantling phase, </w:t>
      </w:r>
      <w:r>
        <w:t xml:space="preserve">adequacy of information for </w:t>
      </w:r>
      <w:r w:rsidRPr="003C140B">
        <w:t>advising constructors and future owners of assumptions associated with the design detail adopted and the as</w:t>
      </w:r>
      <w:r>
        <w:t>-built status of the structure.</w:t>
      </w:r>
    </w:p>
    <w:p w14:paraId="318EEC6A" w14:textId="646CDF5C" w:rsidR="00B40A32" w:rsidRDefault="00B40A32" w:rsidP="008A16BB">
      <w:pPr>
        <w:pStyle w:val="F9-Paragraph"/>
        <w:ind w:left="851" w:hanging="851"/>
      </w:pPr>
      <w:r>
        <w:t>T</w:t>
      </w:r>
      <w:r w:rsidRPr="003C140B">
        <w:t xml:space="preserve">he </w:t>
      </w:r>
      <w:r w:rsidR="00A11AF1">
        <w:t>i</w:t>
      </w:r>
      <w:r w:rsidRPr="003C140B">
        <w:t xml:space="preserve">nspector </w:t>
      </w:r>
      <w:r>
        <w:t xml:space="preserve">may wish to </w:t>
      </w:r>
      <w:r w:rsidRPr="003C140B">
        <w:t>consider</w:t>
      </w:r>
      <w:r>
        <w:t xml:space="preserve"> whether</w:t>
      </w:r>
      <w:r w:rsidRPr="003C140B">
        <w:t xml:space="preserve"> on-going risks associated with the facility </w:t>
      </w:r>
      <w:r>
        <w:t xml:space="preserve">have </w:t>
      </w:r>
      <w:r w:rsidRPr="003C140B">
        <w:t>been reduced to a level that can be demonstrated to be as</w:t>
      </w:r>
      <w:r>
        <w:t xml:space="preserve"> low as reasonably practicable. </w:t>
      </w:r>
      <w:r w:rsidRPr="003C140B">
        <w:t>Where the potential consequences of an incident are significant, consideration of margins against failure due to extreme events and accidents should continue post operation.</w:t>
      </w:r>
    </w:p>
    <w:p w14:paraId="72152587" w14:textId="2F84F28F" w:rsidR="002E475B" w:rsidRPr="003C140B" w:rsidRDefault="00232555" w:rsidP="008A16BB">
      <w:pPr>
        <w:pStyle w:val="F9-Paragraph"/>
        <w:ind w:left="851" w:hanging="851"/>
      </w:pPr>
      <w:r>
        <w:t>The rate and nature of ageing and degradation is likely to change post operation</w:t>
      </w:r>
      <w:r w:rsidR="00A861E1">
        <w:t xml:space="preserve">. The environments SSC are likely to experience may become more </w:t>
      </w:r>
      <w:r w:rsidR="00DD17FE">
        <w:t xml:space="preserve">onerous as operational temperatures decrease and ventilation systems are </w:t>
      </w:r>
      <w:r w:rsidR="00272404">
        <w:t xml:space="preserve">discontinued. These may lead to a change in the rate, nature and location of </w:t>
      </w:r>
      <w:r w:rsidR="00174722">
        <w:t>degradation, especially where condensation of moisture may occur.</w:t>
      </w:r>
    </w:p>
    <w:p w14:paraId="53106F21" w14:textId="2521ABCA" w:rsidR="00B40A32" w:rsidRDefault="00B40A32" w:rsidP="008A16BB">
      <w:pPr>
        <w:pStyle w:val="F9-Paragraph"/>
        <w:ind w:left="851" w:hanging="851"/>
      </w:pPr>
      <w:r w:rsidRPr="003C140B">
        <w:t>All relevant sections of the civil engineering construction principles should be applie</w:t>
      </w:r>
      <w:r>
        <w:t xml:space="preserve">d to the demolition activities. </w:t>
      </w:r>
      <w:r w:rsidRPr="003C140B">
        <w:t>The temporary safety and stability of partly demolished structures shall be ensured.</w:t>
      </w:r>
      <w:r>
        <w:t xml:space="preserve"> The </w:t>
      </w:r>
      <w:r w:rsidR="002E475B">
        <w:t>i</w:t>
      </w:r>
      <w:r>
        <w:t>nspector is reminded to consider areas</w:t>
      </w:r>
      <w:r w:rsidRPr="003C140B">
        <w:t xml:space="preserve"> where embedded energy </w:t>
      </w:r>
      <w:r w:rsidR="0029687A">
        <w:t>(for example,</w:t>
      </w:r>
      <w:r w:rsidRPr="003C140B">
        <w:t xml:space="preserve"> pre-stress) </w:t>
      </w:r>
      <w:r>
        <w:t xml:space="preserve">may </w:t>
      </w:r>
      <w:r w:rsidRPr="003C140B">
        <w:t>need to be relieved.</w:t>
      </w:r>
    </w:p>
    <w:p w14:paraId="46CED155" w14:textId="609C6B9D" w:rsidR="00B40A32" w:rsidRDefault="00AA0D1B" w:rsidP="00247077">
      <w:pPr>
        <w:pStyle w:val="F9-Paragraph"/>
        <w:ind w:left="851" w:hanging="851"/>
      </w:pPr>
      <w:r>
        <w:t xml:space="preserve">The </w:t>
      </w:r>
      <w:r w:rsidR="00CD2CBC">
        <w:t>i</w:t>
      </w:r>
      <w:r>
        <w:t>nspector may wish to consider how t</w:t>
      </w:r>
      <w:r w:rsidRPr="003C140B">
        <w:t xml:space="preserve">he effects of ageing and degradation </w:t>
      </w:r>
      <w:r>
        <w:t xml:space="preserve">have </w:t>
      </w:r>
      <w:r w:rsidRPr="003C140B">
        <w:t>be</w:t>
      </w:r>
      <w:r>
        <w:t>en</w:t>
      </w:r>
      <w:r w:rsidRPr="003C140B">
        <w:t xml:space="preserve"> adequately considered in the development of the demolition proposals, </w:t>
      </w:r>
      <w:r w:rsidR="00864C9B">
        <w:t>for example,</w:t>
      </w:r>
      <w:r>
        <w:t xml:space="preserve"> </w:t>
      </w:r>
      <w:r w:rsidRPr="003C140B">
        <w:t xml:space="preserve">with reference to the evidence held in historical EIMT records, maintenance schedule records and </w:t>
      </w:r>
      <w:r>
        <w:t xml:space="preserve">the </w:t>
      </w:r>
      <w:r w:rsidRPr="003C140B">
        <w:t>Health and Safety File.</w:t>
      </w:r>
    </w:p>
    <w:p w14:paraId="09544463" w14:textId="75A39DEC" w:rsidR="00247077" w:rsidRPr="00954E2E" w:rsidRDefault="00247077" w:rsidP="00247077">
      <w:pPr>
        <w:pStyle w:val="Bulletlist1"/>
        <w:ind w:left="1418" w:hanging="357"/>
      </w:pPr>
      <w:r w:rsidRPr="00954E2E">
        <w:t xml:space="preserve">Anticipated ageing due to time and </w:t>
      </w:r>
      <w:r>
        <w:t>in service</w:t>
      </w:r>
      <w:r w:rsidRPr="00954E2E">
        <w:t xml:space="preserve"> effects </w:t>
      </w:r>
      <w:r w:rsidR="0029687A">
        <w:t>(for example,</w:t>
      </w:r>
      <w:r w:rsidRPr="00954E2E">
        <w:t xml:space="preserve"> thermal or moisture movement</w:t>
      </w:r>
      <w:r>
        <w:t>,</w:t>
      </w:r>
      <w:r w:rsidRPr="00954E2E">
        <w:t xml:space="preserve"> creep, relaxation, fatigue,</w:t>
      </w:r>
      <w:r>
        <w:t xml:space="preserve"> identified chemical processes).</w:t>
      </w:r>
    </w:p>
    <w:p w14:paraId="00D04C21" w14:textId="742F3F85" w:rsidR="00247077" w:rsidRPr="00954E2E" w:rsidRDefault="00247077" w:rsidP="00247077">
      <w:pPr>
        <w:pStyle w:val="Bulletlist1"/>
        <w:ind w:left="1418" w:hanging="357"/>
      </w:pPr>
      <w:r w:rsidRPr="00954E2E">
        <w:t xml:space="preserve">Unanticipated ageing due to inadequate in-service maintenance </w:t>
      </w:r>
      <w:r>
        <w:t xml:space="preserve">of the SSC </w:t>
      </w:r>
      <w:r w:rsidR="0029687A">
        <w:t>(for example,</w:t>
      </w:r>
      <w:r w:rsidRPr="00954E2E">
        <w:t xml:space="preserve"> vegetation damage, ponding or standing water due to blocked gutters).</w:t>
      </w:r>
    </w:p>
    <w:p w14:paraId="52055060" w14:textId="5DB912BB" w:rsidR="00247077" w:rsidRPr="00954E2E" w:rsidRDefault="00247077" w:rsidP="00247077">
      <w:pPr>
        <w:pStyle w:val="Bulletlist1"/>
        <w:ind w:left="1418" w:hanging="357"/>
      </w:pPr>
      <w:r w:rsidRPr="00954E2E">
        <w:t xml:space="preserve">Unanticipated ageing due to changes to the </w:t>
      </w:r>
      <w:r>
        <w:t xml:space="preserve">functionality of the building, the operational state, or changes to the environment or process </w:t>
      </w:r>
      <w:r w:rsidR="00864C9B">
        <w:br/>
      </w:r>
      <w:r w:rsidR="0029687A">
        <w:t>(for example,</w:t>
      </w:r>
      <w:r w:rsidRPr="00954E2E">
        <w:t xml:space="preserve"> </w:t>
      </w:r>
      <w:r>
        <w:t>f</w:t>
      </w:r>
      <w:r w:rsidRPr="00954E2E">
        <w:t>ailure of another SSC placing additional demands upon the element being considered</w:t>
      </w:r>
      <w:r>
        <w:t>, increased internal condensation</w:t>
      </w:r>
      <w:r w:rsidRPr="00954E2E">
        <w:t>).</w:t>
      </w:r>
    </w:p>
    <w:p w14:paraId="2AF45720" w14:textId="77777777" w:rsidR="00864C9B" w:rsidRDefault="00864C9B" w:rsidP="00247077">
      <w:pPr>
        <w:pStyle w:val="Bulletlist1"/>
        <w:ind w:left="1418" w:hanging="357"/>
        <w:sectPr w:rsidR="00864C9B">
          <w:pgSz w:w="11906" w:h="16838"/>
          <w:pgMar w:top="1440" w:right="1440" w:bottom="1440" w:left="1440" w:header="708" w:footer="708" w:gutter="0"/>
          <w:cols w:space="708"/>
          <w:docGrid w:linePitch="360"/>
        </w:sectPr>
      </w:pPr>
    </w:p>
    <w:p w14:paraId="30E94A2B" w14:textId="3E92D264" w:rsidR="00247077" w:rsidRPr="00954E2E" w:rsidRDefault="00247077" w:rsidP="00247077">
      <w:pPr>
        <w:pStyle w:val="Bulletlist1"/>
        <w:ind w:left="1418" w:hanging="357"/>
      </w:pPr>
      <w:r>
        <w:lastRenderedPageBreak/>
        <w:t>Design basis or</w:t>
      </w:r>
      <w:r w:rsidRPr="00954E2E">
        <w:t xml:space="preserve"> accidental loading or misuse </w:t>
      </w:r>
      <w:r w:rsidR="0029687A">
        <w:t>(for example,</w:t>
      </w:r>
      <w:r w:rsidRPr="00954E2E">
        <w:t xml:space="preserve"> excursion beyond normal operating parameters, impact damage, fire damage). While these might have been considered within the original design parameters, they are unlikely to have been factored in when considering the design life and are likely to result</w:t>
      </w:r>
      <w:r>
        <w:t xml:space="preserve"> in accelerated ageing effects.</w:t>
      </w:r>
    </w:p>
    <w:p w14:paraId="00CF2A05" w14:textId="4BF6EFC4" w:rsidR="00247077" w:rsidRDefault="00247077" w:rsidP="00247077">
      <w:pPr>
        <w:pStyle w:val="Bulletlist1"/>
        <w:ind w:left="1418" w:hanging="357"/>
      </w:pPr>
      <w:r w:rsidRPr="00954E2E">
        <w:t xml:space="preserve">Defects incorporated into SSC </w:t>
      </w:r>
      <w:r w:rsidR="0029687A">
        <w:t>(for example,</w:t>
      </w:r>
      <w:r w:rsidRPr="00954E2E">
        <w:t xml:space="preserve"> design errors, construction errors, unanticipated chemical processes and inclusion of deleterious materials</w:t>
      </w:r>
      <w:r>
        <w:t>, excessive settlement</w:t>
      </w:r>
      <w:r w:rsidRPr="00954E2E">
        <w:t>)</w:t>
      </w:r>
      <w:r w:rsidR="00C255B1">
        <w:t>.</w:t>
      </w:r>
    </w:p>
    <w:p w14:paraId="268B9F7D" w14:textId="77777777" w:rsidR="00247077" w:rsidRDefault="00247077" w:rsidP="00247077">
      <w:pPr>
        <w:pStyle w:val="Bulletlist1"/>
        <w:ind w:left="1418" w:hanging="357"/>
      </w:pPr>
      <w:r>
        <w:t>Changes of loading or loadpath associated with modification of the structure throughout its lifetime, or change of use.</w:t>
      </w:r>
    </w:p>
    <w:p w14:paraId="3C07CDC3" w14:textId="7CE47893" w:rsidR="0082341B" w:rsidRPr="00954E2E" w:rsidRDefault="008B640D" w:rsidP="0061558D">
      <w:pPr>
        <w:pStyle w:val="Heading2"/>
        <w:ind w:left="851" w:hanging="851"/>
      </w:pPr>
      <w:r>
        <w:t xml:space="preserve">Deferred </w:t>
      </w:r>
      <w:r w:rsidR="00864C9B">
        <w:t>d</w:t>
      </w:r>
      <w:r>
        <w:t xml:space="preserve">ecommissioning or </w:t>
      </w:r>
      <w:r w:rsidR="00864C9B">
        <w:t>d</w:t>
      </w:r>
      <w:r>
        <w:t>emolition</w:t>
      </w:r>
    </w:p>
    <w:p w14:paraId="6291CCED" w14:textId="63F29F74" w:rsidR="00A52A45" w:rsidRDefault="00A52A45" w:rsidP="00A52A45">
      <w:pPr>
        <w:pStyle w:val="F9-Paragraph"/>
        <w:ind w:left="851" w:hanging="851"/>
      </w:pPr>
      <w:bookmarkStart w:id="10" w:name="_Hlk120798597"/>
      <w:r>
        <w:t xml:space="preserve">The </w:t>
      </w:r>
      <w:r w:rsidRPr="00A52A45">
        <w:t>dutyholder</w:t>
      </w:r>
      <w:r>
        <w:t xml:space="preserve"> should be able to justify decisions to defer actions on the basis that overall site risks have been reduced as low as reasonably practicable</w:t>
      </w:r>
      <w:r w:rsidRPr="003C3CDC">
        <w:t>.</w:t>
      </w:r>
      <w:r>
        <w:t xml:space="preserve"> The reasons must be balanced against the risks of deferred action, such as ongoing ageing and degradation effects, and the loss of knowledge and suitably qualified and experienced personnel resource.</w:t>
      </w:r>
      <w:r w:rsidR="003A1381" w:rsidRPr="003A1381">
        <w:t xml:space="preserve"> </w:t>
      </w:r>
      <w:r w:rsidR="00864C9B">
        <w:br/>
      </w:r>
      <w:r w:rsidR="003A1381">
        <w:t xml:space="preserve">The </w:t>
      </w:r>
      <w:r w:rsidR="00E176D9">
        <w:t xml:space="preserve">inspector </w:t>
      </w:r>
      <w:r w:rsidR="003A1381">
        <w:t>may wish to consider the potential ageing mechanisms of (physical) security systems in place for sites with deferred decommissioning.</w:t>
      </w:r>
    </w:p>
    <w:p w14:paraId="23BE0403" w14:textId="7A2E469D" w:rsidR="0082341B" w:rsidRDefault="00BB7D08" w:rsidP="00C02098">
      <w:pPr>
        <w:pStyle w:val="F9-Paragraph"/>
        <w:ind w:left="851" w:hanging="851"/>
      </w:pPr>
      <w:r>
        <w:t>Risks created to adjacent facilities should be considered when considering deferral of demolition, in line with the expectations of SAP DC.3 and DC.5 where civil engineering SSCs are expected to act in a passively safe way (</w:t>
      </w:r>
      <w:r w:rsidR="00864C9B">
        <w:t>refer to</w:t>
      </w:r>
      <w:r w:rsidR="00864C9B">
        <w:t xml:space="preserve"> </w:t>
      </w:r>
      <w:r>
        <w:t>WENRA Safety Reference Level DE-22 and DE-48</w:t>
      </w:r>
      <w:r w:rsidR="00D65E63">
        <w:t xml:space="preserve"> </w:t>
      </w:r>
      <w:sdt>
        <w:sdtPr>
          <w:id w:val="1727948259"/>
          <w:citation/>
        </w:sdtPr>
        <w:sdtEndPr/>
        <w:sdtContent>
          <w:r w:rsidR="002259DF">
            <w:fldChar w:fldCharType="begin"/>
          </w:r>
          <w:r w:rsidR="0029687A">
            <w:instrText xml:space="preserve">CITATION WEN \l 2057 </w:instrText>
          </w:r>
          <w:r w:rsidR="002259DF">
            <w:fldChar w:fldCharType="separate"/>
          </w:r>
          <w:r w:rsidR="0029687A">
            <w:rPr>
              <w:noProof/>
            </w:rPr>
            <w:t>[6]</w:t>
          </w:r>
          <w:r w:rsidR="002259DF">
            <w:fldChar w:fldCharType="end"/>
          </w:r>
        </w:sdtContent>
      </w:sdt>
      <w:r>
        <w:t xml:space="preserve">). Further to this, when considering deferment, the </w:t>
      </w:r>
      <w:r w:rsidR="0027605A">
        <w:t xml:space="preserve">inspector </w:t>
      </w:r>
      <w:r>
        <w:t>may wish to consider whether the appropriate categorisation has been applied to any modifications to the planned decommissioning activities to reflect whether the deferment could compromise the safety of the activities on site</w:t>
      </w:r>
      <w:r w:rsidR="00864C9B">
        <w:t xml:space="preserve"> (refer to </w:t>
      </w:r>
      <w:r>
        <w:t>WENRA Safety Reference Level DE-47</w:t>
      </w:r>
      <w:sdt>
        <w:sdtPr>
          <w:id w:val="1090357075"/>
          <w:citation/>
        </w:sdtPr>
        <w:sdtEndPr/>
        <w:sdtContent>
          <w:r w:rsidR="002259DF">
            <w:fldChar w:fldCharType="begin"/>
          </w:r>
          <w:r w:rsidR="0029687A">
            <w:instrText xml:space="preserve">CITATION WEN \l 2057 </w:instrText>
          </w:r>
          <w:r w:rsidR="002259DF">
            <w:fldChar w:fldCharType="separate"/>
          </w:r>
          <w:r w:rsidR="0029687A">
            <w:rPr>
              <w:noProof/>
            </w:rPr>
            <w:t xml:space="preserve"> [6]</w:t>
          </w:r>
          <w:r w:rsidR="002259DF">
            <w:fldChar w:fldCharType="end"/>
          </w:r>
        </w:sdtContent>
      </w:sdt>
      <w:r>
        <w:t>).</w:t>
      </w:r>
      <w:bookmarkEnd w:id="10"/>
    </w:p>
    <w:p w14:paraId="564866CA" w14:textId="34AD1F64" w:rsidR="00D65E63" w:rsidRDefault="000B4260" w:rsidP="00D65E63">
      <w:pPr>
        <w:pStyle w:val="Heading2"/>
        <w:ind w:left="851" w:hanging="851"/>
      </w:pPr>
      <w:r>
        <w:t xml:space="preserve">Records for use in </w:t>
      </w:r>
      <w:r w:rsidR="00864C9B">
        <w:t>d</w:t>
      </w:r>
      <w:r>
        <w:t>ecommissioning</w:t>
      </w:r>
    </w:p>
    <w:p w14:paraId="0C9135FA" w14:textId="56D6838B" w:rsidR="00981C9B" w:rsidRDefault="00981C9B" w:rsidP="00981C9B">
      <w:pPr>
        <w:pStyle w:val="F9-Paragraph"/>
        <w:ind w:left="851" w:hanging="851"/>
      </w:pPr>
      <w:r>
        <w:t xml:space="preserve">The </w:t>
      </w:r>
      <w:r w:rsidR="00593CA4">
        <w:t xml:space="preserve">inspector </w:t>
      </w:r>
      <w:r>
        <w:t>may wish to seek assurance of whether the design and modifications of the facility and its operating history are identified and incorporated into the decommissioning plan.</w:t>
      </w:r>
    </w:p>
    <w:p w14:paraId="39D05E56" w14:textId="1A31B4C0" w:rsidR="00981C9B" w:rsidRDefault="00981C9B" w:rsidP="00981C9B">
      <w:pPr>
        <w:pStyle w:val="F9-Paragraph"/>
        <w:ind w:left="851" w:hanging="851"/>
      </w:pPr>
      <w:r>
        <w:t xml:space="preserve">The </w:t>
      </w:r>
      <w:r w:rsidR="00B15AD3">
        <w:t xml:space="preserve">inspector </w:t>
      </w:r>
      <w:r>
        <w:t>should expect the following records are available for decommissioning:</w:t>
      </w:r>
    </w:p>
    <w:p w14:paraId="09BFCAA9" w14:textId="77777777" w:rsidR="00981C9B" w:rsidRDefault="00981C9B" w:rsidP="007C3F04">
      <w:pPr>
        <w:pStyle w:val="Bulletlist1"/>
        <w:ind w:left="1418" w:hanging="357"/>
      </w:pPr>
      <w:r>
        <w:t>design basis,</w:t>
      </w:r>
    </w:p>
    <w:p w14:paraId="1DCE5877" w14:textId="77777777" w:rsidR="00981C9B" w:rsidRDefault="00981C9B" w:rsidP="007C3F04">
      <w:pPr>
        <w:pStyle w:val="Bulletlist1"/>
        <w:ind w:left="1418" w:hanging="357"/>
      </w:pPr>
      <w:r>
        <w:t>original design concept for decommissioning,</w:t>
      </w:r>
    </w:p>
    <w:p w14:paraId="10248102" w14:textId="77777777" w:rsidR="00981C9B" w:rsidRDefault="00981C9B" w:rsidP="007C3F04">
      <w:pPr>
        <w:pStyle w:val="Bulletlist1"/>
        <w:ind w:left="1418" w:hanging="357"/>
      </w:pPr>
      <w:r>
        <w:t>design details and drawings,</w:t>
      </w:r>
    </w:p>
    <w:p w14:paraId="6375F0E8" w14:textId="77777777" w:rsidR="00981C9B" w:rsidRDefault="00981C9B" w:rsidP="007C3F04">
      <w:pPr>
        <w:pStyle w:val="Bulletlist1"/>
        <w:ind w:left="1418" w:hanging="357"/>
      </w:pPr>
      <w:r>
        <w:t>specifications,</w:t>
      </w:r>
    </w:p>
    <w:p w14:paraId="3EA7E38D" w14:textId="77777777" w:rsidR="00981C9B" w:rsidRDefault="00981C9B" w:rsidP="007C3F04">
      <w:pPr>
        <w:pStyle w:val="Bulletlist1"/>
        <w:ind w:left="1418" w:hanging="357"/>
      </w:pPr>
      <w:r>
        <w:lastRenderedPageBreak/>
        <w:t>form, method and sequence of construction (and therefore deconstruction),</w:t>
      </w:r>
    </w:p>
    <w:p w14:paraId="49D167F2" w14:textId="77777777" w:rsidR="00981C9B" w:rsidRDefault="00981C9B" w:rsidP="007C3F04">
      <w:pPr>
        <w:pStyle w:val="Bulletlist1"/>
        <w:ind w:left="1418" w:hanging="357"/>
      </w:pPr>
      <w:r>
        <w:t>construction materials and properties,</w:t>
      </w:r>
    </w:p>
    <w:p w14:paraId="018D92F3" w14:textId="77777777" w:rsidR="00981C9B" w:rsidRDefault="00981C9B" w:rsidP="007C3F04">
      <w:pPr>
        <w:pStyle w:val="Bulletlist1"/>
        <w:ind w:left="1418" w:hanging="357"/>
      </w:pPr>
      <w:r>
        <w:t>design changes and concessions,</w:t>
      </w:r>
    </w:p>
    <w:p w14:paraId="2F4B1433" w14:textId="77777777" w:rsidR="00981C9B" w:rsidRDefault="00981C9B" w:rsidP="007C3F04">
      <w:pPr>
        <w:pStyle w:val="Bulletlist1"/>
        <w:ind w:left="1418" w:hanging="357"/>
      </w:pPr>
      <w:r>
        <w:t>construction records and photographs,</w:t>
      </w:r>
    </w:p>
    <w:p w14:paraId="6E52AA8A" w14:textId="77777777" w:rsidR="00981C9B" w:rsidRDefault="00981C9B" w:rsidP="007C3F04">
      <w:pPr>
        <w:pStyle w:val="Bulletlist1"/>
        <w:ind w:left="1418" w:hanging="357"/>
      </w:pPr>
      <w:r>
        <w:t>as-built records; including non-conformance reports, especially where original design intent is challenged,</w:t>
      </w:r>
    </w:p>
    <w:p w14:paraId="74655672" w14:textId="77777777" w:rsidR="00981C9B" w:rsidRDefault="00981C9B" w:rsidP="007C3F04">
      <w:pPr>
        <w:pStyle w:val="Bulletlist1"/>
        <w:ind w:left="1418" w:hanging="357"/>
      </w:pPr>
      <w:r>
        <w:t>inspection and testing records,</w:t>
      </w:r>
    </w:p>
    <w:p w14:paraId="6EB241A2" w14:textId="77777777" w:rsidR="00981C9B" w:rsidRDefault="00981C9B" w:rsidP="007C3F04">
      <w:pPr>
        <w:pStyle w:val="Bulletlist1"/>
        <w:ind w:left="1418" w:hanging="357"/>
      </w:pPr>
      <w:r>
        <w:t>modifications,</w:t>
      </w:r>
    </w:p>
    <w:p w14:paraId="478CC52F" w14:textId="516192B6" w:rsidR="00981C9B" w:rsidRDefault="00981C9B" w:rsidP="007C3F04">
      <w:pPr>
        <w:pStyle w:val="Bulletlist1"/>
        <w:ind w:left="1418" w:hanging="357"/>
      </w:pPr>
      <w:r>
        <w:t>ageing management programme records</w:t>
      </w:r>
      <w:r w:rsidR="00501A4C">
        <w:t>.</w:t>
      </w:r>
    </w:p>
    <w:p w14:paraId="18EDE8A6" w14:textId="53D84E52" w:rsidR="00411CDB" w:rsidRPr="000D7D35" w:rsidRDefault="00C56043" w:rsidP="00411CDB">
      <w:pPr>
        <w:pStyle w:val="F9-Paragraph"/>
        <w:ind w:left="851" w:hanging="851"/>
      </w:pPr>
      <w:r>
        <w:t>S</w:t>
      </w:r>
      <w:r w:rsidR="00411CDB">
        <w:t>pecific attention should be paid to the retention of information during handover between lifecycle phases that involve changes in the responsibility for records and information management. Key information transfer points include those between operation to defueling</w:t>
      </w:r>
      <w:r w:rsidR="00864C9B">
        <w:t xml:space="preserve"> </w:t>
      </w:r>
      <w:r w:rsidR="00334EDC">
        <w:t>/</w:t>
      </w:r>
      <w:r w:rsidR="00864C9B">
        <w:t xml:space="preserve"> </w:t>
      </w:r>
      <w:r w:rsidR="00334EDC">
        <w:t>post operation</w:t>
      </w:r>
      <w:r w:rsidR="00984EB8">
        <w:t>al clea</w:t>
      </w:r>
      <w:r w:rsidR="00DD1453">
        <w:t>n</w:t>
      </w:r>
      <w:r w:rsidR="00984EB8">
        <w:t xml:space="preserve"> out</w:t>
      </w:r>
      <w:r w:rsidR="00411CDB">
        <w:t xml:space="preserve"> and </w:t>
      </w:r>
      <w:r w:rsidR="00DD1453">
        <w:t xml:space="preserve">at commencement of </w:t>
      </w:r>
      <w:r w:rsidR="00864C9B">
        <w:t>C&amp;M</w:t>
      </w:r>
      <w:r w:rsidR="00DD1453">
        <w:t xml:space="preserve"> and </w:t>
      </w:r>
      <w:r w:rsidR="00411CDB">
        <w:t xml:space="preserve">decommissioning. The </w:t>
      </w:r>
      <w:r w:rsidR="00984EB8">
        <w:t>i</w:t>
      </w:r>
      <w:r w:rsidR="00411CDB">
        <w:t>nspector should expect:</w:t>
      </w:r>
    </w:p>
    <w:p w14:paraId="7A02E8F7" w14:textId="77777777" w:rsidR="00411CDB" w:rsidRPr="003C3CDC" w:rsidRDefault="00411CDB" w:rsidP="001E289B">
      <w:pPr>
        <w:pStyle w:val="Bulletlist1"/>
        <w:ind w:left="1418" w:hanging="357"/>
      </w:pPr>
      <w:r w:rsidRPr="00AC3E6E">
        <w:t xml:space="preserve">detailed records define the extent, location and nature of all </w:t>
      </w:r>
      <w:r w:rsidRPr="003C3CDC">
        <w:t xml:space="preserve">remaining civil engineering elements post </w:t>
      </w:r>
      <w:r>
        <w:t>operation, with a</w:t>
      </w:r>
      <w:r w:rsidRPr="003C3CDC">
        <w:t>ll maintenance or inspection requirements for these rem</w:t>
      </w:r>
      <w:r>
        <w:t>aining elements clearly defined,</w:t>
      </w:r>
    </w:p>
    <w:p w14:paraId="5CB04291" w14:textId="6E910F8A" w:rsidR="00411CDB" w:rsidRDefault="00411CDB" w:rsidP="001E289B">
      <w:pPr>
        <w:pStyle w:val="Bulletlist1"/>
        <w:ind w:left="1418" w:hanging="357"/>
      </w:pPr>
      <w:r w:rsidRPr="003C3CDC">
        <w:t xml:space="preserve">records </w:t>
      </w:r>
      <w:r>
        <w:t xml:space="preserve">are readily </w:t>
      </w:r>
      <w:r w:rsidRPr="003C3CDC">
        <w:t xml:space="preserve">available for all potential </w:t>
      </w:r>
      <w:r>
        <w:t xml:space="preserve">future </w:t>
      </w:r>
      <w:r w:rsidRPr="003C3CDC">
        <w:t>users of the site</w:t>
      </w:r>
      <w:r>
        <w:t xml:space="preserve">, with due consideration of the durability of such information management and storage for the full duration of </w:t>
      </w:r>
      <w:r w:rsidR="00864C9B">
        <w:t>C&amp;M</w:t>
      </w:r>
      <w:r>
        <w:t xml:space="preserve"> and final site clearance timescales,</w:t>
      </w:r>
    </w:p>
    <w:p w14:paraId="70F691CF" w14:textId="08DDAD3F" w:rsidR="00411CDB" w:rsidRDefault="00411CDB" w:rsidP="001E289B">
      <w:pPr>
        <w:pStyle w:val="Bulletlist1"/>
        <w:ind w:left="1418" w:hanging="357"/>
      </w:pPr>
      <w:r>
        <w:t xml:space="preserve">awareness that </w:t>
      </w:r>
      <w:r w:rsidRPr="000D7D35">
        <w:t xml:space="preserve">records relating to the design, construction and maintenance of civil </w:t>
      </w:r>
      <w:r>
        <w:t xml:space="preserve">SSC </w:t>
      </w:r>
      <w:r w:rsidRPr="000D7D35">
        <w:t xml:space="preserve">may be lost or destroyed after operations have ceased, and loss of operator knowledge may lead to increased risks during post operational inspection, maintenance, </w:t>
      </w:r>
      <w:r>
        <w:t>and deconstruction of civil SSC</w:t>
      </w:r>
      <w:r w:rsidRPr="000D7D35">
        <w:t xml:space="preserve">. The </w:t>
      </w:r>
      <w:r w:rsidR="007E66CB">
        <w:t xml:space="preserve">inspector </w:t>
      </w:r>
      <w:r>
        <w:t xml:space="preserve">should expect </w:t>
      </w:r>
      <w:r w:rsidRPr="000D7D35">
        <w:t>suitable provision to collect and safeguard information as is necessary for the safe implementation of the follo</w:t>
      </w:r>
      <w:r>
        <w:t>wing phases,</w:t>
      </w:r>
    </w:p>
    <w:p w14:paraId="3E44A9EF" w14:textId="77777777" w:rsidR="00411CDB" w:rsidRDefault="00411CDB" w:rsidP="001E289B">
      <w:pPr>
        <w:pStyle w:val="Bulletlist1"/>
        <w:ind w:left="1418" w:hanging="357"/>
      </w:pPr>
      <w:r>
        <w:t>records of all structures and materials</w:t>
      </w:r>
      <w:r w:rsidRPr="00107A87">
        <w:t xml:space="preserve"> </w:t>
      </w:r>
      <w:r>
        <w:t>remaining on site, especially those not visible from the surface, must be collated and provided to the relevant authority at the end of demolition and site clearance.</w:t>
      </w:r>
    </w:p>
    <w:p w14:paraId="6B3819DA" w14:textId="366BA372" w:rsidR="00411CDB" w:rsidRPr="00411CDB" w:rsidRDefault="00411CDB" w:rsidP="00411CDB">
      <w:pPr>
        <w:pStyle w:val="F9-Paragraph"/>
        <w:ind w:left="851" w:hanging="851"/>
      </w:pPr>
      <w:r w:rsidRPr="00411CDB">
        <w:t xml:space="preserve">There may be civil engineering SSCs, such as discharge pipelines, that extend beyond the boundary of the nuclear licensed site but are captured in the area of the environmental permit. The </w:t>
      </w:r>
      <w:r w:rsidR="00A715A1">
        <w:t>i</w:t>
      </w:r>
      <w:r w:rsidRPr="00411CDB">
        <w:t>nspector may wish to consider the interfaces with the relevant environmental regulator to ensure that inspection of the relevant arrangements is co-ordinated.</w:t>
      </w:r>
    </w:p>
    <w:p w14:paraId="37ABD648" w14:textId="0EA8C044" w:rsidR="00D65E63" w:rsidRPr="00061A48" w:rsidRDefault="00B46691" w:rsidP="009F6510">
      <w:pPr>
        <w:pStyle w:val="F9-Paragraph"/>
        <w:ind w:left="851" w:hanging="851"/>
      </w:pPr>
      <w:r>
        <w:rPr>
          <w:szCs w:val="22"/>
        </w:rPr>
        <w:lastRenderedPageBreak/>
        <w:t>When assessing structures that hold u</w:t>
      </w:r>
      <w:r w:rsidR="00235430">
        <w:rPr>
          <w:szCs w:val="22"/>
        </w:rPr>
        <w:t>ndisturbed waste</w:t>
      </w:r>
      <w:r w:rsidR="00411CDB" w:rsidRPr="00832514">
        <w:rPr>
          <w:szCs w:val="22"/>
        </w:rPr>
        <w:t xml:space="preserve">, the </w:t>
      </w:r>
      <w:r w:rsidR="00312BD6">
        <w:rPr>
          <w:szCs w:val="22"/>
        </w:rPr>
        <w:t>i</w:t>
      </w:r>
      <w:r w:rsidR="00411CDB" w:rsidRPr="00832514">
        <w:rPr>
          <w:szCs w:val="22"/>
        </w:rPr>
        <w:t xml:space="preserve">nspector </w:t>
      </w:r>
      <w:r w:rsidR="00411CDB">
        <w:t>may wish to</w:t>
      </w:r>
      <w:r w:rsidR="00411CDB" w:rsidRPr="00832514">
        <w:rPr>
          <w:szCs w:val="22"/>
        </w:rPr>
        <w:t xml:space="preserve"> consider the potential for decomposition of wastes and / or chemical processes which may have a detrimental impact on the ability to inspect the structure, </w:t>
      </w:r>
      <w:r w:rsidR="00864C9B">
        <w:rPr>
          <w:szCs w:val="22"/>
        </w:rPr>
        <w:t>for example,</w:t>
      </w:r>
      <w:r w:rsidR="00411CDB" w:rsidRPr="00832514">
        <w:rPr>
          <w:szCs w:val="22"/>
        </w:rPr>
        <w:t xml:space="preserve"> storage ponds</w:t>
      </w:r>
      <w:r w:rsidR="00832514" w:rsidRPr="00832514">
        <w:rPr>
          <w:szCs w:val="22"/>
        </w:rPr>
        <w:t>.</w:t>
      </w:r>
    </w:p>
    <w:p w14:paraId="3777B8AB" w14:textId="77777777" w:rsidR="00864C9B" w:rsidRDefault="00864C9B" w:rsidP="00B80DEF">
      <w:pPr>
        <w:pStyle w:val="Heading1"/>
        <w:sectPr w:rsidR="00864C9B">
          <w:pgSz w:w="11906" w:h="16838"/>
          <w:pgMar w:top="1440" w:right="1440" w:bottom="1440" w:left="1440" w:header="708" w:footer="708" w:gutter="0"/>
          <w:cols w:space="708"/>
          <w:docGrid w:linePitch="360"/>
        </w:sectPr>
      </w:pPr>
      <w:bookmarkStart w:id="11" w:name="_Toc223701980"/>
    </w:p>
    <w:p w14:paraId="1EC9F911" w14:textId="4AA6504B" w:rsidR="00B80DEF" w:rsidRDefault="0011048F" w:rsidP="00B80DEF">
      <w:pPr>
        <w:pStyle w:val="Heading1"/>
      </w:pPr>
      <w:bookmarkStart w:id="12" w:name="_Toc234839744"/>
      <w:r>
        <w:lastRenderedPageBreak/>
        <w:t xml:space="preserve">Post </w:t>
      </w:r>
      <w:r w:rsidR="00864C9B">
        <w:t>o</w:t>
      </w:r>
      <w:r>
        <w:t xml:space="preserve">perational </w:t>
      </w:r>
      <w:r w:rsidR="00864C9B">
        <w:t>p</w:t>
      </w:r>
      <w:r>
        <w:t>hases</w:t>
      </w:r>
      <w:bookmarkEnd w:id="11"/>
      <w:bookmarkEnd w:id="12"/>
    </w:p>
    <w:p w14:paraId="44509C9F" w14:textId="77777777" w:rsidR="00A87D9F" w:rsidRDefault="00A87D9F" w:rsidP="00A87D9F">
      <w:pPr>
        <w:pStyle w:val="F9-Paragraph"/>
        <w:ind w:left="851" w:hanging="851"/>
      </w:pPr>
      <w:bookmarkStart w:id="13" w:name="_Toc173225680"/>
      <w:bookmarkStart w:id="14" w:name="_Toc521510827"/>
      <w:bookmarkStart w:id="15" w:name="_Toc141358367"/>
      <w:r w:rsidRPr="00A64ABA">
        <w:t xml:space="preserve">The </w:t>
      </w:r>
      <w:r>
        <w:t>phases after the cessation of operations may be identified in the decommissioning plan. Not all phases need to be included in the decommissioning plan, depending upon the strategy being adopted, and the sequencing of activities may differ between facilities.</w:t>
      </w:r>
    </w:p>
    <w:p w14:paraId="63956151" w14:textId="6210C90B" w:rsidR="00A87D9F" w:rsidRDefault="00A87D9F" w:rsidP="00A87D9F">
      <w:pPr>
        <w:pStyle w:val="F9-Paragraph"/>
        <w:ind w:left="851" w:hanging="851"/>
      </w:pPr>
      <w:r>
        <w:t>Potential phases include, but are not limited, to the following (these are expanded upon in the sections that follow)</w:t>
      </w:r>
      <w:r w:rsidR="00864C9B">
        <w:t>:</w:t>
      </w:r>
    </w:p>
    <w:p w14:paraId="74C34D4B" w14:textId="382C233C" w:rsidR="00A87D9F" w:rsidRDefault="00A87D9F" w:rsidP="00A87D9F">
      <w:pPr>
        <w:pStyle w:val="Bulletlist1"/>
        <w:ind w:left="1418" w:hanging="357"/>
      </w:pPr>
      <w:r w:rsidRPr="00864C9B">
        <w:rPr>
          <w:b/>
          <w:bCs w:val="0"/>
        </w:rPr>
        <w:t>Inactive quiescent storage</w:t>
      </w:r>
      <w:r>
        <w:t xml:space="preserve"> - A period where no nuclear operations are undertaken, but all radiological inventory remains present</w:t>
      </w:r>
      <w:r w:rsidR="00864C9B">
        <w:t>.</w:t>
      </w:r>
    </w:p>
    <w:p w14:paraId="03793388" w14:textId="7CC4DD29" w:rsidR="00A87D9F" w:rsidRDefault="00864C9B" w:rsidP="00A87D9F">
      <w:pPr>
        <w:pStyle w:val="Bulletlist1"/>
        <w:ind w:left="1418" w:hanging="357"/>
      </w:pPr>
      <w:r>
        <w:rPr>
          <w:b/>
          <w:bCs w:val="0"/>
        </w:rPr>
        <w:t>POCO</w:t>
      </w:r>
      <w:r w:rsidR="00A87D9F">
        <w:t xml:space="preserve"> – An activity during which all practicably retrievable radiological inventory is removed and contamination which presents a potential risk to ongoing health and safety is addressed (potentially by in-situ encapsulation). Other hazardous materials </w:t>
      </w:r>
      <w:r w:rsidR="0029687A">
        <w:t>(for example,</w:t>
      </w:r>
      <w:r w:rsidR="00A87D9F">
        <w:t xml:space="preserve"> asbestos, mineral oils, etc.) might be removed during this stage</w:t>
      </w:r>
      <w:r>
        <w:t>.</w:t>
      </w:r>
    </w:p>
    <w:p w14:paraId="5BBA907E" w14:textId="0CD827E6" w:rsidR="00A87D9F" w:rsidRDefault="00864C9B" w:rsidP="00A87D9F">
      <w:pPr>
        <w:pStyle w:val="Bulletlist1"/>
        <w:ind w:left="1418" w:hanging="357"/>
      </w:pPr>
      <w:r>
        <w:rPr>
          <w:b/>
          <w:bCs w:val="0"/>
        </w:rPr>
        <w:t>C&amp;M</w:t>
      </w:r>
      <w:r w:rsidR="00A87D9F">
        <w:t xml:space="preserve"> – A period where no nuclear operations are undertaken, but most of the contaminated and activated plant and equipment remains present. The main purpose of this phase is to allow radionuclides to naturally decay to a level where remote removal can be substituted by manual removal, producing a reduction in risks and costs</w:t>
      </w:r>
      <w:r>
        <w:t>.</w:t>
      </w:r>
    </w:p>
    <w:p w14:paraId="1F46126F" w14:textId="4B2F65C9" w:rsidR="00A87D9F" w:rsidRDefault="00A87D9F" w:rsidP="00A87D9F">
      <w:pPr>
        <w:pStyle w:val="Bulletlist1"/>
        <w:ind w:left="1418" w:hanging="357"/>
      </w:pPr>
      <w:r w:rsidRPr="00864C9B">
        <w:rPr>
          <w:b/>
          <w:bCs w:val="0"/>
        </w:rPr>
        <w:t>Decommissioning</w:t>
      </w:r>
      <w:r>
        <w:t xml:space="preserve"> – Strip-out and disposal of plant, equipment and other non-building fabric components associated with radiological inventory. Remaining contaminated or activated materials presenting a significant risk should be removed during this stage</w:t>
      </w:r>
      <w:r w:rsidR="00864C9B">
        <w:t>.</w:t>
      </w:r>
    </w:p>
    <w:p w14:paraId="5E3DEBF0" w14:textId="3BC5CA11" w:rsidR="00A87D9F" w:rsidRDefault="00A87D9F" w:rsidP="00A87D9F">
      <w:pPr>
        <w:pStyle w:val="Bulletlist1"/>
        <w:ind w:left="1418" w:hanging="357"/>
      </w:pPr>
      <w:r w:rsidRPr="00864C9B">
        <w:rPr>
          <w:b/>
          <w:bCs w:val="0"/>
        </w:rPr>
        <w:t>Demolition</w:t>
      </w:r>
      <w:r>
        <w:t xml:space="preserve"> – Removal of the building fabric to achieve a predefined end state. Some structures </w:t>
      </w:r>
      <w:r w:rsidR="0029687A">
        <w:t>(for example,</w:t>
      </w:r>
      <w:r>
        <w:t xml:space="preserve"> foundations, concrete bases, and below-ground services) may remain in-place if the risks and hazards presented by these elements are considered acceptable</w:t>
      </w:r>
      <w:r w:rsidR="00864C9B">
        <w:t>.</w:t>
      </w:r>
    </w:p>
    <w:p w14:paraId="08913833" w14:textId="648A43DD" w:rsidR="00A87D9F" w:rsidRDefault="00A87D9F" w:rsidP="00A87D9F">
      <w:pPr>
        <w:pStyle w:val="Bulletlist1"/>
        <w:ind w:left="1418" w:hanging="357"/>
      </w:pPr>
      <w:r w:rsidRPr="00864C9B">
        <w:rPr>
          <w:b/>
          <w:bCs w:val="0"/>
        </w:rPr>
        <w:t>Site remediation</w:t>
      </w:r>
      <w:r>
        <w:t xml:space="preserve"> – Treatment (preferably removal) of contamination (radiological or otherwise) of the land associated with the facility</w:t>
      </w:r>
      <w:r w:rsidR="00864C9B">
        <w:t>.</w:t>
      </w:r>
    </w:p>
    <w:p w14:paraId="6D7A3EE2" w14:textId="2EBE2A84" w:rsidR="00273F2A" w:rsidRDefault="00A87D9F" w:rsidP="00A87D9F">
      <w:pPr>
        <w:pStyle w:val="Bulletlist1"/>
        <w:ind w:left="1418" w:hanging="357"/>
      </w:pPr>
      <w:r w:rsidRPr="00864C9B">
        <w:rPr>
          <w:b/>
          <w:bCs w:val="0"/>
        </w:rPr>
        <w:t>Delicencing</w:t>
      </w:r>
      <w:r>
        <w:t xml:space="preserve"> – Administrative process by which the Nuclear Site Licence is withdrawn from the facility. Only at this stage can fencing, signage and access controls required by the Licence Conditions </w:t>
      </w:r>
      <w:r w:rsidR="00864C9B">
        <w:t xml:space="preserve">(LCs) </w:t>
      </w:r>
      <w:r>
        <w:t>be reduced. This stage may include landscaping and works to comply with planning requirements. ONR is no longer the Enforcing Authority once a site has been delicenced but may provide support at the request of other authorities regarding the on-going management of the site</w:t>
      </w:r>
      <w:r>
        <w:rPr>
          <w:lang w:eastAsia="en-GB"/>
        </w:rPr>
        <w:t>.</w:t>
      </w:r>
    </w:p>
    <w:bookmarkEnd w:id="13"/>
    <w:p w14:paraId="4FB46859" w14:textId="6FD3E7AA" w:rsidR="001774E5" w:rsidRPr="00A35436" w:rsidRDefault="00273F2A" w:rsidP="00300617">
      <w:pPr>
        <w:pStyle w:val="Heading2"/>
        <w:ind w:left="851" w:hanging="851"/>
      </w:pPr>
      <w:r>
        <w:lastRenderedPageBreak/>
        <w:t xml:space="preserve">Inactive </w:t>
      </w:r>
      <w:r w:rsidR="00864C9B">
        <w:t>q</w:t>
      </w:r>
      <w:r>
        <w:t>ui</w:t>
      </w:r>
      <w:r w:rsidR="001939ED">
        <w:t xml:space="preserve">escent </w:t>
      </w:r>
      <w:r w:rsidR="00864C9B">
        <w:t>s</w:t>
      </w:r>
      <w:r w:rsidR="001939ED">
        <w:t>torage</w:t>
      </w:r>
    </w:p>
    <w:p w14:paraId="3A2B31B1" w14:textId="7A222866" w:rsidR="0094115F" w:rsidRPr="0094115F" w:rsidRDefault="0094115F" w:rsidP="0094115F">
      <w:pPr>
        <w:pStyle w:val="F9-Paragraph"/>
        <w:ind w:left="851" w:hanging="851"/>
      </w:pPr>
      <w:r w:rsidRPr="0094115F">
        <w:t xml:space="preserve">The </w:t>
      </w:r>
      <w:r w:rsidR="00FB4BFC">
        <w:t>i</w:t>
      </w:r>
      <w:r w:rsidRPr="0094115F">
        <w:t>nspector should be aware that safety functions required of civil engineering SSCs are likely to remain during periods of quiescent storage. Dutyholders would be expected to undertake the appropriate EIMT activities throughout storage periods.</w:t>
      </w:r>
    </w:p>
    <w:p w14:paraId="76F32318" w14:textId="4A8A9756" w:rsidR="001774E5" w:rsidRPr="00FD3018" w:rsidRDefault="0094115F" w:rsidP="003827A1">
      <w:pPr>
        <w:pStyle w:val="Heading2"/>
        <w:ind w:left="851" w:hanging="851"/>
      </w:pPr>
      <w:bookmarkStart w:id="16" w:name="_Toc173225682"/>
      <w:r>
        <w:t xml:space="preserve">Post </w:t>
      </w:r>
      <w:r w:rsidR="00864C9B">
        <w:t>o</w:t>
      </w:r>
      <w:r>
        <w:t xml:space="preserve">perational </w:t>
      </w:r>
      <w:r w:rsidR="00864C9B">
        <w:t>c</w:t>
      </w:r>
      <w:r>
        <w:t xml:space="preserve">lean </w:t>
      </w:r>
      <w:r w:rsidR="00864C9B">
        <w:t>o</w:t>
      </w:r>
      <w:r>
        <w:t xml:space="preserve">ut </w:t>
      </w:r>
      <w:bookmarkEnd w:id="16"/>
    </w:p>
    <w:p w14:paraId="5C1B9285" w14:textId="5F7B8CA0" w:rsidR="004931B4" w:rsidRPr="002B1AA5" w:rsidRDefault="004931B4" w:rsidP="004931B4">
      <w:pPr>
        <w:pStyle w:val="F9-Paragraph"/>
        <w:ind w:left="851" w:hanging="851"/>
      </w:pPr>
      <w:r w:rsidRPr="002B1AA5">
        <w:t xml:space="preserve">The </w:t>
      </w:r>
      <w:r w:rsidR="00232F0B">
        <w:t>i</w:t>
      </w:r>
      <w:r w:rsidRPr="002B1AA5">
        <w:t>nspector may wish to consider the following for assessment of POCO activities on or within civil engineering SSCs:</w:t>
      </w:r>
    </w:p>
    <w:p w14:paraId="28D0D06F" w14:textId="77777777" w:rsidR="004931B4" w:rsidRPr="002B1AA5" w:rsidRDefault="004931B4" w:rsidP="004931B4">
      <w:pPr>
        <w:pStyle w:val="Bulletlist1"/>
        <w:ind w:left="1418" w:hanging="357"/>
      </w:pPr>
      <w:r w:rsidRPr="002B1AA5">
        <w:t>increased potential for internal hazards and changes to loading during defueling operations, with increased or modification to use of material handing or retrievals equipment, including dynamic effects and potential for dropped loads (cranes, hoists, fuelling machines, etc.), within the site fuel route and associated equipment,</w:t>
      </w:r>
    </w:p>
    <w:p w14:paraId="6DD8FD2D" w14:textId="77777777" w:rsidR="004931B4" w:rsidRPr="003A76BC" w:rsidRDefault="004931B4" w:rsidP="004931B4">
      <w:pPr>
        <w:pStyle w:val="Bulletlist1"/>
        <w:ind w:left="1418" w:hanging="357"/>
      </w:pPr>
      <w:r w:rsidRPr="002B1AA5">
        <w:t>potential modifications to civil engineering SSCs to gain access to radiological inventory</w:t>
      </w:r>
      <w:r>
        <w:t>, which may compromise the functions of structural support, containment, fire boundaries, protection from external hazards or impact,</w:t>
      </w:r>
    </w:p>
    <w:p w14:paraId="387592CC" w14:textId="77777777" w:rsidR="004931B4" w:rsidRPr="003A76BC" w:rsidRDefault="004931B4" w:rsidP="004931B4">
      <w:pPr>
        <w:pStyle w:val="Bulletlist1"/>
        <w:ind w:left="1418" w:hanging="357"/>
      </w:pPr>
      <w:r>
        <w:t xml:space="preserve">potential </w:t>
      </w:r>
      <w:r w:rsidRPr="003A76BC">
        <w:t>loads beyond those experienced during operations</w:t>
      </w:r>
      <w:r>
        <w:t>,</w:t>
      </w:r>
      <w:r w:rsidRPr="003A76BC">
        <w:t xml:space="preserve"> or changes in load</w:t>
      </w:r>
      <w:r>
        <w:t>ing</w:t>
      </w:r>
      <w:r w:rsidRPr="003A76BC">
        <w:t xml:space="preserve"> pattern during retrieval of the radiological inventory. </w:t>
      </w:r>
      <w:r>
        <w:t>Loads</w:t>
      </w:r>
      <w:r w:rsidRPr="003A76BC">
        <w:t xml:space="preserve"> may be created by </w:t>
      </w:r>
      <w:r>
        <w:t xml:space="preserve">temporary </w:t>
      </w:r>
      <w:r w:rsidRPr="003A76BC">
        <w:t xml:space="preserve">additional </w:t>
      </w:r>
      <w:r>
        <w:t xml:space="preserve">radiological </w:t>
      </w:r>
      <w:r w:rsidRPr="003A76BC">
        <w:t>shielding materials</w:t>
      </w:r>
      <w:r>
        <w:t xml:space="preserve"> or civil engineering SSCs or mechanical equipment required for retrieval of wastes,</w:t>
      </w:r>
    </w:p>
    <w:p w14:paraId="118D61DF" w14:textId="77777777" w:rsidR="004931B4" w:rsidRDefault="004931B4" w:rsidP="004931B4">
      <w:pPr>
        <w:pStyle w:val="Bulletlist1"/>
        <w:ind w:left="1418" w:hanging="357"/>
      </w:pPr>
      <w:r>
        <w:t>f</w:t>
      </w:r>
      <w:r w:rsidRPr="003A76BC">
        <w:t xml:space="preserve">loatation </w:t>
      </w:r>
      <w:r>
        <w:t xml:space="preserve">or heave </w:t>
      </w:r>
      <w:r w:rsidRPr="003A76BC">
        <w:t xml:space="preserve">of below ground structures as </w:t>
      </w:r>
      <w:r>
        <w:t xml:space="preserve">heavy equipment or large volumes of </w:t>
      </w:r>
      <w:r w:rsidRPr="003A76BC">
        <w:t xml:space="preserve">material (including water) </w:t>
      </w:r>
      <w:r>
        <w:t>are</w:t>
      </w:r>
      <w:r w:rsidRPr="003A76BC">
        <w:t xml:space="preserve"> removed</w:t>
      </w:r>
      <w:r>
        <w:t xml:space="preserve"> from civil engineering SSCs</w:t>
      </w:r>
      <w:r w:rsidRPr="003A76BC">
        <w:t>.</w:t>
      </w:r>
    </w:p>
    <w:p w14:paraId="77F05F9B" w14:textId="2FE8B0FB" w:rsidR="004931B4" w:rsidRDefault="004931B4" w:rsidP="004931B4">
      <w:pPr>
        <w:pStyle w:val="F9-Paragraph"/>
        <w:ind w:left="851" w:hanging="851"/>
      </w:pPr>
      <w:r w:rsidRPr="005E064F">
        <w:t>If a dutyholder is propos</w:t>
      </w:r>
      <w:r>
        <w:t>ing</w:t>
      </w:r>
      <w:r w:rsidRPr="005E064F">
        <w:t xml:space="preserve"> to reduce radioactivity from the civil engineering SSC surfaces </w:t>
      </w:r>
      <w:r w:rsidR="00864C9B">
        <w:t>for example,</w:t>
      </w:r>
      <w:r w:rsidRPr="005E064F">
        <w:t xml:space="preserve"> surface scabbling, the </w:t>
      </w:r>
      <w:r w:rsidR="00396977">
        <w:t>i</w:t>
      </w:r>
      <w:r w:rsidRPr="005E064F">
        <w:t>nspector may wish to consider how these activities could impact on the durability of the structure for the required lifetime.</w:t>
      </w:r>
      <w:r>
        <w:t xml:space="preserve"> The </w:t>
      </w:r>
      <w:r w:rsidR="00396977">
        <w:t>i</w:t>
      </w:r>
      <w:r>
        <w:t>nspector may wish to seek assurance of the dutyholder’s alternative strategy and associated justification, should the strategy for cleaning not achieve the required levels</w:t>
      </w:r>
      <w:r w:rsidRPr="00467A2F">
        <w:t xml:space="preserve"> </w:t>
      </w:r>
      <w:r>
        <w:t>to satisfy environmental requirements.</w:t>
      </w:r>
    </w:p>
    <w:p w14:paraId="2178EFDB" w14:textId="77777777" w:rsidR="00864C9B" w:rsidRDefault="00864C9B" w:rsidP="00BA1638">
      <w:pPr>
        <w:pStyle w:val="Heading2"/>
        <w:ind w:left="851" w:hanging="851"/>
        <w:sectPr w:rsidR="00864C9B">
          <w:pgSz w:w="11906" w:h="16838"/>
          <w:pgMar w:top="1440" w:right="1440" w:bottom="1440" w:left="1440" w:header="708" w:footer="708" w:gutter="0"/>
          <w:cols w:space="708"/>
          <w:docGrid w:linePitch="360"/>
        </w:sectPr>
      </w:pPr>
    </w:p>
    <w:p w14:paraId="62A67151" w14:textId="2688B936" w:rsidR="001774E5" w:rsidRDefault="00553465" w:rsidP="00BA1638">
      <w:pPr>
        <w:pStyle w:val="Heading2"/>
        <w:ind w:left="851" w:hanging="851"/>
      </w:pPr>
      <w:r>
        <w:lastRenderedPageBreak/>
        <w:t xml:space="preserve">Care and </w:t>
      </w:r>
      <w:r w:rsidR="00864C9B">
        <w:t>m</w:t>
      </w:r>
      <w:r>
        <w:t xml:space="preserve">aintenance </w:t>
      </w:r>
      <w:r w:rsidR="00864C9B">
        <w:t>p</w:t>
      </w:r>
      <w:r>
        <w:t>hase</w:t>
      </w:r>
    </w:p>
    <w:p w14:paraId="3F47ED09" w14:textId="2EA14608" w:rsidR="000304AB" w:rsidRPr="005F1C7D" w:rsidRDefault="000304AB" w:rsidP="006F0246">
      <w:pPr>
        <w:pStyle w:val="F9-Paragraph"/>
        <w:ind w:left="851" w:hanging="851"/>
        <w:rPr>
          <w:iCs/>
        </w:rPr>
      </w:pPr>
      <w:r w:rsidRPr="000304AB">
        <w:rPr>
          <w:iCs/>
        </w:rPr>
        <w:t xml:space="preserve">The </w:t>
      </w:r>
      <w:r w:rsidR="00396977">
        <w:rPr>
          <w:iCs/>
        </w:rPr>
        <w:t>i</w:t>
      </w:r>
      <w:r w:rsidRPr="000304AB">
        <w:rPr>
          <w:iCs/>
        </w:rPr>
        <w:t xml:space="preserve">nspector should expect the objective of the C&amp;M preparations is to have no active systems on site during C&amp;M. This may not always be possible, </w:t>
      </w:r>
      <w:r w:rsidR="00864C9B">
        <w:rPr>
          <w:iCs/>
        </w:rPr>
        <w:t>for example,</w:t>
      </w:r>
      <w:r w:rsidRPr="000304AB">
        <w:rPr>
          <w:iCs/>
        </w:rPr>
        <w:t xml:space="preserve"> an unavoidable active system could be a pumping system to remove (clean) groundwater ingress to a basement of a structure. </w:t>
      </w:r>
      <w:r w:rsidRPr="005F1C7D">
        <w:rPr>
          <w:iCs/>
        </w:rPr>
        <w:t xml:space="preserve">The </w:t>
      </w:r>
      <w:r w:rsidR="004501A8">
        <w:rPr>
          <w:iCs/>
        </w:rPr>
        <w:t>i</w:t>
      </w:r>
      <w:r w:rsidR="004501A8" w:rsidRPr="005F1C7D">
        <w:rPr>
          <w:iCs/>
        </w:rPr>
        <w:t xml:space="preserve">nspector </w:t>
      </w:r>
      <w:r w:rsidRPr="005F1C7D">
        <w:rPr>
          <w:iCs/>
        </w:rPr>
        <w:t xml:space="preserve">may wish to seek assurance of the adequacy of the proposed or in place regime for ongoing EIMT of civil engineering SSCs, and whether it is designed to minimise the need for active safety systems (including monitoring systems) in the interests of safety, and preventing the need for prompt intervention to maintain the facility in a safe condition. </w:t>
      </w:r>
    </w:p>
    <w:p w14:paraId="455D3C73" w14:textId="42048182" w:rsidR="000304AB" w:rsidRPr="000304AB" w:rsidRDefault="000304AB" w:rsidP="000304AB">
      <w:pPr>
        <w:pStyle w:val="F9-Paragraph"/>
        <w:ind w:left="851" w:hanging="851"/>
        <w:rPr>
          <w:iCs/>
        </w:rPr>
      </w:pPr>
      <w:r w:rsidRPr="000304AB">
        <w:rPr>
          <w:iCs/>
        </w:rPr>
        <w:t xml:space="preserve">If ongoing access for inspection is required, the </w:t>
      </w:r>
      <w:r w:rsidR="00463B35">
        <w:rPr>
          <w:iCs/>
        </w:rPr>
        <w:t>i</w:t>
      </w:r>
      <w:r w:rsidRPr="000304AB">
        <w:rPr>
          <w:iCs/>
        </w:rPr>
        <w:t>nspector should expect safe means of access and egress to be maintained, including provision of fire escape, lighting and directional signage as appropriate.</w:t>
      </w:r>
    </w:p>
    <w:p w14:paraId="7026ABC1" w14:textId="47705A14" w:rsidR="00036D0C" w:rsidRPr="00074FA6" w:rsidRDefault="000304AB" w:rsidP="000304AB">
      <w:pPr>
        <w:pStyle w:val="F9-Paragraph"/>
        <w:ind w:left="851" w:hanging="851"/>
      </w:pPr>
      <w:r w:rsidRPr="00DF303A">
        <w:rPr>
          <w:iCs/>
        </w:rPr>
        <w:t>For the C&amp;M phase, the safety case should describe the arrangements for the continued surveillance, maintenance and monitoring of the facilities that will ensure that any unexpected</w:t>
      </w:r>
      <w:r>
        <w:rPr>
          <w:iCs/>
        </w:rPr>
        <w:t xml:space="preserve"> degradation will be detected. </w:t>
      </w:r>
      <w:r w:rsidRPr="00DF303A">
        <w:rPr>
          <w:iCs/>
        </w:rPr>
        <w:t xml:space="preserve">Similarly, </w:t>
      </w:r>
      <w:r>
        <w:rPr>
          <w:iCs/>
        </w:rPr>
        <w:t xml:space="preserve">the </w:t>
      </w:r>
      <w:r w:rsidR="00C75CC6">
        <w:rPr>
          <w:iCs/>
        </w:rPr>
        <w:t xml:space="preserve">inspector </w:t>
      </w:r>
      <w:r>
        <w:rPr>
          <w:iCs/>
        </w:rPr>
        <w:t xml:space="preserve">may seek assurance that there are </w:t>
      </w:r>
      <w:r w:rsidRPr="00DF303A">
        <w:rPr>
          <w:iCs/>
        </w:rPr>
        <w:t xml:space="preserve">adequate arrangements </w:t>
      </w:r>
      <w:r>
        <w:rPr>
          <w:iCs/>
        </w:rPr>
        <w:t>in place</w:t>
      </w:r>
      <w:r w:rsidRPr="00DF303A">
        <w:rPr>
          <w:iCs/>
        </w:rPr>
        <w:t xml:space="preserve"> for detecting leakage of radioactivity and to ensure that unforeseen incidents are detected (for example, damage caused by natural events, failure of systems, intrusion). Where earthworks or excavation are required</w:t>
      </w:r>
      <w:r>
        <w:rPr>
          <w:iCs/>
        </w:rPr>
        <w:t>,</w:t>
      </w:r>
      <w:r w:rsidRPr="00DF303A">
        <w:rPr>
          <w:iCs/>
        </w:rPr>
        <w:t xml:space="preserve"> </w:t>
      </w:r>
      <w:r>
        <w:rPr>
          <w:iCs/>
        </w:rPr>
        <w:t xml:space="preserve">the </w:t>
      </w:r>
      <w:r w:rsidR="005458F0">
        <w:rPr>
          <w:iCs/>
        </w:rPr>
        <w:t xml:space="preserve">inspector </w:t>
      </w:r>
      <w:r>
        <w:rPr>
          <w:iCs/>
        </w:rPr>
        <w:t xml:space="preserve">is reminded of the </w:t>
      </w:r>
      <w:r w:rsidRPr="00DF303A">
        <w:rPr>
          <w:iCs/>
        </w:rPr>
        <w:t>possibility of contaminated land or spoil</w:t>
      </w:r>
      <w:r>
        <w:rPr>
          <w:iCs/>
        </w:rPr>
        <w:t xml:space="preserve"> presence</w:t>
      </w:r>
      <w:r w:rsidR="00074FA6">
        <w:rPr>
          <w:iCs/>
        </w:rPr>
        <w:t>.</w:t>
      </w:r>
    </w:p>
    <w:p w14:paraId="4D55EB42" w14:textId="37966752" w:rsidR="001774E5" w:rsidRDefault="00074FA6" w:rsidP="006F63D2">
      <w:pPr>
        <w:pStyle w:val="F9-Paragraph"/>
        <w:ind w:left="851" w:hanging="851"/>
      </w:pPr>
      <w:r w:rsidRPr="00074FA6">
        <w:rPr>
          <w:iCs/>
        </w:rPr>
        <w:t xml:space="preserve">If the consequences of an extreme external hazards event would be limited, it may be acceptable for dutyholders to reduce the severity of external hazard events which the facility needs to be demonstrated to withstand. </w:t>
      </w:r>
      <w:r w:rsidR="00864C9B">
        <w:rPr>
          <w:iCs/>
        </w:rPr>
        <w:br/>
      </w:r>
      <w:r w:rsidRPr="00074FA6">
        <w:rPr>
          <w:iCs/>
        </w:rPr>
        <w:t>In this situation, an appropriate update of the facility safety case should be undertaken to justify this.</w:t>
      </w:r>
    </w:p>
    <w:p w14:paraId="742F2308" w14:textId="20B24991" w:rsidR="001774E5" w:rsidRDefault="006B3BDF" w:rsidP="00776CEE">
      <w:pPr>
        <w:pStyle w:val="Heading2"/>
        <w:ind w:left="851" w:hanging="851"/>
      </w:pPr>
      <w:r>
        <w:t>Decommissioning</w:t>
      </w:r>
    </w:p>
    <w:p w14:paraId="52F59873" w14:textId="6A5493FB" w:rsidR="0015032C" w:rsidRPr="0015032C" w:rsidRDefault="0015032C" w:rsidP="0015032C">
      <w:pPr>
        <w:pStyle w:val="F9-Paragraph"/>
        <w:ind w:left="851" w:hanging="851"/>
        <w:rPr>
          <w:iCs/>
        </w:rPr>
      </w:pPr>
      <w:bookmarkStart w:id="17" w:name="_Hlk120713977"/>
      <w:bookmarkStart w:id="18" w:name="_Hlk120714220"/>
      <w:r w:rsidRPr="0015032C">
        <w:rPr>
          <w:iCs/>
        </w:rPr>
        <w:t xml:space="preserve">The </w:t>
      </w:r>
      <w:r w:rsidR="00986E84">
        <w:rPr>
          <w:iCs/>
        </w:rPr>
        <w:t>i</w:t>
      </w:r>
      <w:r w:rsidRPr="0015032C">
        <w:rPr>
          <w:iCs/>
        </w:rPr>
        <w:t>nspector may wish to seek assurance of the adequacy of the processes and arrangements in place for decision making associated with decommissioning activities on the site. The civil engineering specific considerations for decommissioning are similar to those for POCO projects, including whether the proposed activity will:</w:t>
      </w:r>
    </w:p>
    <w:p w14:paraId="32E65B54" w14:textId="67CAB790" w:rsidR="0015032C" w:rsidRPr="00ED0749" w:rsidRDefault="0015032C" w:rsidP="0015032C">
      <w:pPr>
        <w:pStyle w:val="Bulletlist1"/>
        <w:ind w:left="1418" w:hanging="357"/>
      </w:pPr>
      <w:r w:rsidRPr="00ED0749">
        <w:t xml:space="preserve">change the load paths and how will this impact the civil engineering SSC, including impact on external and internal load cases </w:t>
      </w:r>
      <w:r w:rsidR="00864C9B">
        <w:t>for example,</w:t>
      </w:r>
      <w:r w:rsidRPr="00ED0749">
        <w:t xml:space="preserve"> wind uplift on the roof following removal of suspended services,</w:t>
      </w:r>
    </w:p>
    <w:p w14:paraId="4A4A8067" w14:textId="742AF73A" w:rsidR="0015032C" w:rsidRDefault="0015032C" w:rsidP="0015032C">
      <w:pPr>
        <w:pStyle w:val="Bulletlist1"/>
        <w:ind w:left="1418" w:hanging="357"/>
      </w:pPr>
      <w:r w:rsidRPr="00ED0749">
        <w:t>increase the</w:t>
      </w:r>
      <w:r>
        <w:t xml:space="preserve"> hazard presented to the structure by removal of structural support,</w:t>
      </w:r>
    </w:p>
    <w:p w14:paraId="272CD5EC" w14:textId="77777777" w:rsidR="0015032C" w:rsidRDefault="0015032C" w:rsidP="0015032C">
      <w:pPr>
        <w:pStyle w:val="Bulletlist1"/>
        <w:ind w:left="1418" w:hanging="357"/>
      </w:pPr>
      <w:r>
        <w:t>make the structure vulnerable due to the existing condition of the civil engineering SSC, and how any ageing effects or damage could make the SSC particularly vulnerable to collapse,</w:t>
      </w:r>
    </w:p>
    <w:p w14:paraId="7E1784CA" w14:textId="46A2A702" w:rsidR="0015032C" w:rsidRDefault="0015032C" w:rsidP="0015032C">
      <w:pPr>
        <w:pStyle w:val="Bulletlist1"/>
        <w:ind w:left="1418" w:hanging="357"/>
      </w:pPr>
      <w:r>
        <w:lastRenderedPageBreak/>
        <w:t xml:space="preserve">make the structure vulnerable to collapse when considering construction and the associated deconstruction sequence required </w:t>
      </w:r>
      <w:r w:rsidR="00864C9B">
        <w:t>for example,</w:t>
      </w:r>
      <w:r>
        <w:t xml:space="preserve"> pre-stressed structures</w:t>
      </w:r>
      <w:r w:rsidR="00CB25D4">
        <w:t xml:space="preserve"> or creation of a dominant opening for wind loading</w:t>
      </w:r>
      <w:r>
        <w:t>,</w:t>
      </w:r>
    </w:p>
    <w:p w14:paraId="674E3337" w14:textId="05FDBFD1" w:rsidR="0015032C" w:rsidRDefault="0015032C" w:rsidP="0015032C">
      <w:pPr>
        <w:pStyle w:val="Bulletlist1"/>
        <w:ind w:left="1418" w:hanging="357"/>
      </w:pPr>
      <w:r>
        <w:t xml:space="preserve">impede ability for the dutyholder to undertake EIMT, </w:t>
      </w:r>
      <w:r w:rsidR="00864C9B">
        <w:t>for example,</w:t>
      </w:r>
      <w:r>
        <w:t xml:space="preserve"> when moving waste (under water) that has not previously been disturbed, storing large items close together,</w:t>
      </w:r>
    </w:p>
    <w:p w14:paraId="3E0FAC4F" w14:textId="1026F14C" w:rsidR="0015032C" w:rsidRDefault="0015032C" w:rsidP="0015032C">
      <w:pPr>
        <w:pStyle w:val="Bulletlist1"/>
        <w:ind w:left="1418" w:hanging="357"/>
      </w:pPr>
      <w:r>
        <w:t xml:space="preserve">increase the risks associated with managing radiological and conventional health and safety hazards, </w:t>
      </w:r>
      <w:r w:rsidR="00864C9B">
        <w:t>for example,</w:t>
      </w:r>
      <w:r>
        <w:t xml:space="preserve"> location of (irradiated) stored waste items within a civil engineering SSC that increase dose uptake or obscure or prevent adequate internal civil engineering EIMT, creation of confined spaces, </w:t>
      </w:r>
      <w:r w:rsidR="00B60CA3">
        <w:t xml:space="preserve">distubance of </w:t>
      </w:r>
      <w:r>
        <w:t>asbestos, etc.</w:t>
      </w:r>
    </w:p>
    <w:p w14:paraId="7A5218AE" w14:textId="77777777" w:rsidR="0015032C" w:rsidRDefault="0015032C" w:rsidP="0015032C">
      <w:pPr>
        <w:pStyle w:val="Bulletlist1"/>
        <w:ind w:left="1418" w:hanging="357"/>
      </w:pPr>
      <w:r>
        <w:t>impede access or egress (especially those for emergency exit),</w:t>
      </w:r>
    </w:p>
    <w:p w14:paraId="3A89BE14" w14:textId="77777777" w:rsidR="0015032C" w:rsidRDefault="0015032C" w:rsidP="0015032C">
      <w:pPr>
        <w:pStyle w:val="Bulletlist1"/>
        <w:ind w:left="1418" w:hanging="357"/>
      </w:pPr>
      <w:r>
        <w:t>increase the potential for internal hazards,</w:t>
      </w:r>
    </w:p>
    <w:p w14:paraId="514DCA46" w14:textId="60135B40" w:rsidR="0015032C" w:rsidRDefault="0015032C" w:rsidP="0015032C">
      <w:pPr>
        <w:pStyle w:val="Bulletlist1"/>
        <w:ind w:left="1418" w:hanging="357"/>
      </w:pPr>
      <w:r>
        <w:t xml:space="preserve">breach any containment barriers or increase the potential for leakage or water egress, especially </w:t>
      </w:r>
      <w:r w:rsidR="00615E6E">
        <w:t>where it might allow the mobilisation</w:t>
      </w:r>
      <w:r>
        <w:t xml:space="preserve"> of contaminated </w:t>
      </w:r>
      <w:r w:rsidR="00615E6E">
        <w:t>material</w:t>
      </w:r>
      <w:r>
        <w:t>,</w:t>
      </w:r>
    </w:p>
    <w:p w14:paraId="3055C46F" w14:textId="77777777" w:rsidR="0015032C" w:rsidRDefault="0015032C" w:rsidP="0015032C">
      <w:pPr>
        <w:pStyle w:val="Bulletlist1"/>
        <w:ind w:left="1418" w:hanging="357"/>
      </w:pPr>
      <w:r>
        <w:t>increase the consequence of the effect of external hazards, design basis, beyond design basis or other events, including the consideration of cliff-edges.</w:t>
      </w:r>
    </w:p>
    <w:bookmarkEnd w:id="17"/>
    <w:bookmarkEnd w:id="18"/>
    <w:p w14:paraId="0E35E5C8" w14:textId="44CC152B" w:rsidR="00B210DC" w:rsidRDefault="00AE4C86" w:rsidP="00B210DC">
      <w:pPr>
        <w:pStyle w:val="Heading2"/>
        <w:ind w:left="851" w:hanging="851"/>
      </w:pPr>
      <w:r>
        <w:t>Demolition</w:t>
      </w:r>
    </w:p>
    <w:p w14:paraId="769FCE34" w14:textId="76D25209" w:rsidR="00B45796" w:rsidRPr="007F3E51" w:rsidRDefault="000316F9" w:rsidP="007F3E51">
      <w:pPr>
        <w:pStyle w:val="F9-Paragraph"/>
        <w:ind w:left="851" w:hanging="851"/>
      </w:pPr>
      <w:r>
        <w:t xml:space="preserve">Demolition should be undertaken before the structure has become unsafe to access, unstable or unacceptably vulnerable to events. </w:t>
      </w:r>
      <w:r w:rsidR="00B45796" w:rsidRPr="007F3E51">
        <w:t xml:space="preserve">Progressive and disproportionate collapse must be avoided, including </w:t>
      </w:r>
      <w:r w:rsidR="00135DB8">
        <w:t xml:space="preserve">in </w:t>
      </w:r>
      <w:r w:rsidR="00B45796" w:rsidRPr="007F3E51">
        <w:t>the dutyholder’s demolition arrangements.</w:t>
      </w:r>
    </w:p>
    <w:p w14:paraId="3ACF455E" w14:textId="2AF47D42" w:rsidR="007F3E51" w:rsidRDefault="00B45796" w:rsidP="00B45796">
      <w:pPr>
        <w:pStyle w:val="F9-Paragraph"/>
        <w:ind w:left="851" w:hanging="851"/>
      </w:pPr>
      <w:r>
        <w:t>D</w:t>
      </w:r>
      <w:hyperlink r:id="rId25" w:tooltip="Demolition" w:history="1">
        <w:r w:rsidRPr="00706889">
          <w:t>emolition</w:t>
        </w:r>
      </w:hyperlink>
      <w:r>
        <w:t xml:space="preserve"> should be undertaken by safe means; with expediency being a consideration, especially if the structure is unsafe in its existing condition. The </w:t>
      </w:r>
      <w:r w:rsidR="00290492">
        <w:t>i</w:t>
      </w:r>
      <w:r>
        <w:t xml:space="preserve">nspector should also be mindful that dutyholders take into account other factors such as cost, programme, waste segregation and minimisation, and environmental protection when considering the optioneering and selecting the methodology. The </w:t>
      </w:r>
      <w:r w:rsidR="00135DB8">
        <w:t xml:space="preserve">inspector </w:t>
      </w:r>
      <w:r>
        <w:t xml:space="preserve">may wish to seek assurance that particular factors are not unduly weighted when considering options. </w:t>
      </w:r>
    </w:p>
    <w:p w14:paraId="05B55DE2" w14:textId="7C084E6E" w:rsidR="00AA2801" w:rsidRDefault="00AA2801" w:rsidP="00B45796">
      <w:pPr>
        <w:pStyle w:val="F9-Paragraph"/>
        <w:ind w:left="851" w:hanging="851"/>
      </w:pPr>
      <w:r>
        <w:t>Demolition should be undertaken before the structure has become unsafe to access, unstable or unacceptably vulnerable to external hazards events. Risks created to adjacent facilities should be assessed when considering the sequencing and timing of demolition activities.</w:t>
      </w:r>
    </w:p>
    <w:p w14:paraId="0CCD6254" w14:textId="77777777" w:rsidR="00864C9B" w:rsidRDefault="00864C9B" w:rsidP="00644B3A">
      <w:pPr>
        <w:pStyle w:val="F9-Paragraph"/>
        <w:ind w:left="851" w:hanging="851"/>
        <w:sectPr w:rsidR="00864C9B">
          <w:pgSz w:w="11906" w:h="16838"/>
          <w:pgMar w:top="1440" w:right="1440" w:bottom="1440" w:left="1440" w:header="708" w:footer="708" w:gutter="0"/>
          <w:cols w:space="708"/>
          <w:docGrid w:linePitch="360"/>
        </w:sectPr>
      </w:pPr>
    </w:p>
    <w:p w14:paraId="7B74C758" w14:textId="1F7B6C45" w:rsidR="00644B3A" w:rsidRDefault="00644B3A" w:rsidP="00644B3A">
      <w:pPr>
        <w:pStyle w:val="F9-Paragraph"/>
        <w:ind w:left="851" w:hanging="851"/>
      </w:pPr>
      <w:r w:rsidRPr="00ED0749">
        <w:lastRenderedPageBreak/>
        <w:t xml:space="preserve">Where the duty holder has employed a demolition contractor, it is the responsibility of the contractor to develop a safe system of demolition work, justifying the choice of method and demonstrating that risks have been reduced so far as is reasonably practicable. The </w:t>
      </w:r>
      <w:r>
        <w:t>dutyholder</w:t>
      </w:r>
      <w:r w:rsidRPr="00ED0749">
        <w:t xml:space="preserve"> (through the Intelligent Customer function) is responsible for ensuring that the contractor’s proposals or their own arrangements include for command and control, a robust system of change</w:t>
      </w:r>
      <w:r w:rsidRPr="00782F86">
        <w:t xml:space="preserve"> control</w:t>
      </w:r>
      <w:r>
        <w:t xml:space="preserve"> and accident response plans. The </w:t>
      </w:r>
      <w:r w:rsidR="00CA6F4C">
        <w:t xml:space="preserve">inspector </w:t>
      </w:r>
      <w:r>
        <w:t xml:space="preserve">may wish to seek assurance that the proposals have been </w:t>
      </w:r>
      <w:r w:rsidRPr="00782F86">
        <w:t xml:space="preserve">subject to appropriate levels of peer </w:t>
      </w:r>
      <w:r>
        <w:t xml:space="preserve">and independent </w:t>
      </w:r>
      <w:r w:rsidRPr="00782F86">
        <w:t>review.</w:t>
      </w:r>
    </w:p>
    <w:p w14:paraId="44BCDE08" w14:textId="5E60B4DB" w:rsidR="00B210DC" w:rsidRDefault="00644B3A" w:rsidP="00644B3A">
      <w:pPr>
        <w:pStyle w:val="F9-Paragraph"/>
        <w:ind w:left="851" w:hanging="851"/>
      </w:pPr>
      <w:r>
        <w:t xml:space="preserve">The Intelligent Customer function is responsible for ensuring that the specification adequately identifies the activities that need to be completed as part of demolition, and that the specification requirements have meet an adequate standard. The </w:t>
      </w:r>
      <w:r w:rsidR="000B42DD">
        <w:t xml:space="preserve">inspector </w:t>
      </w:r>
      <w:r>
        <w:t>may wish to seek assurance that the decommissioning and demolition activities have been undertaken adequately, and that records are available to demonstrate this. There may be a requirement for an end-state survey to be undertaken as evidence that the final demolition and decommissioning activities are complete</w:t>
      </w:r>
      <w:r w:rsidR="00B210DC" w:rsidRPr="006C113A">
        <w:t>.</w:t>
      </w:r>
    </w:p>
    <w:p w14:paraId="47908BDE" w14:textId="30736BD6" w:rsidR="00512614" w:rsidRDefault="00512614" w:rsidP="00512614">
      <w:pPr>
        <w:pStyle w:val="F9-Paragraph"/>
        <w:ind w:left="851" w:hanging="851"/>
      </w:pPr>
      <w:r>
        <w:t xml:space="preserve">The </w:t>
      </w:r>
      <w:r w:rsidR="000B42DD">
        <w:t xml:space="preserve">inspector </w:t>
      </w:r>
      <w:r>
        <w:t>may wish to consider:</w:t>
      </w:r>
    </w:p>
    <w:p w14:paraId="0F52A80E" w14:textId="77777777" w:rsidR="00512614" w:rsidRPr="007A3AC9" w:rsidRDefault="00512614" w:rsidP="00512614">
      <w:pPr>
        <w:pStyle w:val="Bulletlist1"/>
        <w:ind w:left="1418" w:hanging="357"/>
      </w:pPr>
      <w:r w:rsidRPr="007A3AC9">
        <w:t>implications of the surrounding physical environment in terms of adjacent facilities, services and infrastru</w:t>
      </w:r>
      <w:r>
        <w:t>cture, access restrictions, etc.,</w:t>
      </w:r>
    </w:p>
    <w:p w14:paraId="7105E3D8" w14:textId="77777777" w:rsidR="00512614" w:rsidRDefault="00512614" w:rsidP="00512614">
      <w:pPr>
        <w:pStyle w:val="Bulletlist1"/>
        <w:ind w:left="1418" w:hanging="357"/>
      </w:pPr>
      <w:r>
        <w:t>verifying that the duty</w:t>
      </w:r>
      <w:r w:rsidRPr="007A3AC9">
        <w:t xml:space="preserve">holder understands the structure to be demolished, including its load carrying capacity, structural condition, the effects of any defects, </w:t>
      </w:r>
      <w:r>
        <w:t xml:space="preserve">all potential </w:t>
      </w:r>
      <w:r w:rsidRPr="007A3AC9">
        <w:t>load paths and method</w:t>
      </w:r>
      <w:r>
        <w:t>s</w:t>
      </w:r>
      <w:r w:rsidRPr="007A3AC9">
        <w:t xml:space="preserve"> of providing stability, connection types and characteristic</w:t>
      </w:r>
      <w:r>
        <w:t>s of the construction materials,</w:t>
      </w:r>
    </w:p>
    <w:p w14:paraId="0A02CF9B" w14:textId="77777777" w:rsidR="00512614" w:rsidRPr="007A3AC9" w:rsidRDefault="00512614" w:rsidP="00512614">
      <w:pPr>
        <w:pStyle w:val="Bulletlist1"/>
        <w:ind w:left="1418" w:hanging="357"/>
      </w:pPr>
      <w:r>
        <w:t>measures to verify assumed material properties,</w:t>
      </w:r>
    </w:p>
    <w:p w14:paraId="28E323C8" w14:textId="77777777" w:rsidR="00512614" w:rsidRPr="007A3AC9" w:rsidRDefault="00512614" w:rsidP="00512614">
      <w:pPr>
        <w:pStyle w:val="Bulletlist1"/>
        <w:ind w:left="1418" w:hanging="357"/>
      </w:pPr>
      <w:r w:rsidRPr="007A3AC9">
        <w:t>risks resulting from inadequate or ou</w:t>
      </w:r>
      <w:r>
        <w:t>t-of-date structural information or unrecorded structural alterations,</w:t>
      </w:r>
    </w:p>
    <w:p w14:paraId="2CE08B85" w14:textId="77777777" w:rsidR="00512614" w:rsidRPr="007A3AC9" w:rsidRDefault="00512614" w:rsidP="00512614">
      <w:pPr>
        <w:pStyle w:val="Bulletlist1"/>
        <w:ind w:left="1418" w:hanging="357"/>
      </w:pPr>
      <w:r w:rsidRPr="007A3AC9">
        <w:t xml:space="preserve">measures to ensure stability </w:t>
      </w:r>
      <w:r>
        <w:t>at each stage of the demolition,</w:t>
      </w:r>
    </w:p>
    <w:p w14:paraId="3D553B51" w14:textId="77777777" w:rsidR="00512614" w:rsidRPr="007A3AC9" w:rsidRDefault="00512614" w:rsidP="00512614">
      <w:pPr>
        <w:pStyle w:val="Bulletlist1"/>
        <w:ind w:left="1418" w:hanging="357"/>
      </w:pPr>
      <w:r w:rsidRPr="007A3AC9">
        <w:t>potential for concentrated, unbalanced or lateral loads due to a build</w:t>
      </w:r>
      <w:r>
        <w:t>-up of demolition materials,</w:t>
      </w:r>
    </w:p>
    <w:p w14:paraId="09D16FA4" w14:textId="77777777" w:rsidR="00512614" w:rsidRDefault="00512614" w:rsidP="00512614">
      <w:pPr>
        <w:pStyle w:val="Bulletlist1"/>
        <w:ind w:left="1418" w:hanging="357"/>
      </w:pPr>
      <w:r w:rsidRPr="007A3AC9">
        <w:t>loads created by demolition plant</w:t>
      </w:r>
      <w:r>
        <w:t>, including jacking and lifting forces,</w:t>
      </w:r>
    </w:p>
    <w:p w14:paraId="42B4988E" w14:textId="450822AA" w:rsidR="00512614" w:rsidRPr="007A3AC9" w:rsidRDefault="00512614" w:rsidP="00512614">
      <w:pPr>
        <w:pStyle w:val="Bulletlist1"/>
        <w:ind w:left="1418" w:hanging="357"/>
      </w:pPr>
      <w:r>
        <w:t xml:space="preserve">loads created by access or lifting equipment </w:t>
      </w:r>
      <w:r w:rsidR="00864C9B">
        <w:t>for example,</w:t>
      </w:r>
      <w:r>
        <w:t xml:space="preserve"> scaffolds on suspended slabs, self-climbing platforms, wind loads on scaffolds or cranes, crash decks and protective structures, back propping, etc.,</w:t>
      </w:r>
    </w:p>
    <w:p w14:paraId="254D5F59" w14:textId="77777777" w:rsidR="00512614" w:rsidRDefault="00512614" w:rsidP="00512614">
      <w:pPr>
        <w:pStyle w:val="Bulletlist1"/>
        <w:ind w:left="1418" w:hanging="357"/>
      </w:pPr>
      <w:r w:rsidRPr="007A3AC9">
        <w:t>hazards created by underground or hidden structures, below ground services or the p</w:t>
      </w:r>
      <w:r>
        <w:t>otential for ground instability,</w:t>
      </w:r>
    </w:p>
    <w:p w14:paraId="244F920E" w14:textId="77777777" w:rsidR="00512614" w:rsidRDefault="00512614" w:rsidP="00512614">
      <w:pPr>
        <w:pStyle w:val="Bulletlist1"/>
        <w:ind w:left="1418" w:hanging="357"/>
      </w:pPr>
      <w:r>
        <w:t>hazards created by pre-stressed components,</w:t>
      </w:r>
    </w:p>
    <w:p w14:paraId="1BA2E9D2" w14:textId="77777777" w:rsidR="00512614" w:rsidRDefault="00512614" w:rsidP="00512614">
      <w:pPr>
        <w:pStyle w:val="Bulletlist1"/>
        <w:ind w:left="1418" w:hanging="357"/>
      </w:pPr>
      <w:r>
        <w:lastRenderedPageBreak/>
        <w:t>hazards created by large panel or in-situ jointed prefabricated structures,</w:t>
      </w:r>
    </w:p>
    <w:p w14:paraId="53F0E2BF" w14:textId="77777777" w:rsidR="00512614" w:rsidRDefault="00512614" w:rsidP="00512614">
      <w:pPr>
        <w:pStyle w:val="Bulletlist1"/>
        <w:ind w:left="1418" w:hanging="357"/>
      </w:pPr>
      <w:r>
        <w:t>hazards created by cutting and sawing techniques, including control of potentially contaminated slurry or dust,</w:t>
      </w:r>
    </w:p>
    <w:p w14:paraId="5B37A1D6" w14:textId="77777777" w:rsidR="00512614" w:rsidRPr="00364DD3" w:rsidRDefault="00512614" w:rsidP="00512614">
      <w:pPr>
        <w:pStyle w:val="Bulletlist1"/>
        <w:ind w:left="1418" w:hanging="357"/>
      </w:pPr>
      <w:r w:rsidRPr="00364DD3">
        <w:t>risks associated with lifting of cut elements (temporary stability, weigh</w:t>
      </w:r>
      <w:r>
        <w:t>t</w:t>
      </w:r>
      <w:r w:rsidRPr="00364DD3">
        <w:t xml:space="preserve"> estimation, centre of gravity, wind sailing effects, lay down areas, rigging, slinging and ge</w:t>
      </w:r>
      <w:r>
        <w:t>ometry of the lifting equipment,</w:t>
      </w:r>
    </w:p>
    <w:p w14:paraId="00487087" w14:textId="3826F78D" w:rsidR="00512614" w:rsidRPr="007A3AC9" w:rsidRDefault="00512614" w:rsidP="00512614">
      <w:pPr>
        <w:pStyle w:val="Bulletlist1"/>
        <w:ind w:left="1418" w:hanging="357"/>
      </w:pPr>
      <w:r w:rsidRPr="007A3AC9">
        <w:t>potential shortfalls due to the codes of practice and standards of detailing used in the original design and construction</w:t>
      </w:r>
      <w:r>
        <w:t xml:space="preserve"> </w:t>
      </w:r>
      <w:r w:rsidR="00864C9B">
        <w:t>for example,</w:t>
      </w:r>
      <w:r w:rsidRPr="007A3AC9">
        <w:t xml:space="preserve"> </w:t>
      </w:r>
      <w:r>
        <w:t xml:space="preserve">design methodologies, </w:t>
      </w:r>
      <w:r w:rsidRPr="007A3AC9">
        <w:t>safety factors, load combinations, reinfor</w:t>
      </w:r>
      <w:r>
        <w:t>cement embedment or lap lengths,</w:t>
      </w:r>
    </w:p>
    <w:p w14:paraId="7611A017" w14:textId="25855685" w:rsidR="00512614" w:rsidRDefault="00512614" w:rsidP="00512614">
      <w:pPr>
        <w:pStyle w:val="Bulletlist1"/>
        <w:ind w:left="1418" w:hanging="357"/>
      </w:pPr>
      <w:r w:rsidRPr="007A3AC9">
        <w:t xml:space="preserve">the properties of historic materials </w:t>
      </w:r>
      <w:r w:rsidR="00864C9B">
        <w:t>for example,</w:t>
      </w:r>
      <w:r w:rsidRPr="007A3AC9">
        <w:t xml:space="preserve"> mild stee</w:t>
      </w:r>
      <w:r>
        <w:t>l or un-ribbed reinforcement</w:t>
      </w:r>
      <w:r w:rsidRPr="007A3AC9">
        <w:t>. The implications and risks of using modern design code</w:t>
      </w:r>
      <w:r>
        <w:t>s for checking older structures. Possible degradation of the strength of materials,</w:t>
      </w:r>
    </w:p>
    <w:p w14:paraId="1D378347" w14:textId="77777777" w:rsidR="00512614" w:rsidRDefault="00512614" w:rsidP="00512614">
      <w:pPr>
        <w:pStyle w:val="Bulletlist1"/>
        <w:ind w:left="1418" w:hanging="357"/>
      </w:pPr>
      <w:r>
        <w:t>temporary works designs, particularly if failure of the temporary works could have significant consequences,</w:t>
      </w:r>
    </w:p>
    <w:p w14:paraId="75B3F276" w14:textId="77777777" w:rsidR="00512614" w:rsidRPr="007A3AC9" w:rsidRDefault="00512614" w:rsidP="00512614">
      <w:pPr>
        <w:pStyle w:val="Bulletlist1"/>
        <w:ind w:left="1418" w:hanging="357"/>
      </w:pPr>
      <w:r>
        <w:t>surface water run off or infiltration,</w:t>
      </w:r>
    </w:p>
    <w:p w14:paraId="13699780" w14:textId="77777777" w:rsidR="00512614" w:rsidRPr="002B1AA5" w:rsidRDefault="00512614" w:rsidP="00512614">
      <w:pPr>
        <w:pStyle w:val="Bulletlist1"/>
        <w:ind w:left="1418" w:hanging="357"/>
      </w:pPr>
      <w:r>
        <w:t>i</w:t>
      </w:r>
      <w:r w:rsidRPr="00AD58E0">
        <w:t xml:space="preserve">mplications of </w:t>
      </w:r>
      <w:r>
        <w:t xml:space="preserve">unusual or </w:t>
      </w:r>
      <w:r w:rsidRPr="00AD58E0">
        <w:t xml:space="preserve">specialist </w:t>
      </w:r>
      <w:r>
        <w:t>techniques such as</w:t>
      </w:r>
      <w:r w:rsidRPr="00AD58E0">
        <w:t xml:space="preserve"> tandem lifts, dewatering, </w:t>
      </w:r>
      <w:r>
        <w:t>ground freezing, hydro demolition, river and coastal works and pre-weakening of structures.</w:t>
      </w:r>
    </w:p>
    <w:p w14:paraId="17DD9B2B" w14:textId="02B4635A" w:rsidR="001774E5" w:rsidRDefault="00BF67A7" w:rsidP="009B4C43">
      <w:pPr>
        <w:pStyle w:val="Heading2"/>
        <w:ind w:left="851" w:hanging="851"/>
      </w:pPr>
      <w:r>
        <w:t xml:space="preserve">Site </w:t>
      </w:r>
      <w:r w:rsidR="00864C9B">
        <w:t>r</w:t>
      </w:r>
      <w:r>
        <w:t>emediation</w:t>
      </w:r>
    </w:p>
    <w:p w14:paraId="1DCE3E3F" w14:textId="3757A74E" w:rsidR="00AD5817" w:rsidRPr="00AD5817" w:rsidRDefault="00AD5817" w:rsidP="00AD5817">
      <w:pPr>
        <w:pStyle w:val="F9-Paragraph"/>
        <w:ind w:left="851" w:hanging="851"/>
      </w:pPr>
      <w:r>
        <w:t xml:space="preserve">ONR expects </w:t>
      </w:r>
      <w:r w:rsidRPr="00AD5817">
        <w:t xml:space="preserve">dutyholders to update decommissioning strategies and plans to include identification and remediation of any contaminated land, to ensure the site is passively safe before entering the </w:t>
      </w:r>
      <w:r w:rsidR="00864C9B">
        <w:t>C&amp;M</w:t>
      </w:r>
      <w:r w:rsidRPr="00AD5817">
        <w:t xml:space="preserve"> phase.</w:t>
      </w:r>
    </w:p>
    <w:p w14:paraId="0C36C929" w14:textId="77777777" w:rsidR="00AD5817" w:rsidRPr="00AD5817" w:rsidRDefault="00AD5817" w:rsidP="00AD5817">
      <w:pPr>
        <w:pStyle w:val="F9-Paragraph"/>
        <w:ind w:left="851" w:hanging="851"/>
      </w:pPr>
      <w:r w:rsidRPr="00AD5817">
        <w:t xml:space="preserve">Site remediation is a specialist activity. If ONR needs to consider ground contamination issues which present a potential ongoing hazard to workers or the public, it is likely that the ONR regulation will be led by inspectors with a waste and decommissioning specialism. Civil engineering inspectors may be able to provide support regarding the geological and hydrological conditions. </w:t>
      </w:r>
    </w:p>
    <w:p w14:paraId="2CCFEE4E" w14:textId="1A32D066" w:rsidR="00AD5817" w:rsidRPr="00AD5817" w:rsidRDefault="00AD5817" w:rsidP="00AD5817">
      <w:pPr>
        <w:pStyle w:val="F9-Paragraph"/>
        <w:ind w:left="851" w:hanging="851"/>
      </w:pPr>
      <w:r w:rsidRPr="00AD5817">
        <w:t xml:space="preserve">Where earthworks or excavation are required, the </w:t>
      </w:r>
      <w:r w:rsidR="00B079ED">
        <w:t>i</w:t>
      </w:r>
      <w:r w:rsidRPr="00AD5817">
        <w:t>nspector is reminded to consider the possibility of contaminated land or spoil.</w:t>
      </w:r>
    </w:p>
    <w:p w14:paraId="3FF5F9F5" w14:textId="77777777" w:rsidR="00AD5817" w:rsidRPr="00AD5817" w:rsidRDefault="00AD5817" w:rsidP="00AD5817">
      <w:pPr>
        <w:pStyle w:val="F9-Paragraph"/>
        <w:ind w:left="851" w:hanging="851"/>
      </w:pPr>
      <w:r w:rsidRPr="00AD5817">
        <w:t xml:space="preserve">The risk of flooding (including allowances for climate change predictions and other uncertainties) should be considered when demonstrating the safety of earthworks. The potential for external hazards to adversely affect remediation activities should be considered. This might include the potential for spread of contaminants, temporary stability of earth mounds or excavations, the continued function of cut-off barriers and the capacity of any rainwater bunds or other water retention structures. </w:t>
      </w:r>
    </w:p>
    <w:p w14:paraId="193CBE23" w14:textId="3B09C8C6" w:rsidR="001774E5" w:rsidRDefault="00BF67A7" w:rsidP="00E74EA0">
      <w:pPr>
        <w:pStyle w:val="Heading2"/>
        <w:ind w:left="851" w:hanging="851"/>
      </w:pPr>
      <w:r>
        <w:lastRenderedPageBreak/>
        <w:t>Delicencing</w:t>
      </w:r>
    </w:p>
    <w:p w14:paraId="73A575D7" w14:textId="0100DA33" w:rsidR="00C4526B" w:rsidRPr="00A075C0" w:rsidRDefault="00C4526B" w:rsidP="00C4526B">
      <w:pPr>
        <w:pStyle w:val="F9-Paragraph"/>
        <w:ind w:left="851" w:hanging="851"/>
      </w:pPr>
      <w:r>
        <w:t>D</w:t>
      </w:r>
      <w:r w:rsidRPr="00D722D5">
        <w:t xml:space="preserve">uring the </w:t>
      </w:r>
      <w:r>
        <w:t>delicencing</w:t>
      </w:r>
      <w:r w:rsidRPr="00D722D5">
        <w:t xml:space="preserve"> phase</w:t>
      </w:r>
      <w:r>
        <w:t xml:space="preserve">, the </w:t>
      </w:r>
      <w:r w:rsidR="00593754">
        <w:t xml:space="preserve">inspector </w:t>
      </w:r>
      <w:r w:rsidRPr="00D722D5">
        <w:t xml:space="preserve">may </w:t>
      </w:r>
      <w:r>
        <w:t xml:space="preserve">wish </w:t>
      </w:r>
      <w:r w:rsidRPr="00D722D5">
        <w:t>to consider:</w:t>
      </w:r>
    </w:p>
    <w:p w14:paraId="2DA6ABE6" w14:textId="77777777" w:rsidR="00C4526B" w:rsidRPr="003C3CDC" w:rsidRDefault="00C4526B" w:rsidP="00761DD3">
      <w:pPr>
        <w:pStyle w:val="Bulletlist1"/>
        <w:ind w:left="1418" w:hanging="357"/>
      </w:pPr>
      <w:r>
        <w:t>t</w:t>
      </w:r>
      <w:r w:rsidRPr="003C3CDC">
        <w:t xml:space="preserve">he regime for monitoring any residual civil engineering structures, such as foundations, filled tanks, </w:t>
      </w:r>
      <w:r>
        <w:t xml:space="preserve">concrete </w:t>
      </w:r>
      <w:r w:rsidRPr="003C3CDC">
        <w:t xml:space="preserve">bases </w:t>
      </w:r>
      <w:r>
        <w:t>or below ground services which have not been removed,</w:t>
      </w:r>
    </w:p>
    <w:p w14:paraId="6E1D5485" w14:textId="77777777" w:rsidR="00C4526B" w:rsidRDefault="00C4526B" w:rsidP="00761DD3">
      <w:pPr>
        <w:pStyle w:val="Bulletlist1"/>
        <w:ind w:left="1418" w:hanging="357"/>
      </w:pPr>
      <w:r>
        <w:t>the p</w:t>
      </w:r>
      <w:r w:rsidRPr="003C3CDC">
        <w:t xml:space="preserve">otential </w:t>
      </w:r>
      <w:r>
        <w:t xml:space="preserve">safety </w:t>
      </w:r>
      <w:r w:rsidRPr="003C3CDC">
        <w:t>consequences of landscaping proposals, including slope stability and surface water run-off</w:t>
      </w:r>
      <w:r>
        <w:t>,</w:t>
      </w:r>
    </w:p>
    <w:p w14:paraId="76405478" w14:textId="77777777" w:rsidR="00C4526B" w:rsidRDefault="00C4526B" w:rsidP="00761DD3">
      <w:pPr>
        <w:pStyle w:val="Bulletlist1"/>
        <w:ind w:left="1418" w:hanging="357"/>
      </w:pPr>
      <w:r>
        <w:t>the records available regarding completion of works.</w:t>
      </w:r>
    </w:p>
    <w:p w14:paraId="1CF57E00" w14:textId="1D601049" w:rsidR="00C4526B" w:rsidRDefault="00C4526B" w:rsidP="00C4526B">
      <w:pPr>
        <w:pStyle w:val="F9-Paragraph"/>
        <w:ind w:left="851" w:hanging="851"/>
      </w:pPr>
      <w:r>
        <w:t>Note that every conventional hazard does not necessarily need to have been addressed at the point a facility is delicenced, in agreement with the relevant environmental regulatory body and H</w:t>
      </w:r>
      <w:r w:rsidR="008A67B5">
        <w:t xml:space="preserve">ealth &amp; </w:t>
      </w:r>
      <w:r>
        <w:t>S</w:t>
      </w:r>
      <w:r w:rsidR="008A67B5">
        <w:t xml:space="preserve">afety </w:t>
      </w:r>
      <w:r>
        <w:t>E</w:t>
      </w:r>
      <w:r w:rsidR="008A67B5">
        <w:t>xecutive (HSE)</w:t>
      </w:r>
      <w:r>
        <w:t xml:space="preserve">. Residual hazards that exist post delicencing should be clearly recorded and provided to future users of the site. The </w:t>
      </w:r>
      <w:r w:rsidR="008D0B31">
        <w:t>i</w:t>
      </w:r>
      <w:r>
        <w:t>nspector may wish to consider the adequacy of the records regarding the location of such residual hazards.</w:t>
      </w:r>
    </w:p>
    <w:p w14:paraId="0ECBBCF6" w14:textId="77777777" w:rsidR="00761DD3" w:rsidRDefault="00C4526B" w:rsidP="00C4526B">
      <w:pPr>
        <w:pStyle w:val="F9-Paragraph"/>
        <w:ind w:left="851" w:hanging="851"/>
      </w:pPr>
      <w:r>
        <w:t>Records of all structures and materials</w:t>
      </w:r>
      <w:r w:rsidRPr="00107A87">
        <w:t xml:space="preserve"> </w:t>
      </w:r>
      <w:r>
        <w:t>remaining on site, especially those not visible from the surface, must be collated and provided to the relevant enforcing authority and future users at the end of demolition and site clearance.</w:t>
      </w:r>
    </w:p>
    <w:p w14:paraId="6DECFB01" w14:textId="58826B78" w:rsidR="001F3380" w:rsidRPr="005D49B0" w:rsidRDefault="001F3380" w:rsidP="00864FFD">
      <w:pPr>
        <w:pStyle w:val="Bulletlist1"/>
        <w:ind w:left="1418" w:hanging="357"/>
      </w:pPr>
      <w:r>
        <w:br w:type="page"/>
      </w:r>
    </w:p>
    <w:p w14:paraId="1DD2B55A" w14:textId="7D5A2E87" w:rsidR="009A60E5" w:rsidRDefault="004254E0" w:rsidP="009A60E5">
      <w:pPr>
        <w:pStyle w:val="Heading1"/>
      </w:pPr>
      <w:bookmarkStart w:id="19" w:name="_Toc223701981"/>
      <w:bookmarkStart w:id="20" w:name="_Toc234839745"/>
      <w:bookmarkEnd w:id="14"/>
      <w:bookmarkEnd w:id="15"/>
      <w:r>
        <w:lastRenderedPageBreak/>
        <w:t xml:space="preserve">Relevant </w:t>
      </w:r>
      <w:r w:rsidR="00864C9B">
        <w:t>s</w:t>
      </w:r>
      <w:r>
        <w:t>tandards</w:t>
      </w:r>
      <w:r w:rsidR="00BA20EB">
        <w:t xml:space="preserve">, </w:t>
      </w:r>
      <w:r w:rsidR="00864C9B">
        <w:t>l</w:t>
      </w:r>
      <w:r w:rsidR="00BA20EB">
        <w:t>egislation</w:t>
      </w:r>
      <w:r>
        <w:t xml:space="preserve"> and </w:t>
      </w:r>
      <w:r w:rsidR="00864C9B">
        <w:t>g</w:t>
      </w:r>
      <w:r>
        <w:t xml:space="preserve">ood </w:t>
      </w:r>
      <w:r w:rsidR="00864C9B">
        <w:t>p</w:t>
      </w:r>
      <w:r>
        <w:t>ractice</w:t>
      </w:r>
      <w:bookmarkEnd w:id="19"/>
      <w:bookmarkEnd w:id="20"/>
    </w:p>
    <w:p w14:paraId="78230545" w14:textId="77777777" w:rsidR="00B56BC0" w:rsidRPr="00E46814" w:rsidRDefault="00B56BC0" w:rsidP="00B56BC0">
      <w:pPr>
        <w:pStyle w:val="F9-Paragraph"/>
        <w:ind w:left="851" w:hanging="851"/>
      </w:pPr>
      <w:r w:rsidRPr="00E46814">
        <w:t>Inspectors are advised to check whether these guides are the most up to date given the review period of the TAG.</w:t>
      </w:r>
    </w:p>
    <w:p w14:paraId="728E18D5" w14:textId="0A6CA008" w:rsidR="00B56BC0" w:rsidRPr="00E46814" w:rsidRDefault="00B56BC0" w:rsidP="00B56BC0">
      <w:pPr>
        <w:pStyle w:val="F9-Paragraph"/>
        <w:ind w:left="851" w:hanging="851"/>
      </w:pPr>
      <w:r w:rsidRPr="00E46814">
        <w:t xml:space="preserve">Note the lists provided are not full and comprehensive lists. The </w:t>
      </w:r>
      <w:r w:rsidR="00620FD5">
        <w:t>i</w:t>
      </w:r>
      <w:r w:rsidR="00620FD5" w:rsidRPr="00E46814">
        <w:t xml:space="preserve">nspector </w:t>
      </w:r>
      <w:r w:rsidRPr="00E46814">
        <w:t>should only use the guidance that is relevant to the scenario being assessed and seek other appropriate guidance to suit the circumstances.</w:t>
      </w:r>
    </w:p>
    <w:p w14:paraId="72FAC868" w14:textId="38133F99" w:rsidR="007E7027" w:rsidRPr="00E46814" w:rsidRDefault="009C0101" w:rsidP="006251D5">
      <w:pPr>
        <w:pStyle w:val="Heading2"/>
        <w:ind w:left="851" w:hanging="851"/>
      </w:pPr>
      <w:bookmarkStart w:id="21" w:name="_Ref234839184"/>
      <w:r w:rsidRPr="00E46814">
        <w:t xml:space="preserve">UK </w:t>
      </w:r>
      <w:r w:rsidR="00864C9B">
        <w:t>r</w:t>
      </w:r>
      <w:r w:rsidRPr="00E46814">
        <w:t>egulations</w:t>
      </w:r>
      <w:bookmarkEnd w:id="21"/>
    </w:p>
    <w:p w14:paraId="1B729EE4" w14:textId="5295D001" w:rsidR="00186E23" w:rsidRPr="00E46814" w:rsidRDefault="00186E23" w:rsidP="004C6117">
      <w:pPr>
        <w:pStyle w:val="F9-Paragraph"/>
        <w:ind w:left="851" w:hanging="851"/>
      </w:pPr>
      <w:bookmarkStart w:id="22" w:name="_Toc473642919"/>
      <w:bookmarkStart w:id="23" w:name="_Ref485108197"/>
      <w:bookmarkStart w:id="24" w:name="_Ref485112275"/>
      <w:bookmarkStart w:id="25" w:name="_Toc519072432"/>
      <w:bookmarkStart w:id="26" w:name="_Toc521510829"/>
      <w:bookmarkStart w:id="27" w:name="_Toc141358369"/>
      <w:r w:rsidRPr="00E46814">
        <w:t>Those</w:t>
      </w:r>
      <w:r w:rsidR="00E46814">
        <w:t xml:space="preserve"> </w:t>
      </w:r>
      <w:r w:rsidR="00A17985">
        <w:t xml:space="preserve">key </w:t>
      </w:r>
      <w:r w:rsidR="00E46814">
        <w:t>regulations</w:t>
      </w:r>
      <w:r w:rsidR="004C6117">
        <w:t xml:space="preserve"> </w:t>
      </w:r>
      <w:r w:rsidRPr="00E46814">
        <w:t xml:space="preserve">relating to decommissioning and demolition </w:t>
      </w:r>
      <w:r w:rsidRPr="004C6117">
        <w:t>include, but are not limited to:</w:t>
      </w:r>
    </w:p>
    <w:p w14:paraId="17465E3B" w14:textId="14362AEE" w:rsidR="00186E23" w:rsidRPr="00E46814" w:rsidRDefault="00864C9B" w:rsidP="00065263">
      <w:pPr>
        <w:pStyle w:val="Bulletlist1"/>
        <w:ind w:left="1418" w:hanging="357"/>
      </w:pPr>
      <w:r>
        <w:t xml:space="preserve">The </w:t>
      </w:r>
      <w:r w:rsidR="00186E23" w:rsidRPr="00E46814">
        <w:t>Construction (Design and Management) Regulations 2015,</w:t>
      </w:r>
    </w:p>
    <w:p w14:paraId="0199C944" w14:textId="77777777" w:rsidR="00186E23" w:rsidRPr="00E46814" w:rsidRDefault="00186E23" w:rsidP="00065263">
      <w:pPr>
        <w:pStyle w:val="Bulletlist1"/>
        <w:ind w:left="1418" w:hanging="357"/>
      </w:pPr>
      <w:r w:rsidRPr="00E46814">
        <w:t>Section 34 of the Environmental Protection Act 1990,</w:t>
      </w:r>
    </w:p>
    <w:p w14:paraId="03CAE24A" w14:textId="77777777" w:rsidR="00186E23" w:rsidRPr="00E46814" w:rsidRDefault="00186E23" w:rsidP="00065263">
      <w:pPr>
        <w:pStyle w:val="Bulletlist1"/>
        <w:ind w:left="1418" w:hanging="357"/>
      </w:pPr>
      <w:r w:rsidRPr="00E46814">
        <w:t>UK Building Act 1984 and Building Regulations 2010,</w:t>
      </w:r>
    </w:p>
    <w:p w14:paraId="1957E749" w14:textId="372299A5" w:rsidR="00186E23" w:rsidRPr="00E46814" w:rsidRDefault="00864C9B" w:rsidP="00065263">
      <w:pPr>
        <w:pStyle w:val="Bulletlist1"/>
        <w:ind w:left="1418" w:hanging="357"/>
      </w:pPr>
      <w:r>
        <w:t xml:space="preserve">The </w:t>
      </w:r>
      <w:r w:rsidR="00186E23" w:rsidRPr="00E46814">
        <w:t>Lifting Operations and Lifting Equipment Regulations 1998,</w:t>
      </w:r>
    </w:p>
    <w:p w14:paraId="5C50958C" w14:textId="12536FDD" w:rsidR="00186E23" w:rsidRPr="00E46814" w:rsidRDefault="00864C9B" w:rsidP="00065263">
      <w:pPr>
        <w:pStyle w:val="Bulletlist1"/>
        <w:ind w:left="1418" w:hanging="357"/>
      </w:pPr>
      <w:r>
        <w:t xml:space="preserve">The </w:t>
      </w:r>
      <w:r w:rsidR="00186E23" w:rsidRPr="00E46814">
        <w:t>Provision and Use of Work Equipment Regulations 1998,</w:t>
      </w:r>
    </w:p>
    <w:p w14:paraId="1A85F502" w14:textId="77777777" w:rsidR="00186E23" w:rsidRPr="00E46814" w:rsidRDefault="00186E23" w:rsidP="00065263">
      <w:pPr>
        <w:pStyle w:val="Bulletlist1"/>
        <w:ind w:left="1418" w:hanging="357"/>
      </w:pPr>
      <w:r w:rsidRPr="00E46814">
        <w:t>The Electricity at Work Regulations 1989,</w:t>
      </w:r>
    </w:p>
    <w:p w14:paraId="20150EEB" w14:textId="0C6D173B" w:rsidR="00186E23" w:rsidRPr="00E46814" w:rsidRDefault="00864C9B" w:rsidP="00065263">
      <w:pPr>
        <w:pStyle w:val="Bulletlist1"/>
        <w:ind w:left="1418" w:hanging="357"/>
      </w:pPr>
      <w:r>
        <w:t xml:space="preserve">The </w:t>
      </w:r>
      <w:r w:rsidR="00186E23" w:rsidRPr="00E46814">
        <w:t>Control of Substances Hazardous to Health Regulations (as amended),</w:t>
      </w:r>
    </w:p>
    <w:p w14:paraId="62EA01E5" w14:textId="3F382AF4" w:rsidR="00186E23" w:rsidRPr="00E46814" w:rsidRDefault="00864C9B" w:rsidP="00065263">
      <w:pPr>
        <w:pStyle w:val="Bulletlist1"/>
        <w:ind w:left="1418" w:hanging="357"/>
      </w:pPr>
      <w:r>
        <w:t xml:space="preserve">The </w:t>
      </w:r>
      <w:r w:rsidR="00186E23" w:rsidRPr="00E46814">
        <w:t>Working at Height Regulations 2005,</w:t>
      </w:r>
    </w:p>
    <w:p w14:paraId="465794B1" w14:textId="5B591A83" w:rsidR="00186E23" w:rsidRPr="00E46814" w:rsidRDefault="00864C9B" w:rsidP="00065263">
      <w:pPr>
        <w:pStyle w:val="Bulletlist1"/>
        <w:ind w:left="1418" w:hanging="357"/>
      </w:pPr>
      <w:r>
        <w:t xml:space="preserve">The </w:t>
      </w:r>
      <w:r w:rsidR="00186E23" w:rsidRPr="00E46814">
        <w:t>Dangerous Substances and Explosive Atmospheres Regulations 2002,</w:t>
      </w:r>
    </w:p>
    <w:p w14:paraId="28F036B9" w14:textId="77777777" w:rsidR="00186E23" w:rsidRPr="00E46814" w:rsidRDefault="00186E23" w:rsidP="00065263">
      <w:pPr>
        <w:pStyle w:val="Bulletlist1"/>
        <w:ind w:left="1418" w:hanging="357"/>
      </w:pPr>
      <w:r w:rsidRPr="00E46814">
        <w:t>The Confined Spaces Regulations 1997,</w:t>
      </w:r>
    </w:p>
    <w:p w14:paraId="22702AAE" w14:textId="492AB87F" w:rsidR="00186E23" w:rsidRPr="00E46814" w:rsidRDefault="00186E23" w:rsidP="00065263">
      <w:pPr>
        <w:pStyle w:val="Bulletlist1"/>
        <w:ind w:left="1418" w:hanging="357"/>
      </w:pPr>
      <w:r w:rsidRPr="00E46814">
        <w:t>The Waste (England and Wales) Regulations 2011 (as amended)</w:t>
      </w:r>
      <w:r w:rsidR="00864C9B">
        <w:t xml:space="preserve">; </w:t>
      </w:r>
      <w:r w:rsidR="00864C9B">
        <w:br/>
        <w:t>T</w:t>
      </w:r>
      <w:r w:rsidRPr="00E46814">
        <w:t>he Hazardous Waste Regulations 2005</w:t>
      </w:r>
      <w:r w:rsidR="00864C9B">
        <w:t>;</w:t>
      </w:r>
      <w:r w:rsidRPr="00E46814">
        <w:t xml:space="preserve"> </w:t>
      </w:r>
      <w:r w:rsidR="00864C9B">
        <w:t>T</w:t>
      </w:r>
      <w:r w:rsidRPr="00E46814">
        <w:t>he Controlled Waste Regulations 2012</w:t>
      </w:r>
      <w:r w:rsidR="00864C9B">
        <w:t>;</w:t>
      </w:r>
      <w:r w:rsidRPr="00E46814">
        <w:t xml:space="preserve"> and </w:t>
      </w:r>
      <w:r w:rsidR="00864C9B">
        <w:t>T</w:t>
      </w:r>
      <w:r w:rsidRPr="00E46814">
        <w:t>he Special Waste Regulations 1996 (for Scotland, SEPA),</w:t>
      </w:r>
    </w:p>
    <w:p w14:paraId="44221606" w14:textId="65A36A1D" w:rsidR="00186E23" w:rsidRPr="00E46814" w:rsidRDefault="00864C9B" w:rsidP="00065263">
      <w:pPr>
        <w:pStyle w:val="Bulletlist1"/>
        <w:ind w:left="1418" w:hanging="357"/>
      </w:pPr>
      <w:r>
        <w:t xml:space="preserve">The </w:t>
      </w:r>
      <w:r w:rsidR="00186E23" w:rsidRPr="00E46814">
        <w:t>Control of Asbestos Regulations 2012</w:t>
      </w:r>
      <w:r>
        <w:t xml:space="preserve"> </w:t>
      </w:r>
      <w:r w:rsidR="00186E23" w:rsidRPr="00E46814">
        <w:t xml:space="preserve">and </w:t>
      </w:r>
      <w:r>
        <w:t>T</w:t>
      </w:r>
      <w:r w:rsidR="00186E23" w:rsidRPr="00E46814">
        <w:t xml:space="preserve">he Health and Safety at Work (Asbestos) </w:t>
      </w:r>
      <w:r>
        <w:t>R</w:t>
      </w:r>
      <w:r w:rsidR="00186E23" w:rsidRPr="00E46814">
        <w:t>egulations 2016,</w:t>
      </w:r>
    </w:p>
    <w:p w14:paraId="6AB3C296" w14:textId="0BA5EA30" w:rsidR="00186E23" w:rsidRPr="00E46814" w:rsidRDefault="00864C9B" w:rsidP="00065263">
      <w:pPr>
        <w:pStyle w:val="Bulletlist1"/>
        <w:ind w:left="1418" w:hanging="357"/>
      </w:pPr>
      <w:r>
        <w:t xml:space="preserve">The </w:t>
      </w:r>
      <w:r w:rsidR="00186E23" w:rsidRPr="00E46814">
        <w:t>Explosives Regulations 2014.</w:t>
      </w:r>
    </w:p>
    <w:p w14:paraId="7D5B28CA" w14:textId="33F0B6D9" w:rsidR="001F3380" w:rsidRPr="00864C9B" w:rsidRDefault="0054313B" w:rsidP="007C46DE">
      <w:pPr>
        <w:pStyle w:val="F9-Paragraph"/>
        <w:ind w:left="851" w:hanging="851"/>
        <w:rPr>
          <w:rFonts w:eastAsiaTheme="minorHAnsi"/>
        </w:rPr>
      </w:pPr>
      <w:r>
        <w:t>The inspector is advised to read the relevant HSE guidance associated with the above</w:t>
      </w:r>
      <w:r w:rsidR="00E23F73">
        <w:t>.</w:t>
      </w:r>
      <w:r w:rsidR="001F3380">
        <w:br w:type="page"/>
      </w:r>
    </w:p>
    <w:bookmarkStart w:id="28" w:name="_Toc223702473"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Start w:id="29" w:name="_Toc234839746" w:displacedByCustomXml="next"/>
    <w:sdt>
      <w:sdtPr>
        <w:rPr>
          <w:color w:val="auto"/>
          <w:sz w:val="24"/>
          <w:szCs w:val="24"/>
        </w:rPr>
        <w:id w:val="-1038122172"/>
        <w:docPartObj>
          <w:docPartGallery w:val="Bibliographies"/>
          <w:docPartUnique/>
        </w:docPartObj>
      </w:sdtPr>
      <w:sdtEndPr/>
      <w:sdtContent>
        <w:p w14:paraId="66D02519" w14:textId="5E00D59F" w:rsidR="009B05E6" w:rsidRDefault="009B05E6" w:rsidP="0029687A">
          <w:pPr>
            <w:pStyle w:val="Heading1"/>
            <w:numPr>
              <w:ilvl w:val="0"/>
              <w:numId w:val="0"/>
            </w:numPr>
          </w:pPr>
          <w:r>
            <w:t>References</w:t>
          </w:r>
          <w:bookmarkEnd w:id="29"/>
        </w:p>
        <w:sdt>
          <w:sdtPr>
            <w:id w:val="-573587230"/>
            <w:bibliography/>
          </w:sdtPr>
          <w:sdtEndPr/>
          <w:sdtContent>
            <w:p w14:paraId="0A55FE67" w14:textId="77777777" w:rsidR="00864C9B" w:rsidRDefault="009B05E6">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864C9B" w14:paraId="525B1909" w14:textId="77777777">
                <w:trPr>
                  <w:divId w:val="1598440378"/>
                  <w:tblCellSpacing w:w="15" w:type="dxa"/>
                </w:trPr>
                <w:tc>
                  <w:tcPr>
                    <w:tcW w:w="50" w:type="pct"/>
                    <w:hideMark/>
                  </w:tcPr>
                  <w:p w14:paraId="5EF6B537" w14:textId="1D48BBB6" w:rsidR="00864C9B" w:rsidRDefault="00864C9B">
                    <w:pPr>
                      <w:pStyle w:val="Bibliography"/>
                      <w:rPr>
                        <w:noProof/>
                        <w:szCs w:val="24"/>
                      </w:rPr>
                    </w:pPr>
                    <w:r>
                      <w:rPr>
                        <w:noProof/>
                      </w:rPr>
                      <w:t xml:space="preserve">[1] </w:t>
                    </w:r>
                  </w:p>
                </w:tc>
                <w:tc>
                  <w:tcPr>
                    <w:tcW w:w="0" w:type="auto"/>
                    <w:hideMark/>
                  </w:tcPr>
                  <w:p w14:paraId="3992DDFE" w14:textId="77777777" w:rsidR="00864C9B" w:rsidRDefault="00864C9B">
                    <w:pPr>
                      <w:pStyle w:val="Bibliography"/>
                      <w:rPr>
                        <w:noProof/>
                      </w:rPr>
                    </w:pPr>
                    <w:r>
                      <w:rPr>
                        <w:noProof/>
                      </w:rPr>
                      <w:t>ONR, “NS-TAST-GD-017 - Civil Engineering,” [Online]. Available: ONR website.</w:t>
                    </w:r>
                  </w:p>
                </w:tc>
              </w:tr>
              <w:tr w:rsidR="00864C9B" w14:paraId="330DDC9B" w14:textId="77777777">
                <w:trPr>
                  <w:divId w:val="1598440378"/>
                  <w:tblCellSpacing w:w="15" w:type="dxa"/>
                </w:trPr>
                <w:tc>
                  <w:tcPr>
                    <w:tcW w:w="50" w:type="pct"/>
                    <w:hideMark/>
                  </w:tcPr>
                  <w:p w14:paraId="0BDC5E37" w14:textId="77777777" w:rsidR="00864C9B" w:rsidRDefault="00864C9B">
                    <w:pPr>
                      <w:pStyle w:val="Bibliography"/>
                      <w:rPr>
                        <w:noProof/>
                      </w:rPr>
                    </w:pPr>
                    <w:r>
                      <w:rPr>
                        <w:noProof/>
                      </w:rPr>
                      <w:t xml:space="preserve">[2] </w:t>
                    </w:r>
                  </w:p>
                </w:tc>
                <w:tc>
                  <w:tcPr>
                    <w:tcW w:w="0" w:type="auto"/>
                    <w:hideMark/>
                  </w:tcPr>
                  <w:p w14:paraId="201725B2" w14:textId="77777777" w:rsidR="00864C9B" w:rsidRDefault="00864C9B">
                    <w:pPr>
                      <w:pStyle w:val="Bibliography"/>
                      <w:rPr>
                        <w:noProof/>
                      </w:rPr>
                    </w:pPr>
                    <w:r>
                      <w:rPr>
                        <w:noProof/>
                      </w:rPr>
                      <w:t xml:space="preserve">ONR, Safety Assessment Principles for Nuclear Facilities’, 2014 Edition, Rev 1, January 2020, www.onr.org.uk/saps/saps2014.pdf. </w:t>
                    </w:r>
                  </w:p>
                </w:tc>
              </w:tr>
              <w:tr w:rsidR="00864C9B" w14:paraId="2A1E6054" w14:textId="77777777">
                <w:trPr>
                  <w:divId w:val="1598440378"/>
                  <w:tblCellSpacing w:w="15" w:type="dxa"/>
                </w:trPr>
                <w:tc>
                  <w:tcPr>
                    <w:tcW w:w="50" w:type="pct"/>
                    <w:hideMark/>
                  </w:tcPr>
                  <w:p w14:paraId="35D4EFF7" w14:textId="77777777" w:rsidR="00864C9B" w:rsidRDefault="00864C9B">
                    <w:pPr>
                      <w:pStyle w:val="Bibliography"/>
                      <w:rPr>
                        <w:noProof/>
                      </w:rPr>
                    </w:pPr>
                    <w:r>
                      <w:rPr>
                        <w:noProof/>
                      </w:rPr>
                      <w:t xml:space="preserve">[3] </w:t>
                    </w:r>
                  </w:p>
                </w:tc>
                <w:tc>
                  <w:tcPr>
                    <w:tcW w:w="0" w:type="auto"/>
                    <w:hideMark/>
                  </w:tcPr>
                  <w:p w14:paraId="45069F69" w14:textId="77777777" w:rsidR="00864C9B" w:rsidRDefault="00864C9B">
                    <w:pPr>
                      <w:pStyle w:val="Bibliography"/>
                      <w:rPr>
                        <w:noProof/>
                      </w:rPr>
                    </w:pPr>
                    <w:r>
                      <w:rPr>
                        <w:noProof/>
                      </w:rPr>
                      <w:t xml:space="preserve">ONR, NS-TAST-GD-026 - Decommissioning. </w:t>
                    </w:r>
                  </w:p>
                </w:tc>
              </w:tr>
              <w:tr w:rsidR="00864C9B" w14:paraId="49348C65" w14:textId="77777777">
                <w:trPr>
                  <w:divId w:val="1598440378"/>
                  <w:tblCellSpacing w:w="15" w:type="dxa"/>
                </w:trPr>
                <w:tc>
                  <w:tcPr>
                    <w:tcW w:w="50" w:type="pct"/>
                    <w:hideMark/>
                  </w:tcPr>
                  <w:p w14:paraId="6A62408B" w14:textId="77777777" w:rsidR="00864C9B" w:rsidRDefault="00864C9B">
                    <w:pPr>
                      <w:pStyle w:val="Bibliography"/>
                      <w:rPr>
                        <w:noProof/>
                      </w:rPr>
                    </w:pPr>
                    <w:r>
                      <w:rPr>
                        <w:noProof/>
                      </w:rPr>
                      <w:t xml:space="preserve">[4] </w:t>
                    </w:r>
                  </w:p>
                </w:tc>
                <w:tc>
                  <w:tcPr>
                    <w:tcW w:w="0" w:type="auto"/>
                    <w:hideMark/>
                  </w:tcPr>
                  <w:p w14:paraId="56530004" w14:textId="77777777" w:rsidR="00864C9B" w:rsidRDefault="00864C9B">
                    <w:pPr>
                      <w:pStyle w:val="Bibliography"/>
                      <w:rPr>
                        <w:noProof/>
                      </w:rPr>
                    </w:pPr>
                    <w:r>
                      <w:rPr>
                        <w:noProof/>
                      </w:rPr>
                      <w:t xml:space="preserve">IAEA, SSG-47 ‘Decommissioning of Nuclear Power Plants, Research Reactors and other Nuclear Fuel Cycle Facilities’, 2018. </w:t>
                    </w:r>
                  </w:p>
                </w:tc>
              </w:tr>
              <w:tr w:rsidR="00864C9B" w14:paraId="19F407FF" w14:textId="77777777">
                <w:trPr>
                  <w:divId w:val="1598440378"/>
                  <w:tblCellSpacing w:w="15" w:type="dxa"/>
                </w:trPr>
                <w:tc>
                  <w:tcPr>
                    <w:tcW w:w="50" w:type="pct"/>
                    <w:hideMark/>
                  </w:tcPr>
                  <w:p w14:paraId="7FFACA97" w14:textId="77777777" w:rsidR="00864C9B" w:rsidRDefault="00864C9B">
                    <w:pPr>
                      <w:pStyle w:val="Bibliography"/>
                      <w:rPr>
                        <w:noProof/>
                      </w:rPr>
                    </w:pPr>
                    <w:r>
                      <w:rPr>
                        <w:noProof/>
                      </w:rPr>
                      <w:t xml:space="preserve">[5] </w:t>
                    </w:r>
                  </w:p>
                </w:tc>
                <w:tc>
                  <w:tcPr>
                    <w:tcW w:w="0" w:type="auto"/>
                    <w:hideMark/>
                  </w:tcPr>
                  <w:p w14:paraId="533B0322" w14:textId="77777777" w:rsidR="00864C9B" w:rsidRDefault="00864C9B">
                    <w:pPr>
                      <w:pStyle w:val="Bibliography"/>
                      <w:rPr>
                        <w:noProof/>
                      </w:rPr>
                    </w:pPr>
                    <w:r>
                      <w:rPr>
                        <w:noProof/>
                      </w:rPr>
                      <w:t xml:space="preserve">IAEA, General Safety Requirements No. GSR Part 6 ‘Decommissioning of Facilities', 2014. </w:t>
                    </w:r>
                  </w:p>
                </w:tc>
              </w:tr>
              <w:tr w:rsidR="00864C9B" w14:paraId="29BDAE51" w14:textId="77777777">
                <w:trPr>
                  <w:divId w:val="1598440378"/>
                  <w:tblCellSpacing w:w="15" w:type="dxa"/>
                </w:trPr>
                <w:tc>
                  <w:tcPr>
                    <w:tcW w:w="50" w:type="pct"/>
                    <w:hideMark/>
                  </w:tcPr>
                  <w:p w14:paraId="41E3708B" w14:textId="77777777" w:rsidR="00864C9B" w:rsidRDefault="00864C9B">
                    <w:pPr>
                      <w:pStyle w:val="Bibliography"/>
                      <w:rPr>
                        <w:noProof/>
                      </w:rPr>
                    </w:pPr>
                    <w:r>
                      <w:rPr>
                        <w:noProof/>
                      </w:rPr>
                      <w:t xml:space="preserve">[6] </w:t>
                    </w:r>
                  </w:p>
                </w:tc>
                <w:tc>
                  <w:tcPr>
                    <w:tcW w:w="0" w:type="auto"/>
                    <w:hideMark/>
                  </w:tcPr>
                  <w:p w14:paraId="4D615318" w14:textId="77777777" w:rsidR="00864C9B" w:rsidRDefault="00864C9B">
                    <w:pPr>
                      <w:pStyle w:val="Bibliography"/>
                      <w:rPr>
                        <w:noProof/>
                      </w:rPr>
                    </w:pPr>
                    <w:r>
                      <w:rPr>
                        <w:noProof/>
                      </w:rPr>
                      <w:t xml:space="preserve">WENRA, Decommissioning Safety Reference Levels. </w:t>
                    </w:r>
                  </w:p>
                </w:tc>
              </w:tr>
            </w:tbl>
            <w:p w14:paraId="6CD510CC" w14:textId="77777777" w:rsidR="00864C9B" w:rsidRDefault="00864C9B">
              <w:pPr>
                <w:divId w:val="1598440378"/>
                <w:rPr>
                  <w:rFonts w:eastAsia="Times New Roman"/>
                  <w:noProof/>
                </w:rPr>
              </w:pPr>
            </w:p>
            <w:p w14:paraId="5A2C28CA" w14:textId="2D98E7C9" w:rsidR="009B05E6" w:rsidRDefault="009B05E6">
              <w:r>
                <w:rPr>
                  <w:b/>
                  <w:bCs/>
                </w:rPr>
                <w:fldChar w:fldCharType="end"/>
              </w:r>
            </w:p>
          </w:sdtContent>
        </w:sdt>
      </w:sdtContent>
    </w:sdt>
    <w:p w14:paraId="5D307F5E" w14:textId="68A24BC2" w:rsidR="00E60777" w:rsidRDefault="00E60777">
      <w:pPr>
        <w:spacing w:after="0" w:line="240" w:lineRule="auto"/>
      </w:pPr>
    </w:p>
    <w:p w14:paraId="17DED67D" w14:textId="1B4C43F5" w:rsidR="00E60777" w:rsidRPr="003B4701" w:rsidRDefault="00864C9B" w:rsidP="00864C9B">
      <w:pPr>
        <w:pStyle w:val="Heading1"/>
        <w:numPr>
          <w:ilvl w:val="0"/>
          <w:numId w:val="0"/>
        </w:numPr>
      </w:pPr>
      <w:bookmarkStart w:id="30" w:name="_Toc89268373"/>
      <w:bookmarkStart w:id="31" w:name="_Toc140566577"/>
      <w:bookmarkStart w:id="32" w:name="_Toc223701984"/>
      <w:bookmarkStart w:id="33" w:name="_Toc234839747"/>
      <w:r>
        <w:t>List of a</w:t>
      </w:r>
      <w:r w:rsidR="00E60777" w:rsidRPr="003B4701">
        <w:t>bbreviations</w:t>
      </w:r>
      <w:bookmarkEnd w:id="30"/>
      <w:bookmarkEnd w:id="31"/>
      <w:bookmarkEnd w:id="32"/>
      <w:r>
        <w:t>, acronyms and initialisms</w:t>
      </w:r>
      <w:bookmarkEnd w:id="33"/>
    </w:p>
    <w:p w14:paraId="732D87B8" w14:textId="6ACFB02A" w:rsidR="00EF641F" w:rsidRDefault="00EF641F" w:rsidP="00AD0C05">
      <w:pPr>
        <w:pStyle w:val="NoSpacing"/>
        <w:contextualSpacing/>
      </w:pPr>
      <w:r>
        <w:t>C&amp;M</w:t>
      </w:r>
      <w:r>
        <w:tab/>
      </w:r>
      <w:r>
        <w:tab/>
        <w:t>Care and maintenance</w:t>
      </w:r>
    </w:p>
    <w:p w14:paraId="68E95CA1" w14:textId="7B5B287F" w:rsidR="00AD0C05" w:rsidRPr="00AD0C05" w:rsidRDefault="00AD0C05" w:rsidP="00AD0C05">
      <w:pPr>
        <w:pStyle w:val="NoSpacing"/>
        <w:contextualSpacing/>
      </w:pPr>
      <w:r w:rsidRPr="00AD0C05">
        <w:t>EIMT</w:t>
      </w:r>
      <w:r w:rsidRPr="00AD0C05">
        <w:tab/>
      </w:r>
      <w:r w:rsidR="008C2990" w:rsidRPr="006474AE">
        <w:tab/>
      </w:r>
      <w:r w:rsidRPr="00AD0C05">
        <w:t>Examination, Inspection, Maintenance and Testing</w:t>
      </w:r>
    </w:p>
    <w:p w14:paraId="611F0351" w14:textId="1D7AFC18" w:rsidR="00EF641F" w:rsidRDefault="00EF641F" w:rsidP="00AD0C05">
      <w:pPr>
        <w:pStyle w:val="NoSpacing"/>
        <w:contextualSpacing/>
      </w:pPr>
      <w:r>
        <w:t>HSE</w:t>
      </w:r>
      <w:r>
        <w:tab/>
      </w:r>
      <w:r>
        <w:tab/>
        <w:t>Health and Safety Executive</w:t>
      </w:r>
    </w:p>
    <w:p w14:paraId="04604167" w14:textId="60DB88E1" w:rsidR="00AD0C05" w:rsidRPr="007C1C08" w:rsidRDefault="00AD0C05" w:rsidP="00AD0C05">
      <w:pPr>
        <w:pStyle w:val="NoSpacing"/>
        <w:contextualSpacing/>
      </w:pPr>
      <w:r w:rsidRPr="007C1C08">
        <w:t>IAEA</w:t>
      </w:r>
      <w:r w:rsidRPr="007C1C08">
        <w:tab/>
      </w:r>
      <w:r w:rsidR="008C2990" w:rsidRPr="007C1C08">
        <w:tab/>
      </w:r>
      <w:r w:rsidRPr="007C1C08">
        <w:t>International Atomic Energy Agency</w:t>
      </w:r>
    </w:p>
    <w:p w14:paraId="39878842" w14:textId="51A8CDDD" w:rsidR="00AD0C05" w:rsidRPr="007C1C08" w:rsidRDefault="00AD0C05" w:rsidP="00AD0C05">
      <w:pPr>
        <w:pStyle w:val="NoSpacing"/>
        <w:contextualSpacing/>
      </w:pPr>
      <w:r w:rsidRPr="007C1C08">
        <w:t>ONR</w:t>
      </w:r>
      <w:r w:rsidRPr="007C1C08">
        <w:tab/>
      </w:r>
      <w:r w:rsidR="008C2990" w:rsidRPr="007C1C08">
        <w:tab/>
      </w:r>
      <w:r w:rsidRPr="007C1C08">
        <w:t>Office for Nuclear Regulation</w:t>
      </w:r>
    </w:p>
    <w:p w14:paraId="06206B29" w14:textId="5B0138BC" w:rsidR="00AD0C05" w:rsidRPr="00ED3B42" w:rsidRDefault="00AD0C05" w:rsidP="00AD0C05">
      <w:pPr>
        <w:pStyle w:val="NoSpacing"/>
        <w:contextualSpacing/>
      </w:pPr>
      <w:r w:rsidRPr="00ED3B42">
        <w:t>P</w:t>
      </w:r>
      <w:r w:rsidR="00C7488B">
        <w:t xml:space="preserve">OCO </w:t>
      </w:r>
      <w:r w:rsidR="008C2990" w:rsidRPr="00ED3B42">
        <w:tab/>
      </w:r>
      <w:r w:rsidR="00C7488B">
        <w:t>Post Operational Clean Out</w:t>
      </w:r>
    </w:p>
    <w:p w14:paraId="514E1F7C" w14:textId="4852A761" w:rsidR="00AD0C05" w:rsidRPr="00AD0C05" w:rsidRDefault="00AD0C05" w:rsidP="00AD0C05">
      <w:pPr>
        <w:pStyle w:val="NoSpacing"/>
        <w:contextualSpacing/>
      </w:pPr>
      <w:r w:rsidRPr="00AD0C05">
        <w:t>SAP</w:t>
      </w:r>
      <w:r w:rsidRPr="00AD0C05">
        <w:tab/>
      </w:r>
      <w:r w:rsidR="008C2990" w:rsidRPr="00CD0AAC">
        <w:tab/>
      </w:r>
      <w:r w:rsidRPr="00AD0C05">
        <w:t>Safety Assessment Principle(s)</w:t>
      </w:r>
    </w:p>
    <w:p w14:paraId="18DB54EF" w14:textId="2BCE8FA5" w:rsidR="00AD0C05" w:rsidRPr="00AD0C05" w:rsidRDefault="00AD0C05" w:rsidP="00AD0C05">
      <w:pPr>
        <w:pStyle w:val="NoSpacing"/>
        <w:contextualSpacing/>
      </w:pPr>
      <w:r w:rsidRPr="00AD0C05">
        <w:t>SSC</w:t>
      </w:r>
      <w:r w:rsidRPr="00AD0C05">
        <w:tab/>
      </w:r>
      <w:r w:rsidR="008C2990" w:rsidRPr="00CD0AAC">
        <w:tab/>
      </w:r>
      <w:r w:rsidRPr="00AD0C05">
        <w:t>Structure, System and Component</w:t>
      </w:r>
    </w:p>
    <w:p w14:paraId="315615F0" w14:textId="4F132065" w:rsidR="00AD0C05" w:rsidRPr="00AD0C05" w:rsidRDefault="00AD0C05" w:rsidP="00AD0C05">
      <w:pPr>
        <w:pStyle w:val="NoSpacing"/>
        <w:contextualSpacing/>
      </w:pPr>
      <w:r w:rsidRPr="00AD0C05">
        <w:t>TAG</w:t>
      </w:r>
      <w:r w:rsidRPr="00AD0C05">
        <w:tab/>
      </w:r>
      <w:r w:rsidR="008C2990" w:rsidRPr="006474AE">
        <w:tab/>
      </w:r>
      <w:r w:rsidRPr="00AD0C05">
        <w:t>Technical Assessment Guide(s) (ONR)</w:t>
      </w:r>
    </w:p>
    <w:p w14:paraId="4F0F9202" w14:textId="77777777" w:rsidR="00AD0C05" w:rsidRDefault="00AD0C05" w:rsidP="00AD0C05">
      <w:pPr>
        <w:pStyle w:val="NoSpacing"/>
        <w:contextualSpacing/>
      </w:pPr>
      <w:r w:rsidRPr="00756A95">
        <w:t>WENRA</w:t>
      </w:r>
      <w:r w:rsidRPr="00756A95">
        <w:tab/>
        <w:t>Western European Nuclear Regulators’ Association</w:t>
      </w:r>
    </w:p>
    <w:p w14:paraId="6E7D4AB7" w14:textId="77777777" w:rsidR="0029687A" w:rsidRDefault="0029687A" w:rsidP="00AD0C05">
      <w:pPr>
        <w:pStyle w:val="NoSpacing"/>
        <w:contextualSpacing/>
      </w:pPr>
    </w:p>
    <w:p w14:paraId="1F65A2C7" w14:textId="77777777" w:rsidR="0029687A" w:rsidRDefault="0029687A" w:rsidP="0029687A">
      <w:pPr>
        <w:rPr>
          <w:sz w:val="28"/>
          <w:szCs w:val="28"/>
        </w:rPr>
      </w:pPr>
    </w:p>
    <w:p w14:paraId="19C08078" w14:textId="77777777" w:rsidR="0029687A" w:rsidRDefault="0029687A" w:rsidP="0029687A">
      <w:pPr>
        <w:pStyle w:val="Heading1"/>
        <w:numPr>
          <w:ilvl w:val="0"/>
          <w:numId w:val="0"/>
        </w:numPr>
        <w:ind w:left="851" w:hanging="851"/>
        <w:sectPr w:rsidR="0029687A" w:rsidSect="00864C9B">
          <w:pgSz w:w="11906" w:h="16838"/>
          <w:pgMar w:top="1440" w:right="1440" w:bottom="1440" w:left="1440" w:header="397" w:footer="397" w:gutter="0"/>
          <w:cols w:space="708"/>
          <w:docGrid w:linePitch="360"/>
        </w:sectPr>
      </w:pPr>
    </w:p>
    <w:p w14:paraId="66B2BF4C" w14:textId="77777777" w:rsidR="0029687A" w:rsidRDefault="0029687A" w:rsidP="0029687A">
      <w:pPr>
        <w:pStyle w:val="Heading1"/>
        <w:numPr>
          <w:ilvl w:val="0"/>
          <w:numId w:val="0"/>
        </w:numPr>
        <w:ind w:left="851" w:hanging="851"/>
      </w:pPr>
      <w:bookmarkStart w:id="34" w:name="_Toc234839748"/>
      <w:r>
        <w:lastRenderedPageBreak/>
        <w:t>Document control information</w:t>
      </w:r>
      <w:bookmarkEnd w:id="34"/>
    </w:p>
    <w:p w14:paraId="08FCBD4D" w14:textId="1031071E" w:rsidR="0029687A" w:rsidRPr="00F83E23" w:rsidRDefault="0029687A" w:rsidP="0029687A">
      <w:pPr>
        <w:rPr>
          <w:sz w:val="28"/>
          <w:szCs w:val="28"/>
          <w:highlight w:val="yellow"/>
        </w:rPr>
      </w:pPr>
      <w:r w:rsidRPr="0029687A">
        <w:rPr>
          <w:b/>
          <w:bCs/>
          <w:sz w:val="28"/>
          <w:szCs w:val="28"/>
        </w:rPr>
        <w:t>Authored by</w:t>
      </w:r>
      <w:r>
        <w:rPr>
          <w:sz w:val="28"/>
          <w:szCs w:val="28"/>
        </w:rPr>
        <w:t>:</w:t>
      </w:r>
      <w:r w:rsidRPr="00004C16">
        <w:rPr>
          <w:sz w:val="28"/>
          <w:szCs w:val="28"/>
        </w:rPr>
        <w:t xml:space="preserve"> </w:t>
      </w:r>
      <w:r>
        <w:rPr>
          <w:sz w:val="28"/>
          <w:szCs w:val="28"/>
        </w:rPr>
        <w:t>Principal Inspector</w:t>
      </w:r>
    </w:p>
    <w:p w14:paraId="62F6E53F" w14:textId="6B4EFF2D" w:rsidR="0029687A" w:rsidRDefault="0029687A" w:rsidP="0029687A">
      <w:pPr>
        <w:rPr>
          <w:sz w:val="28"/>
          <w:szCs w:val="28"/>
        </w:rPr>
      </w:pPr>
      <w:r w:rsidRPr="0029687A">
        <w:rPr>
          <w:b/>
          <w:bCs/>
          <w:sz w:val="28"/>
          <w:szCs w:val="28"/>
        </w:rPr>
        <w:t>Approved by</w:t>
      </w:r>
      <w:r>
        <w:rPr>
          <w:sz w:val="28"/>
          <w:szCs w:val="28"/>
        </w:rPr>
        <w:t>:</w:t>
      </w:r>
      <w:r>
        <w:rPr>
          <w:sz w:val="28"/>
          <w:szCs w:val="28"/>
        </w:rPr>
        <w:t xml:space="preserve"> </w:t>
      </w:r>
      <w:r w:rsidRPr="0029687A">
        <w:rPr>
          <w:sz w:val="28"/>
          <w:szCs w:val="28"/>
        </w:rPr>
        <w:t>Head of Profession</w:t>
      </w:r>
      <w:r w:rsidRPr="0029687A">
        <w:rPr>
          <w:sz w:val="28"/>
          <w:szCs w:val="28"/>
        </w:rPr>
        <w:t xml:space="preserve"> for Civil Engineering and External Hazards</w:t>
      </w:r>
    </w:p>
    <w:p w14:paraId="34C59D85" w14:textId="028C206F" w:rsidR="0029687A" w:rsidRDefault="0029687A" w:rsidP="0029687A">
      <w:pPr>
        <w:rPr>
          <w:sz w:val="28"/>
          <w:szCs w:val="28"/>
        </w:rPr>
      </w:pPr>
      <w:r w:rsidRPr="0029687A">
        <w:rPr>
          <w:b/>
          <w:bCs/>
          <w:sz w:val="28"/>
          <w:szCs w:val="28"/>
        </w:rPr>
        <w:t>Issue</w:t>
      </w:r>
      <w:r w:rsidRPr="00004C16">
        <w:rPr>
          <w:sz w:val="28"/>
          <w:szCs w:val="28"/>
        </w:rPr>
        <w:t xml:space="preserve">: </w:t>
      </w:r>
      <w:sdt>
        <w:sdtPr>
          <w:rPr>
            <w:sz w:val="28"/>
            <w:szCs w:val="28"/>
          </w:rPr>
          <w:alias w:val="Issue No."/>
          <w:tag w:val=""/>
          <w:id w:val="-894428327"/>
          <w:placeholder>
            <w:docPart w:val="B66E99BD5E66496AB31952EBA55B9CD2"/>
          </w:placeholder>
          <w:dataBinding w:prefixMappings="xmlns:ns0='http://purl.org/dc/elements/1.1/' xmlns:ns1='http://schemas.openxmlformats.org/package/2006/metadata/core-properties' " w:xpath="/ns1:coreProperties[1]/ns1:contentStatus[1]" w:storeItemID="{6C3C8BC8-F283-45AE-878A-BAB7291924A1}"/>
          <w:text/>
        </w:sdtPr>
        <w:sdtContent>
          <w:r>
            <w:rPr>
              <w:sz w:val="28"/>
              <w:szCs w:val="28"/>
            </w:rPr>
            <w:t>2</w:t>
          </w:r>
        </w:sdtContent>
      </w:sdt>
    </w:p>
    <w:p w14:paraId="1C38C5EB" w14:textId="56DA33D7" w:rsidR="0029687A" w:rsidRDefault="0029687A" w:rsidP="0029687A">
      <w:pPr>
        <w:rPr>
          <w:sz w:val="28"/>
          <w:szCs w:val="28"/>
        </w:rPr>
      </w:pPr>
      <w:r w:rsidRPr="0029687A">
        <w:rPr>
          <w:b/>
          <w:bCs/>
          <w:sz w:val="28"/>
          <w:szCs w:val="28"/>
        </w:rPr>
        <w:t>Published</w:t>
      </w:r>
      <w:r w:rsidRPr="00004C16">
        <w:rPr>
          <w:sz w:val="28"/>
          <w:szCs w:val="28"/>
        </w:rPr>
        <w:t xml:space="preserve">: </w:t>
      </w:r>
      <w:r w:rsidRPr="0029687A">
        <w:rPr>
          <w:sz w:val="28"/>
          <w:szCs w:val="28"/>
        </w:rPr>
        <w:t>July 2026</w:t>
      </w:r>
    </w:p>
    <w:p w14:paraId="490D909A" w14:textId="133E085B" w:rsidR="0029687A" w:rsidRDefault="0029687A" w:rsidP="0029687A">
      <w:pPr>
        <w:rPr>
          <w:sz w:val="28"/>
          <w:szCs w:val="28"/>
        </w:rPr>
      </w:pPr>
      <w:r w:rsidRPr="0029687A">
        <w:rPr>
          <w:b/>
          <w:bCs/>
          <w:sz w:val="28"/>
          <w:szCs w:val="28"/>
        </w:rPr>
        <w:t>Next</w:t>
      </w:r>
      <w:r>
        <w:rPr>
          <w:sz w:val="28"/>
          <w:szCs w:val="28"/>
        </w:rPr>
        <w:t xml:space="preserve"> </w:t>
      </w:r>
      <w:r w:rsidRPr="0029687A">
        <w:rPr>
          <w:b/>
          <w:bCs/>
          <w:sz w:val="28"/>
          <w:szCs w:val="28"/>
        </w:rPr>
        <w:t>scheduled review</w:t>
      </w:r>
      <w:r>
        <w:rPr>
          <w:sz w:val="28"/>
          <w:szCs w:val="28"/>
        </w:rPr>
        <w:t>: Nov</w:t>
      </w:r>
      <w:r>
        <w:rPr>
          <w:sz w:val="28"/>
          <w:szCs w:val="28"/>
        </w:rPr>
        <w:t>ember 20</w:t>
      </w:r>
      <w:r>
        <w:rPr>
          <w:sz w:val="28"/>
          <w:szCs w:val="28"/>
        </w:rPr>
        <w:t>30</w:t>
      </w:r>
    </w:p>
    <w:p w14:paraId="287141AF" w14:textId="39CA63EC" w:rsidR="0029687A" w:rsidRPr="00004C16" w:rsidRDefault="0029687A" w:rsidP="0029687A">
      <w:pPr>
        <w:rPr>
          <w:sz w:val="28"/>
          <w:szCs w:val="28"/>
        </w:rPr>
      </w:pPr>
      <w:r w:rsidRPr="0029687A">
        <w:rPr>
          <w:b/>
          <w:bCs/>
          <w:sz w:val="28"/>
          <w:szCs w:val="28"/>
        </w:rPr>
        <w:t>Doc</w:t>
      </w:r>
      <w:r w:rsidRPr="0029687A">
        <w:rPr>
          <w:b/>
          <w:bCs/>
          <w:sz w:val="28"/>
          <w:szCs w:val="28"/>
        </w:rPr>
        <w:t>ument reference</w:t>
      </w:r>
      <w:r>
        <w:rPr>
          <w:sz w:val="28"/>
          <w:szCs w:val="28"/>
        </w:rPr>
        <w:t xml:space="preserve">: NS-TAST-GD-017 </w:t>
      </w:r>
      <w:r>
        <w:rPr>
          <w:sz w:val="28"/>
          <w:szCs w:val="28"/>
        </w:rPr>
        <w:t xml:space="preserve">- </w:t>
      </w:r>
      <w:r>
        <w:rPr>
          <w:sz w:val="28"/>
          <w:szCs w:val="28"/>
        </w:rPr>
        <w:t xml:space="preserve">Annex </w:t>
      </w:r>
      <w:r>
        <w:rPr>
          <w:sz w:val="28"/>
          <w:szCs w:val="28"/>
        </w:rPr>
        <w:t>6</w:t>
      </w:r>
    </w:p>
    <w:p w14:paraId="49ECA4CD" w14:textId="77777777" w:rsidR="0029687A" w:rsidRDefault="0029687A" w:rsidP="0029687A">
      <w:pPr>
        <w:pStyle w:val="Caption"/>
        <w:keepNext/>
      </w:pPr>
    </w:p>
    <w:p w14:paraId="1CD3C312" w14:textId="246821FD" w:rsidR="0029687A" w:rsidRDefault="0029687A" w:rsidP="0029687A">
      <w:pPr>
        <w:pStyle w:val="Caption"/>
        <w:keepNext/>
      </w:pPr>
      <w:r>
        <w:t>Revision commentary</w:t>
      </w:r>
    </w:p>
    <w:tbl>
      <w:tblPr>
        <w:tblStyle w:val="ONRTable1"/>
        <w:tblW w:w="0" w:type="auto"/>
        <w:tblInd w:w="10" w:type="dxa"/>
        <w:tblLook w:val="04A0" w:firstRow="1" w:lastRow="0" w:firstColumn="1" w:lastColumn="0" w:noHBand="0" w:noVBand="1"/>
      </w:tblPr>
      <w:tblGrid>
        <w:gridCol w:w="983"/>
        <w:gridCol w:w="8033"/>
      </w:tblGrid>
      <w:tr w:rsidR="0029687A" w:rsidRPr="0029687A" w14:paraId="66B968E8" w14:textId="77777777" w:rsidTr="0029687A">
        <w:trPr>
          <w:cnfStyle w:val="100000000000" w:firstRow="1" w:lastRow="0" w:firstColumn="0" w:lastColumn="0" w:oddVBand="0" w:evenVBand="0" w:oddHBand="0" w:evenHBand="0" w:firstRowFirstColumn="0" w:firstRowLastColumn="0" w:lastRowFirstColumn="0" w:lastRowLastColumn="0"/>
        </w:trPr>
        <w:tc>
          <w:tcPr>
            <w:tcW w:w="983" w:type="dxa"/>
          </w:tcPr>
          <w:p w14:paraId="02EF5DFD" w14:textId="0BD11ED1" w:rsidR="0029687A" w:rsidRPr="0029687A" w:rsidRDefault="0029687A" w:rsidP="004B7A59">
            <w:pPr>
              <w:spacing w:before="60" w:after="60"/>
              <w:rPr>
                <w:b w:val="0"/>
                <w:bCs/>
                <w:szCs w:val="24"/>
              </w:rPr>
            </w:pPr>
            <w:r w:rsidRPr="0029687A">
              <w:rPr>
                <w:b w:val="0"/>
                <w:bCs/>
                <w:szCs w:val="24"/>
              </w:rPr>
              <w:t>Issue</w:t>
            </w:r>
          </w:p>
        </w:tc>
        <w:tc>
          <w:tcPr>
            <w:tcW w:w="8033" w:type="dxa"/>
          </w:tcPr>
          <w:p w14:paraId="33F55B39" w14:textId="2A34EE84" w:rsidR="0029687A" w:rsidRPr="0029687A" w:rsidRDefault="0029687A" w:rsidP="004B7A59">
            <w:pPr>
              <w:spacing w:before="60" w:after="60"/>
              <w:rPr>
                <w:b w:val="0"/>
                <w:bCs/>
                <w:szCs w:val="24"/>
              </w:rPr>
            </w:pPr>
            <w:r w:rsidRPr="0029687A">
              <w:rPr>
                <w:b w:val="0"/>
                <w:bCs/>
                <w:szCs w:val="24"/>
              </w:rPr>
              <w:t xml:space="preserve">Description of </w:t>
            </w:r>
            <w:r w:rsidRPr="0029687A">
              <w:rPr>
                <w:b w:val="0"/>
                <w:bCs/>
                <w:szCs w:val="24"/>
              </w:rPr>
              <w:t>u</w:t>
            </w:r>
            <w:r w:rsidRPr="0029687A">
              <w:rPr>
                <w:b w:val="0"/>
                <w:bCs/>
                <w:szCs w:val="24"/>
              </w:rPr>
              <w:t>pdate(s)</w:t>
            </w:r>
          </w:p>
        </w:tc>
      </w:tr>
      <w:tr w:rsidR="0029687A" w:rsidRPr="0029687A" w14:paraId="70925D1F" w14:textId="77777777" w:rsidTr="0029687A">
        <w:tc>
          <w:tcPr>
            <w:tcW w:w="983" w:type="dxa"/>
          </w:tcPr>
          <w:p w14:paraId="71FA7CE5" w14:textId="77777777" w:rsidR="0029687A" w:rsidRPr="0029687A" w:rsidRDefault="0029687A" w:rsidP="004B7A59">
            <w:pPr>
              <w:spacing w:before="60" w:after="60"/>
              <w:rPr>
                <w:szCs w:val="24"/>
              </w:rPr>
            </w:pPr>
            <w:r w:rsidRPr="0029687A">
              <w:rPr>
                <w:szCs w:val="24"/>
              </w:rPr>
              <w:t>1</w:t>
            </w:r>
          </w:p>
        </w:tc>
        <w:tc>
          <w:tcPr>
            <w:tcW w:w="8033" w:type="dxa"/>
          </w:tcPr>
          <w:p w14:paraId="31965D9F" w14:textId="77777777" w:rsidR="0029687A" w:rsidRPr="0029687A" w:rsidRDefault="0029687A" w:rsidP="004B7A59">
            <w:pPr>
              <w:spacing w:before="60" w:after="60"/>
              <w:rPr>
                <w:szCs w:val="24"/>
              </w:rPr>
            </w:pPr>
            <w:r w:rsidRPr="0029687A">
              <w:rPr>
                <w:szCs w:val="24"/>
              </w:rPr>
              <w:t>First publication.</w:t>
            </w:r>
          </w:p>
        </w:tc>
      </w:tr>
      <w:tr w:rsidR="0029687A" w:rsidRPr="0029687A" w14:paraId="0D4B176A" w14:textId="77777777" w:rsidTr="0029687A">
        <w:tc>
          <w:tcPr>
            <w:tcW w:w="983" w:type="dxa"/>
          </w:tcPr>
          <w:p w14:paraId="3A0B6F97" w14:textId="77777777" w:rsidR="0029687A" w:rsidRPr="0029687A" w:rsidRDefault="0029687A" w:rsidP="004B7A59">
            <w:pPr>
              <w:spacing w:before="60" w:after="60"/>
              <w:rPr>
                <w:szCs w:val="24"/>
              </w:rPr>
            </w:pPr>
            <w:r w:rsidRPr="0029687A">
              <w:rPr>
                <w:szCs w:val="24"/>
              </w:rPr>
              <w:t>1.1</w:t>
            </w:r>
          </w:p>
        </w:tc>
        <w:tc>
          <w:tcPr>
            <w:tcW w:w="8033" w:type="dxa"/>
          </w:tcPr>
          <w:p w14:paraId="63C4BB1C" w14:textId="77777777" w:rsidR="0029687A" w:rsidRPr="0029687A" w:rsidRDefault="0029687A" w:rsidP="004B7A59">
            <w:pPr>
              <w:spacing w:before="60" w:after="60"/>
              <w:rPr>
                <w:szCs w:val="24"/>
              </w:rPr>
            </w:pPr>
            <w:r w:rsidRPr="0029687A">
              <w:rPr>
                <w:rFonts w:cs="Arial"/>
                <w:szCs w:val="24"/>
              </w:rPr>
              <w:t>Minor update to extend review date to allow time for internal peer review to account for wider review of technical guidance.</w:t>
            </w:r>
          </w:p>
        </w:tc>
      </w:tr>
      <w:tr w:rsidR="0029687A" w:rsidRPr="0029687A" w14:paraId="16323783" w14:textId="77777777" w:rsidTr="0029687A">
        <w:tc>
          <w:tcPr>
            <w:tcW w:w="983" w:type="dxa"/>
          </w:tcPr>
          <w:p w14:paraId="14CDE2C0" w14:textId="77777777" w:rsidR="0029687A" w:rsidRPr="0029687A" w:rsidRDefault="0029687A" w:rsidP="004B7A59">
            <w:pPr>
              <w:spacing w:before="60" w:after="60"/>
              <w:rPr>
                <w:szCs w:val="24"/>
              </w:rPr>
            </w:pPr>
            <w:sdt>
              <w:sdtPr>
                <w:rPr>
                  <w:szCs w:val="24"/>
                </w:rPr>
                <w:alias w:val="Issue No."/>
                <w:tag w:val=""/>
                <w:id w:val="251869044"/>
                <w:placeholder>
                  <w:docPart w:val="7DFB72C6C71C4027892D8EC1D9F6591C"/>
                </w:placeholder>
                <w:dataBinding w:prefixMappings="xmlns:ns0='http://purl.org/dc/elements/1.1/' xmlns:ns1='http://schemas.openxmlformats.org/package/2006/metadata/core-properties' " w:xpath="/ns1:coreProperties[1]/ns1:contentStatus[1]" w:storeItemID="{6C3C8BC8-F283-45AE-878A-BAB7291924A1}"/>
                <w:text/>
              </w:sdtPr>
              <w:sdtContent>
                <w:r w:rsidRPr="0029687A">
                  <w:rPr>
                    <w:szCs w:val="24"/>
                  </w:rPr>
                  <w:t>2</w:t>
                </w:r>
              </w:sdtContent>
            </w:sdt>
          </w:p>
        </w:tc>
        <w:tc>
          <w:tcPr>
            <w:tcW w:w="8033" w:type="dxa"/>
          </w:tcPr>
          <w:p w14:paraId="39809DCB" w14:textId="77777777" w:rsidR="0029687A" w:rsidRPr="0029687A" w:rsidRDefault="0029687A" w:rsidP="004B7A59">
            <w:pPr>
              <w:spacing w:before="60" w:after="60"/>
              <w:rPr>
                <w:szCs w:val="24"/>
              </w:rPr>
            </w:pPr>
            <w:r w:rsidRPr="0029687A">
              <w:rPr>
                <w:szCs w:val="24"/>
              </w:rPr>
              <w:t xml:space="preserve">Major overhaul since Issue 1. Incorporating relevant elements of previous regulatory guidance on containment and building information management (BIM). Removal of information already captured in </w:t>
            </w:r>
            <w:r w:rsidRPr="0029687A">
              <w:rPr>
                <w:noProof/>
                <w:szCs w:val="24"/>
              </w:rPr>
              <w:t>ONR-NS-TAST-GD-026 ‘Decommissioning’.</w:t>
            </w:r>
          </w:p>
        </w:tc>
      </w:tr>
    </w:tbl>
    <w:p w14:paraId="1F884A00" w14:textId="77777777" w:rsidR="0029687A" w:rsidRDefault="0029687A" w:rsidP="00864C9B"/>
    <w:sectPr w:rsidR="0029687A" w:rsidSect="000B2BCD">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4AA3B" w14:textId="77777777" w:rsidR="00E366B0" w:rsidRDefault="00E366B0" w:rsidP="007D199A">
      <w:pPr>
        <w:spacing w:after="0"/>
      </w:pPr>
      <w:r>
        <w:separator/>
      </w:r>
    </w:p>
    <w:p w14:paraId="75F394C3" w14:textId="77777777" w:rsidR="00E366B0" w:rsidRDefault="00E366B0"/>
    <w:p w14:paraId="1C9EFC4C" w14:textId="77777777" w:rsidR="00E366B0" w:rsidRDefault="00E366B0"/>
  </w:endnote>
  <w:endnote w:type="continuationSeparator" w:id="0">
    <w:p w14:paraId="62F21679" w14:textId="77777777" w:rsidR="00E366B0" w:rsidRDefault="00E366B0" w:rsidP="007D199A">
      <w:pPr>
        <w:spacing w:after="0"/>
      </w:pPr>
      <w:r>
        <w:continuationSeparator/>
      </w:r>
    </w:p>
    <w:p w14:paraId="7C550CAD" w14:textId="77777777" w:rsidR="00E366B0" w:rsidRDefault="00E366B0"/>
    <w:p w14:paraId="65D43830" w14:textId="77777777" w:rsidR="00E366B0" w:rsidRDefault="00E36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61B8932" w:rsidR="007C3C1D" w:rsidRPr="006A525B" w:rsidRDefault="006A525B" w:rsidP="007C3C1D">
    <w:pPr>
      <w:pStyle w:val="Footer"/>
      <w:jc w:val="left"/>
      <w:rPr>
        <w:szCs w:val="24"/>
      </w:rPr>
    </w:pPr>
    <w:r w:rsidRPr="006A525B">
      <w:rPr>
        <w:szCs w:val="24"/>
      </w:rPr>
      <w:t>ONR-DOC-TEMP-</w:t>
    </w:r>
    <w:r w:rsidR="001321E2">
      <w:rPr>
        <w:szCs w:val="24"/>
      </w:rPr>
      <w:t>002</w:t>
    </w:r>
    <w:r w:rsidRPr="006A525B">
      <w:rPr>
        <w:szCs w:val="24"/>
      </w:rPr>
      <w:t xml:space="preserve"> (Issue </w:t>
    </w:r>
    <w:r w:rsidR="001321E2">
      <w:rPr>
        <w:szCs w:val="24"/>
      </w:rPr>
      <w:t>5</w:t>
    </w:r>
    <w:r w:rsidR="00CE1DB2">
      <w:rPr>
        <w:szCs w:val="24"/>
      </w:rPr>
      <w:t>.</w:t>
    </w:r>
    <w:r w:rsidR="003C18C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71C6C05" w:rsidR="00CE6198" w:rsidRPr="00864C9B" w:rsidRDefault="00864C9B" w:rsidP="00864C9B">
    <w:pPr>
      <w:pStyle w:val="Footer"/>
      <w:rPr>
        <w:rStyle w:val="PageNumber"/>
        <w:color w:val="22413A"/>
        <w:sz w:val="24"/>
      </w:rPr>
    </w:pPr>
    <w:r w:rsidRPr="00864C9B">
      <w:rPr>
        <w:rStyle w:val="PageNumber"/>
        <w:color w:val="22413A"/>
        <w:sz w:val="24"/>
      </w:rPr>
      <w:t xml:space="preserve">Page </w:t>
    </w:r>
    <w:r w:rsidRPr="00864C9B">
      <w:rPr>
        <w:rStyle w:val="PageNumber"/>
        <w:color w:val="22413A"/>
        <w:sz w:val="24"/>
      </w:rPr>
      <w:fldChar w:fldCharType="begin"/>
    </w:r>
    <w:r w:rsidRPr="00864C9B">
      <w:rPr>
        <w:rStyle w:val="PageNumber"/>
        <w:color w:val="22413A"/>
        <w:sz w:val="24"/>
      </w:rPr>
      <w:instrText>PAGE  \* Arabic  \* MERGEFORMAT</w:instrText>
    </w:r>
    <w:r w:rsidRPr="00864C9B">
      <w:rPr>
        <w:rStyle w:val="PageNumber"/>
        <w:color w:val="22413A"/>
        <w:sz w:val="24"/>
      </w:rPr>
      <w:fldChar w:fldCharType="separate"/>
    </w:r>
    <w:r w:rsidRPr="00864C9B">
      <w:rPr>
        <w:rStyle w:val="PageNumber"/>
        <w:color w:val="22413A"/>
        <w:sz w:val="24"/>
      </w:rPr>
      <w:t>1</w:t>
    </w:r>
    <w:r w:rsidRPr="00864C9B">
      <w:rPr>
        <w:rStyle w:val="PageNumber"/>
        <w:color w:val="22413A"/>
        <w:sz w:val="24"/>
      </w:rPr>
      <w:fldChar w:fldCharType="end"/>
    </w:r>
    <w:r w:rsidRPr="00864C9B">
      <w:rPr>
        <w:rStyle w:val="PageNumber"/>
        <w:color w:val="22413A"/>
        <w:sz w:val="24"/>
      </w:rPr>
      <w:t xml:space="preserve"> of </w:t>
    </w:r>
    <w:r w:rsidRPr="00864C9B">
      <w:rPr>
        <w:rStyle w:val="PageNumber"/>
        <w:color w:val="22413A"/>
        <w:sz w:val="24"/>
      </w:rPr>
      <w:fldChar w:fldCharType="begin"/>
    </w:r>
    <w:r w:rsidRPr="00864C9B">
      <w:rPr>
        <w:rStyle w:val="PageNumber"/>
        <w:color w:val="22413A"/>
        <w:sz w:val="24"/>
      </w:rPr>
      <w:instrText>NUMPAGES  \* Arabic  \* MERGEFORMAT</w:instrText>
    </w:r>
    <w:r w:rsidRPr="00864C9B">
      <w:rPr>
        <w:rStyle w:val="PageNumber"/>
        <w:color w:val="22413A"/>
        <w:sz w:val="24"/>
      </w:rPr>
      <w:fldChar w:fldCharType="separate"/>
    </w:r>
    <w:r w:rsidRPr="00864C9B">
      <w:rPr>
        <w:rStyle w:val="PageNumber"/>
        <w:color w:val="22413A"/>
        <w:sz w:val="24"/>
      </w:rPr>
      <w:t>2</w:t>
    </w:r>
    <w:r w:rsidRPr="00864C9B">
      <w:rPr>
        <w:rStyle w:val="PageNumber"/>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49EC6" w14:textId="77777777" w:rsidR="00E366B0" w:rsidRPr="005E0344" w:rsidRDefault="00E366B0" w:rsidP="005E0344">
      <w:pPr>
        <w:spacing w:after="120"/>
        <w:rPr>
          <w:color w:val="000000" w:themeColor="text2"/>
        </w:rPr>
      </w:pPr>
      <w:r w:rsidRPr="005E0344">
        <w:rPr>
          <w:color w:val="000000" w:themeColor="text2"/>
        </w:rPr>
        <w:separator/>
      </w:r>
    </w:p>
    <w:p w14:paraId="7F5BE0D3" w14:textId="77777777" w:rsidR="00E366B0" w:rsidRDefault="00E366B0"/>
  </w:footnote>
  <w:footnote w:type="continuationSeparator" w:id="0">
    <w:p w14:paraId="0EE3B784" w14:textId="77777777" w:rsidR="00E366B0" w:rsidRPr="005E0344" w:rsidRDefault="00E366B0" w:rsidP="0090581D">
      <w:pPr>
        <w:spacing w:after="120"/>
        <w:rPr>
          <w:color w:val="000000" w:themeColor="text2"/>
        </w:rPr>
      </w:pPr>
      <w:r w:rsidRPr="005E0344">
        <w:rPr>
          <w:color w:val="000000" w:themeColor="text2"/>
        </w:rPr>
        <w:continuationSeparator/>
      </w:r>
    </w:p>
    <w:p w14:paraId="510400D8" w14:textId="77777777" w:rsidR="00E366B0" w:rsidRDefault="00E366B0"/>
    <w:p w14:paraId="21A150A9" w14:textId="77777777" w:rsidR="00E366B0" w:rsidRDefault="00E366B0"/>
  </w:footnote>
  <w:footnote w:type="continuationNotice" w:id="1">
    <w:p w14:paraId="5151845E" w14:textId="77777777" w:rsidR="00E366B0" w:rsidRDefault="00E366B0">
      <w:pPr>
        <w:spacing w:after="0"/>
      </w:pPr>
    </w:p>
    <w:p w14:paraId="3F4FDF0B" w14:textId="77777777" w:rsidR="00E366B0" w:rsidRDefault="00E366B0"/>
    <w:p w14:paraId="762C7B1D" w14:textId="77777777" w:rsidR="00E366B0" w:rsidRDefault="00E366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031AB2A" w:rsidR="00177666" w:rsidRPr="00046936" w:rsidRDefault="00E366B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D04C3">
          <w:rPr>
            <w:sz w:val="20"/>
            <w:szCs w:val="24"/>
          </w:rPr>
          <w:t>Civil engineering (Annex 6) – Post operation</w:t>
        </w:r>
        <w:r w:rsidR="0029687A">
          <w:rPr>
            <w:sz w:val="20"/>
            <w:szCs w:val="24"/>
          </w:rPr>
          <w:t>al sites</w:t>
        </w:r>
      </w:sdtContent>
    </w:sdt>
    <w:r w:rsidR="004E3932" w:rsidRPr="00046936">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568F">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1" w15:restartNumberingAfterBreak="0">
    <w:nsid w:val="05E83B40"/>
    <w:multiLevelType w:val="hybridMultilevel"/>
    <w:tmpl w:val="9932A0F2"/>
    <w:lvl w:ilvl="0" w:tplc="B1301426">
      <w:start w:val="1"/>
      <w:numFmt w:val="bullet"/>
      <w:lvlText w:val=""/>
      <w:lvlJc w:val="left"/>
      <w:pPr>
        <w:ind w:left="72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D41EE"/>
    <w:multiLevelType w:val="multilevel"/>
    <w:tmpl w:val="F0385428"/>
    <w:lvl w:ilvl="0">
      <w:start w:val="1"/>
      <w:numFmt w:val="bullet"/>
      <w:lvlText w:val=""/>
      <w:lvlJc w:val="left"/>
      <w:pPr>
        <w:tabs>
          <w:tab w:val="num" w:pos="-30240"/>
        </w:tabs>
        <w:ind w:left="2160" w:hanging="720"/>
      </w:pPr>
      <w:rPr>
        <w:rFonts w:ascii="Wingdings" w:hAnsi="Wingdings" w:hint="default"/>
        <w:b w:val="0"/>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0240"/>
        </w:tabs>
        <w:ind w:left="2160" w:hanging="720"/>
      </w:pPr>
      <w:rPr>
        <w:rFonts w:hint="default"/>
        <w:sz w:val="22"/>
      </w:rPr>
    </w:lvl>
    <w:lvl w:ilvl="2">
      <w:start w:val="1"/>
      <w:numFmt w:val="decimal"/>
      <w:lvlText w:val="%1.%2.%3"/>
      <w:lvlJc w:val="left"/>
      <w:pPr>
        <w:tabs>
          <w:tab w:val="num" w:pos="-30240"/>
        </w:tabs>
        <w:ind w:left="2160" w:hanging="720"/>
      </w:pPr>
      <w:rPr>
        <w:rFonts w:hint="default"/>
        <w:sz w:val="22"/>
      </w:rPr>
    </w:lvl>
    <w:lvl w:ilvl="3">
      <w:start w:val="1"/>
      <w:numFmt w:val="decimal"/>
      <w:lvlText w:val="%1.%2.%3.%4"/>
      <w:lvlJc w:val="left"/>
      <w:pPr>
        <w:tabs>
          <w:tab w:val="num" w:pos="-30240"/>
        </w:tabs>
        <w:ind w:left="2160" w:hanging="720"/>
      </w:pPr>
      <w:rPr>
        <w:rFonts w:hint="default"/>
        <w:sz w:val="22"/>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 w15:restartNumberingAfterBreak="0">
    <w:nsid w:val="14676417"/>
    <w:multiLevelType w:val="hybridMultilevel"/>
    <w:tmpl w:val="CC4278F6"/>
    <w:lvl w:ilvl="0" w:tplc="DBC48688">
      <w:start w:val="1"/>
      <w:numFmt w:val="decimal"/>
      <w:pStyle w:val="ONRNumberedParagraph1"/>
      <w:lvlText w:val="%1"/>
      <w:lvlJc w:val="left"/>
      <w:pPr>
        <w:tabs>
          <w:tab w:val="num" w:pos="907"/>
        </w:tabs>
        <w:ind w:left="907" w:firstLine="0"/>
      </w:pPr>
      <w:rPr>
        <w:rFonts w:ascii="Arial" w:hAnsi="Arial" w:cs="Times New Roman"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4" w15:restartNumberingAfterBreak="0">
    <w:nsid w:val="17304E12"/>
    <w:multiLevelType w:val="multilevel"/>
    <w:tmpl w:val="A7CAA430"/>
    <w:lvl w:ilvl="0">
      <w:start w:val="1"/>
      <w:numFmt w:val="decimal"/>
      <w:pStyle w:val="TSNumberedParagraph1"/>
      <w:lvlText w:val="%1."/>
      <w:lvlJc w:val="left"/>
      <w:pPr>
        <w:tabs>
          <w:tab w:val="num" w:pos="-31680"/>
        </w:tabs>
        <w:ind w:left="720" w:hanging="720"/>
      </w:pPr>
      <w:rPr>
        <w:rFonts w:ascii="Arial" w:hAnsi="Arial" w:cs="Arial" w:hint="default"/>
        <w:b w:val="0"/>
        <w:color w:val="auto"/>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6BF02CC"/>
    <w:multiLevelType w:val="hybridMultilevel"/>
    <w:tmpl w:val="F9468378"/>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957587"/>
    <w:multiLevelType w:val="multilevel"/>
    <w:tmpl w:val="4ADAFD6A"/>
    <w:lvl w:ilvl="0">
      <w:start w:val="1"/>
      <w:numFmt w:val="decimal"/>
      <w:pStyle w:val="Heading1"/>
      <w:lvlText w:val="%1."/>
      <w:lvlJc w:val="left"/>
      <w:pPr>
        <w:ind w:left="1070" w:hanging="360"/>
      </w:pPr>
    </w:lvl>
    <w:lvl w:ilvl="1">
      <w:start w:val="1"/>
      <w:numFmt w:val="decimal"/>
      <w:pStyle w:val="Heading2"/>
      <w:lvlText w:val="%1.%2."/>
      <w:lvlJc w:val="left"/>
      <w:pPr>
        <w:ind w:left="1502" w:hanging="432"/>
      </w:pPr>
    </w:lvl>
    <w:lvl w:ilvl="2">
      <w:start w:val="1"/>
      <w:numFmt w:val="decimal"/>
      <w:pStyle w:val="Heading3"/>
      <w:lvlText w:val="%1.%2.%3."/>
      <w:lvlJc w:val="left"/>
      <w:pPr>
        <w:ind w:left="1934" w:hanging="504"/>
      </w:pPr>
    </w:lvl>
    <w:lvl w:ilvl="3">
      <w:start w:val="1"/>
      <w:numFmt w:val="decimal"/>
      <w:pStyle w:val="Heading4"/>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7" w15:restartNumberingAfterBreak="0">
    <w:nsid w:val="69F22A4E"/>
    <w:multiLevelType w:val="multilevel"/>
    <w:tmpl w:val="CFC678B4"/>
    <w:lvl w:ilvl="0">
      <w:start w:val="1"/>
      <w:numFmt w:val="decimal"/>
      <w:lvlText w:val="%1."/>
      <w:lvlJc w:val="left"/>
      <w:pPr>
        <w:tabs>
          <w:tab w:val="num" w:pos="-31680"/>
        </w:tabs>
        <w:ind w:left="720" w:hanging="720"/>
      </w:pPr>
      <w:rPr>
        <w:rFonts w:ascii="Arial" w:hAnsi="Arial" w:cs="Arial" w:hint="default"/>
        <w:b w:val="0"/>
        <w:color w:val="auto"/>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0C2195C"/>
    <w:multiLevelType w:val="hybridMultilevel"/>
    <w:tmpl w:val="11C8635E"/>
    <w:lvl w:ilvl="0" w:tplc="84BA4EF8">
      <w:start w:val="1"/>
      <w:numFmt w:val="bullet"/>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447535"/>
    <w:multiLevelType w:val="multilevel"/>
    <w:tmpl w:val="601C9E5A"/>
    <w:lvl w:ilvl="0">
      <w:start w:val="1"/>
      <w:numFmt w:val="decimal"/>
      <w:pStyle w:val="F9-Paragraph"/>
      <w:lvlText w:val="%1."/>
      <w:lvlJc w:val="left"/>
      <w:pPr>
        <w:ind w:left="5606" w:hanging="360"/>
      </w:pPr>
      <w:rPr>
        <w:rFonts w:asciiTheme="minorHAnsi" w:hAnsiTheme="minorHAnsi" w:cstheme="minorHAnsi"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863EDD"/>
    <w:multiLevelType w:val="multilevel"/>
    <w:tmpl w:val="6BF0313E"/>
    <w:lvl w:ilvl="0">
      <w:start w:val="1"/>
      <w:numFmt w:val="decimal"/>
      <w:lvlText w:val="%1."/>
      <w:lvlJc w:val="left"/>
      <w:pPr>
        <w:ind w:left="360" w:hanging="360"/>
      </w:pPr>
    </w:lvl>
    <w:lvl w:ilvl="1">
      <w:start w:val="1"/>
      <w:numFmt w:val="decimal"/>
      <w:pStyle w:val="NumberedParagraph"/>
      <w:lvlText w:val="%1.%2."/>
      <w:lvlJc w:val="left"/>
      <w:pPr>
        <w:ind w:left="792" w:hanging="432"/>
      </w:pPr>
      <w:rPr>
        <w:rFonts w:ascii="Arial" w:hAnsi="Arial" w:cs="Arial"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16cid:durableId="783227120">
    <w:abstractNumId w:val="9"/>
  </w:num>
  <w:num w:numId="2" w16cid:durableId="399718409">
    <w:abstractNumId w:val="10"/>
  </w:num>
  <w:num w:numId="3" w16cid:durableId="999388671">
    <w:abstractNumId w:val="6"/>
  </w:num>
  <w:num w:numId="4" w16cid:durableId="20966315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3636562">
    <w:abstractNumId w:val="12"/>
  </w:num>
  <w:num w:numId="6" w16cid:durableId="391512796">
    <w:abstractNumId w:val="0"/>
  </w:num>
  <w:num w:numId="7" w16cid:durableId="606546315">
    <w:abstractNumId w:val="11"/>
  </w:num>
  <w:num w:numId="8" w16cid:durableId="2045716887">
    <w:abstractNumId w:val="4"/>
  </w:num>
  <w:num w:numId="9" w16cid:durableId="532693773">
    <w:abstractNumId w:val="1"/>
  </w:num>
  <w:num w:numId="10" w16cid:durableId="2001732613">
    <w:abstractNumId w:val="3"/>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7974077">
    <w:abstractNumId w:val="5"/>
  </w:num>
  <w:num w:numId="12" w16cid:durableId="580870892">
    <w:abstractNumId w:val="8"/>
  </w:num>
  <w:num w:numId="13" w16cid:durableId="541866639">
    <w:abstractNumId w:val="2"/>
  </w:num>
  <w:num w:numId="14" w16cid:durableId="368997050">
    <w:abstractNumId w:val="7"/>
  </w:num>
  <w:num w:numId="15" w16cid:durableId="1194076336">
    <w:abstractNumId w:val="10"/>
  </w:num>
  <w:num w:numId="16" w16cid:durableId="111941295">
    <w:abstractNumId w:val="9"/>
  </w:num>
  <w:num w:numId="17" w16cid:durableId="872309124">
    <w:abstractNumId w:val="10"/>
  </w:num>
  <w:num w:numId="18" w16cid:durableId="1818254117">
    <w:abstractNumId w:val="10"/>
  </w:num>
  <w:num w:numId="19" w16cid:durableId="718162286">
    <w:abstractNumId w:val="9"/>
  </w:num>
  <w:num w:numId="20" w16cid:durableId="311061616">
    <w:abstractNumId w:val="10"/>
  </w:num>
  <w:num w:numId="21" w16cid:durableId="1598050872">
    <w:abstractNumId w:val="10"/>
  </w:num>
  <w:num w:numId="22" w16cid:durableId="2059428313">
    <w:abstractNumId w:val="10"/>
  </w:num>
  <w:num w:numId="23" w16cid:durableId="1150710438">
    <w:abstractNumId w:val="10"/>
  </w:num>
  <w:num w:numId="24" w16cid:durableId="2106227409">
    <w:abstractNumId w:val="9"/>
  </w:num>
  <w:num w:numId="25" w16cid:durableId="1264651493">
    <w:abstractNumId w:val="10"/>
  </w:num>
  <w:num w:numId="26" w16cid:durableId="1359234437">
    <w:abstractNumId w:val="10"/>
  </w:num>
  <w:num w:numId="27" w16cid:durableId="134278164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104"/>
    <w:rsid w:val="00002701"/>
    <w:rsid w:val="00002F03"/>
    <w:rsid w:val="000032C9"/>
    <w:rsid w:val="00004C16"/>
    <w:rsid w:val="00004C93"/>
    <w:rsid w:val="0000635A"/>
    <w:rsid w:val="00011177"/>
    <w:rsid w:val="00012BC6"/>
    <w:rsid w:val="00012F44"/>
    <w:rsid w:val="00014814"/>
    <w:rsid w:val="00014925"/>
    <w:rsid w:val="000217B1"/>
    <w:rsid w:val="00021957"/>
    <w:rsid w:val="00021DCA"/>
    <w:rsid w:val="0002290B"/>
    <w:rsid w:val="000229EA"/>
    <w:rsid w:val="00023A58"/>
    <w:rsid w:val="00024522"/>
    <w:rsid w:val="00024B2E"/>
    <w:rsid w:val="00025A79"/>
    <w:rsid w:val="00027DCA"/>
    <w:rsid w:val="00027F4F"/>
    <w:rsid w:val="00030430"/>
    <w:rsid w:val="000304AB"/>
    <w:rsid w:val="0003078E"/>
    <w:rsid w:val="000316F9"/>
    <w:rsid w:val="00031B89"/>
    <w:rsid w:val="00033C2D"/>
    <w:rsid w:val="00034478"/>
    <w:rsid w:val="0003693D"/>
    <w:rsid w:val="00036D0C"/>
    <w:rsid w:val="00037EE2"/>
    <w:rsid w:val="000401C6"/>
    <w:rsid w:val="00041961"/>
    <w:rsid w:val="000440CD"/>
    <w:rsid w:val="0004440F"/>
    <w:rsid w:val="000447AC"/>
    <w:rsid w:val="00046936"/>
    <w:rsid w:val="00052C80"/>
    <w:rsid w:val="00052C8A"/>
    <w:rsid w:val="000548C8"/>
    <w:rsid w:val="00055898"/>
    <w:rsid w:val="0005659D"/>
    <w:rsid w:val="00057638"/>
    <w:rsid w:val="00057EFC"/>
    <w:rsid w:val="0006392B"/>
    <w:rsid w:val="00064956"/>
    <w:rsid w:val="00064EBA"/>
    <w:rsid w:val="00065263"/>
    <w:rsid w:val="00066703"/>
    <w:rsid w:val="000677A1"/>
    <w:rsid w:val="000714D8"/>
    <w:rsid w:val="000722EE"/>
    <w:rsid w:val="000732B5"/>
    <w:rsid w:val="0007440C"/>
    <w:rsid w:val="00074D02"/>
    <w:rsid w:val="00074E2D"/>
    <w:rsid w:val="00074FA6"/>
    <w:rsid w:val="00075605"/>
    <w:rsid w:val="00075C66"/>
    <w:rsid w:val="0007605A"/>
    <w:rsid w:val="000760AD"/>
    <w:rsid w:val="00077E2D"/>
    <w:rsid w:val="00081114"/>
    <w:rsid w:val="00082879"/>
    <w:rsid w:val="00083BB0"/>
    <w:rsid w:val="000845D1"/>
    <w:rsid w:val="00084B00"/>
    <w:rsid w:val="00084D1E"/>
    <w:rsid w:val="00084FB9"/>
    <w:rsid w:val="0008542F"/>
    <w:rsid w:val="00085451"/>
    <w:rsid w:val="00086223"/>
    <w:rsid w:val="00087FD3"/>
    <w:rsid w:val="00091EEA"/>
    <w:rsid w:val="00091FE6"/>
    <w:rsid w:val="000928F1"/>
    <w:rsid w:val="00092E50"/>
    <w:rsid w:val="00094045"/>
    <w:rsid w:val="000950B3"/>
    <w:rsid w:val="000A13CF"/>
    <w:rsid w:val="000A2AFC"/>
    <w:rsid w:val="000A3731"/>
    <w:rsid w:val="000A51C3"/>
    <w:rsid w:val="000A634C"/>
    <w:rsid w:val="000A65FB"/>
    <w:rsid w:val="000A6713"/>
    <w:rsid w:val="000A6E7B"/>
    <w:rsid w:val="000A6F64"/>
    <w:rsid w:val="000B2BCD"/>
    <w:rsid w:val="000B4260"/>
    <w:rsid w:val="000B42DD"/>
    <w:rsid w:val="000B5459"/>
    <w:rsid w:val="000B60B3"/>
    <w:rsid w:val="000C080D"/>
    <w:rsid w:val="000C0F20"/>
    <w:rsid w:val="000C2DDC"/>
    <w:rsid w:val="000C4B4C"/>
    <w:rsid w:val="000C6E62"/>
    <w:rsid w:val="000C7CCE"/>
    <w:rsid w:val="000D1AA5"/>
    <w:rsid w:val="000D25FF"/>
    <w:rsid w:val="000D2FD4"/>
    <w:rsid w:val="000D7AA7"/>
    <w:rsid w:val="000E0ED3"/>
    <w:rsid w:val="000E51B2"/>
    <w:rsid w:val="000E5215"/>
    <w:rsid w:val="000E7072"/>
    <w:rsid w:val="000E786E"/>
    <w:rsid w:val="000F03DF"/>
    <w:rsid w:val="000F1A01"/>
    <w:rsid w:val="000F1B7B"/>
    <w:rsid w:val="000F2B72"/>
    <w:rsid w:val="000F2ED4"/>
    <w:rsid w:val="000F31A4"/>
    <w:rsid w:val="000F3932"/>
    <w:rsid w:val="000F3AF9"/>
    <w:rsid w:val="000F55D3"/>
    <w:rsid w:val="000F6AC9"/>
    <w:rsid w:val="00101EDC"/>
    <w:rsid w:val="001028E8"/>
    <w:rsid w:val="00102C09"/>
    <w:rsid w:val="00104E47"/>
    <w:rsid w:val="00105972"/>
    <w:rsid w:val="001065E4"/>
    <w:rsid w:val="0011048F"/>
    <w:rsid w:val="001140D2"/>
    <w:rsid w:val="00115064"/>
    <w:rsid w:val="0011692B"/>
    <w:rsid w:val="00116A8C"/>
    <w:rsid w:val="00116E5C"/>
    <w:rsid w:val="00116F50"/>
    <w:rsid w:val="00122FCC"/>
    <w:rsid w:val="00125585"/>
    <w:rsid w:val="00126752"/>
    <w:rsid w:val="001268A0"/>
    <w:rsid w:val="00127677"/>
    <w:rsid w:val="001304AC"/>
    <w:rsid w:val="00130B30"/>
    <w:rsid w:val="00131E06"/>
    <w:rsid w:val="001321E2"/>
    <w:rsid w:val="0013353C"/>
    <w:rsid w:val="00134A4A"/>
    <w:rsid w:val="00135012"/>
    <w:rsid w:val="00135DB8"/>
    <w:rsid w:val="00136064"/>
    <w:rsid w:val="00136854"/>
    <w:rsid w:val="00140E1C"/>
    <w:rsid w:val="00142857"/>
    <w:rsid w:val="00142F3E"/>
    <w:rsid w:val="00143C15"/>
    <w:rsid w:val="001447A9"/>
    <w:rsid w:val="001449A1"/>
    <w:rsid w:val="00144C0D"/>
    <w:rsid w:val="001450D4"/>
    <w:rsid w:val="001462C5"/>
    <w:rsid w:val="00147241"/>
    <w:rsid w:val="00147829"/>
    <w:rsid w:val="00147AE4"/>
    <w:rsid w:val="0015032C"/>
    <w:rsid w:val="0015407B"/>
    <w:rsid w:val="00154C06"/>
    <w:rsid w:val="001571E5"/>
    <w:rsid w:val="00157F49"/>
    <w:rsid w:val="00160949"/>
    <w:rsid w:val="00162458"/>
    <w:rsid w:val="0016476B"/>
    <w:rsid w:val="00166C05"/>
    <w:rsid w:val="00166D8D"/>
    <w:rsid w:val="001701FF"/>
    <w:rsid w:val="00170E05"/>
    <w:rsid w:val="00173419"/>
    <w:rsid w:val="00173BDE"/>
    <w:rsid w:val="00173BDF"/>
    <w:rsid w:val="00174722"/>
    <w:rsid w:val="001747AF"/>
    <w:rsid w:val="001772CA"/>
    <w:rsid w:val="001774E5"/>
    <w:rsid w:val="00177632"/>
    <w:rsid w:val="00177666"/>
    <w:rsid w:val="00177FCC"/>
    <w:rsid w:val="00180C9E"/>
    <w:rsid w:val="0018254F"/>
    <w:rsid w:val="0018285B"/>
    <w:rsid w:val="00182D14"/>
    <w:rsid w:val="00184877"/>
    <w:rsid w:val="001849CA"/>
    <w:rsid w:val="00185410"/>
    <w:rsid w:val="001863B3"/>
    <w:rsid w:val="00186E23"/>
    <w:rsid w:val="00187B6F"/>
    <w:rsid w:val="00191F08"/>
    <w:rsid w:val="00192352"/>
    <w:rsid w:val="00192908"/>
    <w:rsid w:val="001930F4"/>
    <w:rsid w:val="001939ED"/>
    <w:rsid w:val="001954D5"/>
    <w:rsid w:val="001A0905"/>
    <w:rsid w:val="001A0EE1"/>
    <w:rsid w:val="001A149F"/>
    <w:rsid w:val="001A1B4B"/>
    <w:rsid w:val="001A1F85"/>
    <w:rsid w:val="001A3D7F"/>
    <w:rsid w:val="001A499A"/>
    <w:rsid w:val="001A5D1B"/>
    <w:rsid w:val="001A5F4C"/>
    <w:rsid w:val="001B0305"/>
    <w:rsid w:val="001B08C3"/>
    <w:rsid w:val="001B46AA"/>
    <w:rsid w:val="001B5DAC"/>
    <w:rsid w:val="001B655C"/>
    <w:rsid w:val="001B666A"/>
    <w:rsid w:val="001B7075"/>
    <w:rsid w:val="001B7B6C"/>
    <w:rsid w:val="001C1A4A"/>
    <w:rsid w:val="001C1BBD"/>
    <w:rsid w:val="001C4BB5"/>
    <w:rsid w:val="001C4D63"/>
    <w:rsid w:val="001C65FB"/>
    <w:rsid w:val="001C6B76"/>
    <w:rsid w:val="001C6F36"/>
    <w:rsid w:val="001D0DE0"/>
    <w:rsid w:val="001D0F2D"/>
    <w:rsid w:val="001D3AE1"/>
    <w:rsid w:val="001D3DBA"/>
    <w:rsid w:val="001D5AFF"/>
    <w:rsid w:val="001D66AC"/>
    <w:rsid w:val="001D74B4"/>
    <w:rsid w:val="001D7A33"/>
    <w:rsid w:val="001E03E1"/>
    <w:rsid w:val="001E289B"/>
    <w:rsid w:val="001E354F"/>
    <w:rsid w:val="001E3B75"/>
    <w:rsid w:val="001E7332"/>
    <w:rsid w:val="001E7943"/>
    <w:rsid w:val="001E7985"/>
    <w:rsid w:val="001F059F"/>
    <w:rsid w:val="001F305C"/>
    <w:rsid w:val="001F3380"/>
    <w:rsid w:val="001F4AA5"/>
    <w:rsid w:val="001F64BB"/>
    <w:rsid w:val="001F677A"/>
    <w:rsid w:val="00200044"/>
    <w:rsid w:val="00200811"/>
    <w:rsid w:val="00200CA1"/>
    <w:rsid w:val="002033DE"/>
    <w:rsid w:val="00205A6C"/>
    <w:rsid w:val="00205F19"/>
    <w:rsid w:val="00207DD4"/>
    <w:rsid w:val="002103EF"/>
    <w:rsid w:val="0021272E"/>
    <w:rsid w:val="0021338D"/>
    <w:rsid w:val="00214D43"/>
    <w:rsid w:val="002211DC"/>
    <w:rsid w:val="00221ED0"/>
    <w:rsid w:val="002238B4"/>
    <w:rsid w:val="00223B76"/>
    <w:rsid w:val="00224BA8"/>
    <w:rsid w:val="0022595E"/>
    <w:rsid w:val="002259DF"/>
    <w:rsid w:val="002319AB"/>
    <w:rsid w:val="002319AC"/>
    <w:rsid w:val="00232555"/>
    <w:rsid w:val="0023268D"/>
    <w:rsid w:val="00232F0B"/>
    <w:rsid w:val="00233522"/>
    <w:rsid w:val="00233C9B"/>
    <w:rsid w:val="00234342"/>
    <w:rsid w:val="00235430"/>
    <w:rsid w:val="002363EC"/>
    <w:rsid w:val="0024040D"/>
    <w:rsid w:val="002446B7"/>
    <w:rsid w:val="002453A8"/>
    <w:rsid w:val="00245814"/>
    <w:rsid w:val="00245A0D"/>
    <w:rsid w:val="00247077"/>
    <w:rsid w:val="00250727"/>
    <w:rsid w:val="00251816"/>
    <w:rsid w:val="00255FA3"/>
    <w:rsid w:val="00256410"/>
    <w:rsid w:val="00257288"/>
    <w:rsid w:val="0025729B"/>
    <w:rsid w:val="00261FB6"/>
    <w:rsid w:val="002629F8"/>
    <w:rsid w:val="00263396"/>
    <w:rsid w:val="002659FA"/>
    <w:rsid w:val="002661C6"/>
    <w:rsid w:val="00267815"/>
    <w:rsid w:val="00267B3B"/>
    <w:rsid w:val="00270AB9"/>
    <w:rsid w:val="00271E6B"/>
    <w:rsid w:val="0027213C"/>
    <w:rsid w:val="00272404"/>
    <w:rsid w:val="002735DF"/>
    <w:rsid w:val="00273F2A"/>
    <w:rsid w:val="002749DC"/>
    <w:rsid w:val="00275439"/>
    <w:rsid w:val="0027570C"/>
    <w:rsid w:val="0027605A"/>
    <w:rsid w:val="00276B13"/>
    <w:rsid w:val="0027765D"/>
    <w:rsid w:val="00280C73"/>
    <w:rsid w:val="00280DDF"/>
    <w:rsid w:val="002811AD"/>
    <w:rsid w:val="00283FEB"/>
    <w:rsid w:val="00287B2E"/>
    <w:rsid w:val="00290492"/>
    <w:rsid w:val="002917FF"/>
    <w:rsid w:val="00292ADF"/>
    <w:rsid w:val="0029687A"/>
    <w:rsid w:val="00297333"/>
    <w:rsid w:val="002A0DEC"/>
    <w:rsid w:val="002A1DDC"/>
    <w:rsid w:val="002A2A07"/>
    <w:rsid w:val="002A4056"/>
    <w:rsid w:val="002A4132"/>
    <w:rsid w:val="002A5B00"/>
    <w:rsid w:val="002A5C30"/>
    <w:rsid w:val="002A6B2D"/>
    <w:rsid w:val="002B190C"/>
    <w:rsid w:val="002B1C53"/>
    <w:rsid w:val="002B376C"/>
    <w:rsid w:val="002B610F"/>
    <w:rsid w:val="002B7A77"/>
    <w:rsid w:val="002C0B6D"/>
    <w:rsid w:val="002C101E"/>
    <w:rsid w:val="002C2A1B"/>
    <w:rsid w:val="002C2B1D"/>
    <w:rsid w:val="002C35F8"/>
    <w:rsid w:val="002C3CCC"/>
    <w:rsid w:val="002C6173"/>
    <w:rsid w:val="002D5663"/>
    <w:rsid w:val="002D6018"/>
    <w:rsid w:val="002D690F"/>
    <w:rsid w:val="002D764A"/>
    <w:rsid w:val="002E0BE4"/>
    <w:rsid w:val="002E1EB3"/>
    <w:rsid w:val="002E2BF1"/>
    <w:rsid w:val="002E3B58"/>
    <w:rsid w:val="002E3E8A"/>
    <w:rsid w:val="002E475B"/>
    <w:rsid w:val="002E6A6A"/>
    <w:rsid w:val="002E7802"/>
    <w:rsid w:val="002F01C1"/>
    <w:rsid w:val="002F100F"/>
    <w:rsid w:val="002F12C9"/>
    <w:rsid w:val="002F3397"/>
    <w:rsid w:val="002F3864"/>
    <w:rsid w:val="002F3A98"/>
    <w:rsid w:val="002F60C6"/>
    <w:rsid w:val="003002E4"/>
    <w:rsid w:val="00300617"/>
    <w:rsid w:val="00300CF0"/>
    <w:rsid w:val="0030380D"/>
    <w:rsid w:val="003040C8"/>
    <w:rsid w:val="00304E78"/>
    <w:rsid w:val="00305514"/>
    <w:rsid w:val="00312411"/>
    <w:rsid w:val="00312BD6"/>
    <w:rsid w:val="003135E9"/>
    <w:rsid w:val="003147CB"/>
    <w:rsid w:val="003161F3"/>
    <w:rsid w:val="003162E4"/>
    <w:rsid w:val="00316F53"/>
    <w:rsid w:val="00317417"/>
    <w:rsid w:val="003208E8"/>
    <w:rsid w:val="00320AA8"/>
    <w:rsid w:val="003239EE"/>
    <w:rsid w:val="00323E71"/>
    <w:rsid w:val="0032508D"/>
    <w:rsid w:val="00326986"/>
    <w:rsid w:val="00327959"/>
    <w:rsid w:val="00330A19"/>
    <w:rsid w:val="00331554"/>
    <w:rsid w:val="00331A30"/>
    <w:rsid w:val="003327D7"/>
    <w:rsid w:val="00334356"/>
    <w:rsid w:val="00334EDC"/>
    <w:rsid w:val="00336729"/>
    <w:rsid w:val="00336C02"/>
    <w:rsid w:val="00337114"/>
    <w:rsid w:val="00337CD8"/>
    <w:rsid w:val="00337DD8"/>
    <w:rsid w:val="00341F9E"/>
    <w:rsid w:val="00344169"/>
    <w:rsid w:val="00345F67"/>
    <w:rsid w:val="0034678F"/>
    <w:rsid w:val="00346949"/>
    <w:rsid w:val="00346C8E"/>
    <w:rsid w:val="00347784"/>
    <w:rsid w:val="00347BE2"/>
    <w:rsid w:val="00347CA8"/>
    <w:rsid w:val="00352EBC"/>
    <w:rsid w:val="00357127"/>
    <w:rsid w:val="00357A80"/>
    <w:rsid w:val="003626EF"/>
    <w:rsid w:val="00364C0F"/>
    <w:rsid w:val="00367B88"/>
    <w:rsid w:val="00367BD5"/>
    <w:rsid w:val="0037176F"/>
    <w:rsid w:val="0037264A"/>
    <w:rsid w:val="00374920"/>
    <w:rsid w:val="00375804"/>
    <w:rsid w:val="00381DBE"/>
    <w:rsid w:val="003827A1"/>
    <w:rsid w:val="003835F9"/>
    <w:rsid w:val="00385C1D"/>
    <w:rsid w:val="0038761F"/>
    <w:rsid w:val="00390327"/>
    <w:rsid w:val="00391085"/>
    <w:rsid w:val="003928AB"/>
    <w:rsid w:val="00393817"/>
    <w:rsid w:val="00393B78"/>
    <w:rsid w:val="00393C3F"/>
    <w:rsid w:val="00393C78"/>
    <w:rsid w:val="003947B8"/>
    <w:rsid w:val="00394FE2"/>
    <w:rsid w:val="00395801"/>
    <w:rsid w:val="00396977"/>
    <w:rsid w:val="003970B0"/>
    <w:rsid w:val="003A01E9"/>
    <w:rsid w:val="003A1381"/>
    <w:rsid w:val="003A290D"/>
    <w:rsid w:val="003A3215"/>
    <w:rsid w:val="003A390A"/>
    <w:rsid w:val="003A3F13"/>
    <w:rsid w:val="003A6751"/>
    <w:rsid w:val="003B098E"/>
    <w:rsid w:val="003B0DD1"/>
    <w:rsid w:val="003B5AA4"/>
    <w:rsid w:val="003B6D29"/>
    <w:rsid w:val="003B7184"/>
    <w:rsid w:val="003B7F2F"/>
    <w:rsid w:val="003C004F"/>
    <w:rsid w:val="003C019B"/>
    <w:rsid w:val="003C0306"/>
    <w:rsid w:val="003C0DD8"/>
    <w:rsid w:val="003C114C"/>
    <w:rsid w:val="003C18C4"/>
    <w:rsid w:val="003C32A8"/>
    <w:rsid w:val="003C4579"/>
    <w:rsid w:val="003C465D"/>
    <w:rsid w:val="003D1579"/>
    <w:rsid w:val="003D1D29"/>
    <w:rsid w:val="003D3C5B"/>
    <w:rsid w:val="003D495D"/>
    <w:rsid w:val="003D7C80"/>
    <w:rsid w:val="003E0431"/>
    <w:rsid w:val="003E098E"/>
    <w:rsid w:val="003E23E1"/>
    <w:rsid w:val="003E2F1A"/>
    <w:rsid w:val="003E2FAE"/>
    <w:rsid w:val="003E5F0A"/>
    <w:rsid w:val="003E6CE5"/>
    <w:rsid w:val="003E740D"/>
    <w:rsid w:val="003F164A"/>
    <w:rsid w:val="003F5F4E"/>
    <w:rsid w:val="004007CF"/>
    <w:rsid w:val="00400F0B"/>
    <w:rsid w:val="00401596"/>
    <w:rsid w:val="00402273"/>
    <w:rsid w:val="0040244E"/>
    <w:rsid w:val="004047D6"/>
    <w:rsid w:val="00404B0C"/>
    <w:rsid w:val="0040548E"/>
    <w:rsid w:val="004058BA"/>
    <w:rsid w:val="00405BD1"/>
    <w:rsid w:val="00405C54"/>
    <w:rsid w:val="00405E9C"/>
    <w:rsid w:val="00406BF7"/>
    <w:rsid w:val="00407737"/>
    <w:rsid w:val="00407CF7"/>
    <w:rsid w:val="00407E02"/>
    <w:rsid w:val="00411CDB"/>
    <w:rsid w:val="00411D0C"/>
    <w:rsid w:val="00412A41"/>
    <w:rsid w:val="00413B21"/>
    <w:rsid w:val="00413D4E"/>
    <w:rsid w:val="00414C92"/>
    <w:rsid w:val="00415B9D"/>
    <w:rsid w:val="00415ED6"/>
    <w:rsid w:val="00417CAF"/>
    <w:rsid w:val="00417E27"/>
    <w:rsid w:val="00420A11"/>
    <w:rsid w:val="00421F71"/>
    <w:rsid w:val="00422265"/>
    <w:rsid w:val="00424578"/>
    <w:rsid w:val="00424C6F"/>
    <w:rsid w:val="00424F2F"/>
    <w:rsid w:val="004254E0"/>
    <w:rsid w:val="00425AE6"/>
    <w:rsid w:val="0042657E"/>
    <w:rsid w:val="00430856"/>
    <w:rsid w:val="00431134"/>
    <w:rsid w:val="0043264E"/>
    <w:rsid w:val="00434244"/>
    <w:rsid w:val="004346C8"/>
    <w:rsid w:val="00435218"/>
    <w:rsid w:val="00435562"/>
    <w:rsid w:val="004373A7"/>
    <w:rsid w:val="00437D94"/>
    <w:rsid w:val="00437E21"/>
    <w:rsid w:val="00440302"/>
    <w:rsid w:val="0044030C"/>
    <w:rsid w:val="0044166F"/>
    <w:rsid w:val="00441A68"/>
    <w:rsid w:val="0044485F"/>
    <w:rsid w:val="004451CD"/>
    <w:rsid w:val="00445778"/>
    <w:rsid w:val="00447EEC"/>
    <w:rsid w:val="004501A8"/>
    <w:rsid w:val="00452153"/>
    <w:rsid w:val="00452896"/>
    <w:rsid w:val="00453171"/>
    <w:rsid w:val="00453699"/>
    <w:rsid w:val="00455C05"/>
    <w:rsid w:val="00457ACD"/>
    <w:rsid w:val="00461B03"/>
    <w:rsid w:val="00462123"/>
    <w:rsid w:val="0046319C"/>
    <w:rsid w:val="004638C7"/>
    <w:rsid w:val="00463B35"/>
    <w:rsid w:val="00463CA6"/>
    <w:rsid w:val="004648A4"/>
    <w:rsid w:val="00471380"/>
    <w:rsid w:val="00471774"/>
    <w:rsid w:val="00474382"/>
    <w:rsid w:val="00474899"/>
    <w:rsid w:val="00474B02"/>
    <w:rsid w:val="00475694"/>
    <w:rsid w:val="00475F3B"/>
    <w:rsid w:val="00476800"/>
    <w:rsid w:val="00481D8A"/>
    <w:rsid w:val="004820D8"/>
    <w:rsid w:val="0048241B"/>
    <w:rsid w:val="00483815"/>
    <w:rsid w:val="004856EC"/>
    <w:rsid w:val="00486F0E"/>
    <w:rsid w:val="00492893"/>
    <w:rsid w:val="004931B4"/>
    <w:rsid w:val="00494F0D"/>
    <w:rsid w:val="00495991"/>
    <w:rsid w:val="00496BFD"/>
    <w:rsid w:val="004A2B4C"/>
    <w:rsid w:val="004A308A"/>
    <w:rsid w:val="004A3DF2"/>
    <w:rsid w:val="004A4BAC"/>
    <w:rsid w:val="004A59BA"/>
    <w:rsid w:val="004A5DBE"/>
    <w:rsid w:val="004B0777"/>
    <w:rsid w:val="004B10FB"/>
    <w:rsid w:val="004B1321"/>
    <w:rsid w:val="004B3435"/>
    <w:rsid w:val="004B3539"/>
    <w:rsid w:val="004B3572"/>
    <w:rsid w:val="004B6061"/>
    <w:rsid w:val="004B6A47"/>
    <w:rsid w:val="004B7BD1"/>
    <w:rsid w:val="004C361D"/>
    <w:rsid w:val="004C3FAF"/>
    <w:rsid w:val="004C4891"/>
    <w:rsid w:val="004C5FF7"/>
    <w:rsid w:val="004C6117"/>
    <w:rsid w:val="004C7E92"/>
    <w:rsid w:val="004C7EE1"/>
    <w:rsid w:val="004D1442"/>
    <w:rsid w:val="004D2404"/>
    <w:rsid w:val="004D290A"/>
    <w:rsid w:val="004D2C89"/>
    <w:rsid w:val="004D3295"/>
    <w:rsid w:val="004D5773"/>
    <w:rsid w:val="004E014A"/>
    <w:rsid w:val="004E181B"/>
    <w:rsid w:val="004E221B"/>
    <w:rsid w:val="004E33C1"/>
    <w:rsid w:val="004E3682"/>
    <w:rsid w:val="004E3932"/>
    <w:rsid w:val="004E4DE1"/>
    <w:rsid w:val="004E61CE"/>
    <w:rsid w:val="004F0D95"/>
    <w:rsid w:val="004F1A33"/>
    <w:rsid w:val="004F1E79"/>
    <w:rsid w:val="004F495E"/>
    <w:rsid w:val="004F4A19"/>
    <w:rsid w:val="004F568F"/>
    <w:rsid w:val="004F5F33"/>
    <w:rsid w:val="004F5FCE"/>
    <w:rsid w:val="0050103A"/>
    <w:rsid w:val="00501A4C"/>
    <w:rsid w:val="005020FB"/>
    <w:rsid w:val="00504CBF"/>
    <w:rsid w:val="005050E2"/>
    <w:rsid w:val="00506817"/>
    <w:rsid w:val="005105D9"/>
    <w:rsid w:val="00510A58"/>
    <w:rsid w:val="00511B0F"/>
    <w:rsid w:val="00512614"/>
    <w:rsid w:val="0051287A"/>
    <w:rsid w:val="0051410B"/>
    <w:rsid w:val="00514DE7"/>
    <w:rsid w:val="005154F6"/>
    <w:rsid w:val="0052095A"/>
    <w:rsid w:val="00524D72"/>
    <w:rsid w:val="00526CD8"/>
    <w:rsid w:val="00530EEB"/>
    <w:rsid w:val="00533302"/>
    <w:rsid w:val="005349DF"/>
    <w:rsid w:val="00536721"/>
    <w:rsid w:val="00537DFE"/>
    <w:rsid w:val="00542B4F"/>
    <w:rsid w:val="0054313B"/>
    <w:rsid w:val="005458F0"/>
    <w:rsid w:val="00545E37"/>
    <w:rsid w:val="00546E52"/>
    <w:rsid w:val="005504C2"/>
    <w:rsid w:val="0055117A"/>
    <w:rsid w:val="005515B2"/>
    <w:rsid w:val="00552D98"/>
    <w:rsid w:val="00553465"/>
    <w:rsid w:val="0055388E"/>
    <w:rsid w:val="00555641"/>
    <w:rsid w:val="00557845"/>
    <w:rsid w:val="00571576"/>
    <w:rsid w:val="005754AE"/>
    <w:rsid w:val="005763D7"/>
    <w:rsid w:val="0057727E"/>
    <w:rsid w:val="005772F5"/>
    <w:rsid w:val="00577355"/>
    <w:rsid w:val="00577FB5"/>
    <w:rsid w:val="00581231"/>
    <w:rsid w:val="00583902"/>
    <w:rsid w:val="00584121"/>
    <w:rsid w:val="00584704"/>
    <w:rsid w:val="00584A91"/>
    <w:rsid w:val="005852D1"/>
    <w:rsid w:val="005867B4"/>
    <w:rsid w:val="00587A22"/>
    <w:rsid w:val="00587B49"/>
    <w:rsid w:val="00587E35"/>
    <w:rsid w:val="005908DD"/>
    <w:rsid w:val="00590AC6"/>
    <w:rsid w:val="00590F33"/>
    <w:rsid w:val="0059299D"/>
    <w:rsid w:val="00593754"/>
    <w:rsid w:val="00593CA4"/>
    <w:rsid w:val="005949F9"/>
    <w:rsid w:val="0059585D"/>
    <w:rsid w:val="00595C8C"/>
    <w:rsid w:val="0059672E"/>
    <w:rsid w:val="00596902"/>
    <w:rsid w:val="00597747"/>
    <w:rsid w:val="005A0CDA"/>
    <w:rsid w:val="005A4CDD"/>
    <w:rsid w:val="005A6C9B"/>
    <w:rsid w:val="005B042B"/>
    <w:rsid w:val="005B1010"/>
    <w:rsid w:val="005B283B"/>
    <w:rsid w:val="005B33A5"/>
    <w:rsid w:val="005B37E4"/>
    <w:rsid w:val="005B4219"/>
    <w:rsid w:val="005B57E4"/>
    <w:rsid w:val="005B5ABD"/>
    <w:rsid w:val="005B5DD1"/>
    <w:rsid w:val="005B6DB1"/>
    <w:rsid w:val="005B7798"/>
    <w:rsid w:val="005B7D60"/>
    <w:rsid w:val="005B7FC8"/>
    <w:rsid w:val="005C140A"/>
    <w:rsid w:val="005C2B42"/>
    <w:rsid w:val="005C30C4"/>
    <w:rsid w:val="005C3122"/>
    <w:rsid w:val="005C34BE"/>
    <w:rsid w:val="005C4AC6"/>
    <w:rsid w:val="005C52BD"/>
    <w:rsid w:val="005C6414"/>
    <w:rsid w:val="005C6763"/>
    <w:rsid w:val="005D3164"/>
    <w:rsid w:val="005D49B0"/>
    <w:rsid w:val="005E0344"/>
    <w:rsid w:val="005E17B4"/>
    <w:rsid w:val="005E211F"/>
    <w:rsid w:val="005E26A5"/>
    <w:rsid w:val="005E3470"/>
    <w:rsid w:val="005E363F"/>
    <w:rsid w:val="005E440B"/>
    <w:rsid w:val="005E6C44"/>
    <w:rsid w:val="005E71ED"/>
    <w:rsid w:val="005E73F2"/>
    <w:rsid w:val="005E7EF9"/>
    <w:rsid w:val="005E7FBC"/>
    <w:rsid w:val="005F0891"/>
    <w:rsid w:val="005F17B6"/>
    <w:rsid w:val="005F1C7D"/>
    <w:rsid w:val="005F2A15"/>
    <w:rsid w:val="005F2C85"/>
    <w:rsid w:val="005F4CCC"/>
    <w:rsid w:val="005F672E"/>
    <w:rsid w:val="006009D9"/>
    <w:rsid w:val="00605ADB"/>
    <w:rsid w:val="00606DEF"/>
    <w:rsid w:val="00606E20"/>
    <w:rsid w:val="00606F3C"/>
    <w:rsid w:val="00607C9E"/>
    <w:rsid w:val="00611C9F"/>
    <w:rsid w:val="00612A4C"/>
    <w:rsid w:val="00613480"/>
    <w:rsid w:val="00614D08"/>
    <w:rsid w:val="0061558D"/>
    <w:rsid w:val="00615E6E"/>
    <w:rsid w:val="006168B1"/>
    <w:rsid w:val="00620670"/>
    <w:rsid w:val="00620FD5"/>
    <w:rsid w:val="00621BBE"/>
    <w:rsid w:val="00621BF6"/>
    <w:rsid w:val="006222C1"/>
    <w:rsid w:val="00623523"/>
    <w:rsid w:val="00624063"/>
    <w:rsid w:val="006241E7"/>
    <w:rsid w:val="006251D5"/>
    <w:rsid w:val="00626CAA"/>
    <w:rsid w:val="00627555"/>
    <w:rsid w:val="00627809"/>
    <w:rsid w:val="00627B76"/>
    <w:rsid w:val="00631160"/>
    <w:rsid w:val="006316C4"/>
    <w:rsid w:val="006322A0"/>
    <w:rsid w:val="00634292"/>
    <w:rsid w:val="00634AFB"/>
    <w:rsid w:val="00634DC8"/>
    <w:rsid w:val="00635AFC"/>
    <w:rsid w:val="006361FD"/>
    <w:rsid w:val="00636505"/>
    <w:rsid w:val="00637B24"/>
    <w:rsid w:val="00640B08"/>
    <w:rsid w:val="0064226F"/>
    <w:rsid w:val="0064270B"/>
    <w:rsid w:val="00644B3A"/>
    <w:rsid w:val="006464F9"/>
    <w:rsid w:val="0064745E"/>
    <w:rsid w:val="006474AE"/>
    <w:rsid w:val="00650502"/>
    <w:rsid w:val="00650861"/>
    <w:rsid w:val="00651963"/>
    <w:rsid w:val="00653298"/>
    <w:rsid w:val="00656341"/>
    <w:rsid w:val="00657E95"/>
    <w:rsid w:val="00660BEB"/>
    <w:rsid w:val="00660F88"/>
    <w:rsid w:val="00662470"/>
    <w:rsid w:val="006633EF"/>
    <w:rsid w:val="00663A7C"/>
    <w:rsid w:val="0066404C"/>
    <w:rsid w:val="00667DF2"/>
    <w:rsid w:val="00670BC1"/>
    <w:rsid w:val="00670DF1"/>
    <w:rsid w:val="00671345"/>
    <w:rsid w:val="00671E64"/>
    <w:rsid w:val="00672A9B"/>
    <w:rsid w:val="00674646"/>
    <w:rsid w:val="006748DA"/>
    <w:rsid w:val="00675884"/>
    <w:rsid w:val="00676F42"/>
    <w:rsid w:val="00677F22"/>
    <w:rsid w:val="006806A6"/>
    <w:rsid w:val="006820DB"/>
    <w:rsid w:val="0068657D"/>
    <w:rsid w:val="00687A4E"/>
    <w:rsid w:val="0069108E"/>
    <w:rsid w:val="006919EA"/>
    <w:rsid w:val="00693A7A"/>
    <w:rsid w:val="006944BA"/>
    <w:rsid w:val="00695E8A"/>
    <w:rsid w:val="006966CA"/>
    <w:rsid w:val="00696D09"/>
    <w:rsid w:val="00696EDA"/>
    <w:rsid w:val="00696EE0"/>
    <w:rsid w:val="00697980"/>
    <w:rsid w:val="006A0F00"/>
    <w:rsid w:val="006A114E"/>
    <w:rsid w:val="006A19EF"/>
    <w:rsid w:val="006A43D5"/>
    <w:rsid w:val="006A525B"/>
    <w:rsid w:val="006A61D0"/>
    <w:rsid w:val="006A7DCA"/>
    <w:rsid w:val="006B1342"/>
    <w:rsid w:val="006B2284"/>
    <w:rsid w:val="006B3BDF"/>
    <w:rsid w:val="006B5201"/>
    <w:rsid w:val="006B6327"/>
    <w:rsid w:val="006C0211"/>
    <w:rsid w:val="006C045F"/>
    <w:rsid w:val="006C0751"/>
    <w:rsid w:val="006C0E0E"/>
    <w:rsid w:val="006C113A"/>
    <w:rsid w:val="006C1F6A"/>
    <w:rsid w:val="006C3893"/>
    <w:rsid w:val="006C4196"/>
    <w:rsid w:val="006C510C"/>
    <w:rsid w:val="006C63B0"/>
    <w:rsid w:val="006C66E1"/>
    <w:rsid w:val="006C76A2"/>
    <w:rsid w:val="006C792E"/>
    <w:rsid w:val="006C7AE5"/>
    <w:rsid w:val="006D116C"/>
    <w:rsid w:val="006D1A98"/>
    <w:rsid w:val="006D2C75"/>
    <w:rsid w:val="006D39D4"/>
    <w:rsid w:val="006D3F7B"/>
    <w:rsid w:val="006D4238"/>
    <w:rsid w:val="006D6209"/>
    <w:rsid w:val="006D6EF9"/>
    <w:rsid w:val="006D754C"/>
    <w:rsid w:val="006D7575"/>
    <w:rsid w:val="006E200C"/>
    <w:rsid w:val="006E22C1"/>
    <w:rsid w:val="006E2793"/>
    <w:rsid w:val="006E6C26"/>
    <w:rsid w:val="006E7C42"/>
    <w:rsid w:val="006F0246"/>
    <w:rsid w:val="006F03CF"/>
    <w:rsid w:val="006F168A"/>
    <w:rsid w:val="006F5076"/>
    <w:rsid w:val="006F6009"/>
    <w:rsid w:val="007005EE"/>
    <w:rsid w:val="0070166F"/>
    <w:rsid w:val="00701884"/>
    <w:rsid w:val="0070321D"/>
    <w:rsid w:val="007068BA"/>
    <w:rsid w:val="007154C5"/>
    <w:rsid w:val="0071659E"/>
    <w:rsid w:val="00716AB1"/>
    <w:rsid w:val="007203C2"/>
    <w:rsid w:val="00721589"/>
    <w:rsid w:val="007218B4"/>
    <w:rsid w:val="00721D63"/>
    <w:rsid w:val="00721D9B"/>
    <w:rsid w:val="00723A00"/>
    <w:rsid w:val="00724096"/>
    <w:rsid w:val="0072433E"/>
    <w:rsid w:val="00724D5C"/>
    <w:rsid w:val="007253C7"/>
    <w:rsid w:val="00731C6B"/>
    <w:rsid w:val="0073202D"/>
    <w:rsid w:val="00732148"/>
    <w:rsid w:val="00732BD9"/>
    <w:rsid w:val="00732C7B"/>
    <w:rsid w:val="007332B5"/>
    <w:rsid w:val="00734335"/>
    <w:rsid w:val="00734D2B"/>
    <w:rsid w:val="0073616F"/>
    <w:rsid w:val="007370D3"/>
    <w:rsid w:val="007375A7"/>
    <w:rsid w:val="00737705"/>
    <w:rsid w:val="00737D29"/>
    <w:rsid w:val="007405B2"/>
    <w:rsid w:val="007408D4"/>
    <w:rsid w:val="0074153C"/>
    <w:rsid w:val="007420AC"/>
    <w:rsid w:val="00742617"/>
    <w:rsid w:val="00743D93"/>
    <w:rsid w:val="00751E51"/>
    <w:rsid w:val="00751EC1"/>
    <w:rsid w:val="00754A60"/>
    <w:rsid w:val="00756647"/>
    <w:rsid w:val="00756A95"/>
    <w:rsid w:val="00756B3D"/>
    <w:rsid w:val="007578CB"/>
    <w:rsid w:val="00757B18"/>
    <w:rsid w:val="0076177C"/>
    <w:rsid w:val="00761DD3"/>
    <w:rsid w:val="0076253D"/>
    <w:rsid w:val="00762D55"/>
    <w:rsid w:val="007631B3"/>
    <w:rsid w:val="00763670"/>
    <w:rsid w:val="00763B4D"/>
    <w:rsid w:val="00764893"/>
    <w:rsid w:val="007661F7"/>
    <w:rsid w:val="007701F7"/>
    <w:rsid w:val="00770DFE"/>
    <w:rsid w:val="00774570"/>
    <w:rsid w:val="00776CEE"/>
    <w:rsid w:val="0078026D"/>
    <w:rsid w:val="007817E7"/>
    <w:rsid w:val="007819B1"/>
    <w:rsid w:val="00782386"/>
    <w:rsid w:val="00782C2C"/>
    <w:rsid w:val="00783AFA"/>
    <w:rsid w:val="00785427"/>
    <w:rsid w:val="00785EEE"/>
    <w:rsid w:val="00786B14"/>
    <w:rsid w:val="00790540"/>
    <w:rsid w:val="00790FDC"/>
    <w:rsid w:val="00791C29"/>
    <w:rsid w:val="007951A8"/>
    <w:rsid w:val="007956AD"/>
    <w:rsid w:val="0079669B"/>
    <w:rsid w:val="007968CA"/>
    <w:rsid w:val="00797917"/>
    <w:rsid w:val="007A0BD4"/>
    <w:rsid w:val="007A0FA3"/>
    <w:rsid w:val="007A1E21"/>
    <w:rsid w:val="007A283E"/>
    <w:rsid w:val="007A3044"/>
    <w:rsid w:val="007A43FF"/>
    <w:rsid w:val="007A4A68"/>
    <w:rsid w:val="007B312E"/>
    <w:rsid w:val="007B3918"/>
    <w:rsid w:val="007B48F0"/>
    <w:rsid w:val="007B6012"/>
    <w:rsid w:val="007B6927"/>
    <w:rsid w:val="007C003D"/>
    <w:rsid w:val="007C09A9"/>
    <w:rsid w:val="007C0AD9"/>
    <w:rsid w:val="007C1AF7"/>
    <w:rsid w:val="007C1C08"/>
    <w:rsid w:val="007C282A"/>
    <w:rsid w:val="007C2DBC"/>
    <w:rsid w:val="007C3C1D"/>
    <w:rsid w:val="007C3F04"/>
    <w:rsid w:val="007C4031"/>
    <w:rsid w:val="007C55B0"/>
    <w:rsid w:val="007D055C"/>
    <w:rsid w:val="007D199A"/>
    <w:rsid w:val="007D2EBE"/>
    <w:rsid w:val="007D5089"/>
    <w:rsid w:val="007D6010"/>
    <w:rsid w:val="007E00FD"/>
    <w:rsid w:val="007E1A31"/>
    <w:rsid w:val="007E1C07"/>
    <w:rsid w:val="007E38E9"/>
    <w:rsid w:val="007E3A2D"/>
    <w:rsid w:val="007E59B0"/>
    <w:rsid w:val="007E59F3"/>
    <w:rsid w:val="007E66CB"/>
    <w:rsid w:val="007E7027"/>
    <w:rsid w:val="007F1590"/>
    <w:rsid w:val="007F24B6"/>
    <w:rsid w:val="007F2A70"/>
    <w:rsid w:val="007F313B"/>
    <w:rsid w:val="007F3E51"/>
    <w:rsid w:val="007F4FFD"/>
    <w:rsid w:val="007F5B0C"/>
    <w:rsid w:val="007F5EFE"/>
    <w:rsid w:val="007F6460"/>
    <w:rsid w:val="007F6A6F"/>
    <w:rsid w:val="007F72D8"/>
    <w:rsid w:val="00801521"/>
    <w:rsid w:val="00802442"/>
    <w:rsid w:val="00802B5A"/>
    <w:rsid w:val="00803D94"/>
    <w:rsid w:val="00803FA3"/>
    <w:rsid w:val="00806D68"/>
    <w:rsid w:val="008077D3"/>
    <w:rsid w:val="0081165D"/>
    <w:rsid w:val="00812285"/>
    <w:rsid w:val="00812661"/>
    <w:rsid w:val="008168DE"/>
    <w:rsid w:val="008214CB"/>
    <w:rsid w:val="00821B40"/>
    <w:rsid w:val="008229BA"/>
    <w:rsid w:val="00822B72"/>
    <w:rsid w:val="0082341B"/>
    <w:rsid w:val="00823F3D"/>
    <w:rsid w:val="008253BA"/>
    <w:rsid w:val="00826856"/>
    <w:rsid w:val="00826ACA"/>
    <w:rsid w:val="00827853"/>
    <w:rsid w:val="008279F0"/>
    <w:rsid w:val="00830267"/>
    <w:rsid w:val="00832514"/>
    <w:rsid w:val="00833F68"/>
    <w:rsid w:val="00836A67"/>
    <w:rsid w:val="0084348A"/>
    <w:rsid w:val="00844DC5"/>
    <w:rsid w:val="00845390"/>
    <w:rsid w:val="00845415"/>
    <w:rsid w:val="008458AF"/>
    <w:rsid w:val="0084601B"/>
    <w:rsid w:val="00850F49"/>
    <w:rsid w:val="00850FA8"/>
    <w:rsid w:val="00852DC3"/>
    <w:rsid w:val="00853784"/>
    <w:rsid w:val="008574BE"/>
    <w:rsid w:val="008606C4"/>
    <w:rsid w:val="008606F0"/>
    <w:rsid w:val="008609D2"/>
    <w:rsid w:val="008620A6"/>
    <w:rsid w:val="008620BC"/>
    <w:rsid w:val="008636BD"/>
    <w:rsid w:val="00864C9B"/>
    <w:rsid w:val="00865489"/>
    <w:rsid w:val="0086553D"/>
    <w:rsid w:val="0087134D"/>
    <w:rsid w:val="008718AC"/>
    <w:rsid w:val="00871F71"/>
    <w:rsid w:val="00872C58"/>
    <w:rsid w:val="00872E13"/>
    <w:rsid w:val="00874FEB"/>
    <w:rsid w:val="00875F95"/>
    <w:rsid w:val="0087620C"/>
    <w:rsid w:val="00876D8F"/>
    <w:rsid w:val="0087782B"/>
    <w:rsid w:val="0088113F"/>
    <w:rsid w:val="00881B6F"/>
    <w:rsid w:val="00882888"/>
    <w:rsid w:val="00882AA4"/>
    <w:rsid w:val="008830EE"/>
    <w:rsid w:val="00883E22"/>
    <w:rsid w:val="00883EB5"/>
    <w:rsid w:val="00884E43"/>
    <w:rsid w:val="00885828"/>
    <w:rsid w:val="0088731F"/>
    <w:rsid w:val="0088740E"/>
    <w:rsid w:val="00887EC6"/>
    <w:rsid w:val="0089084C"/>
    <w:rsid w:val="00891BE4"/>
    <w:rsid w:val="00893409"/>
    <w:rsid w:val="00893D9F"/>
    <w:rsid w:val="00894E1B"/>
    <w:rsid w:val="00895281"/>
    <w:rsid w:val="00895B4F"/>
    <w:rsid w:val="008967CE"/>
    <w:rsid w:val="008A16BB"/>
    <w:rsid w:val="008A2379"/>
    <w:rsid w:val="008A24F9"/>
    <w:rsid w:val="008A2AF9"/>
    <w:rsid w:val="008A2C7E"/>
    <w:rsid w:val="008A376F"/>
    <w:rsid w:val="008A4329"/>
    <w:rsid w:val="008A5702"/>
    <w:rsid w:val="008A578E"/>
    <w:rsid w:val="008A67B5"/>
    <w:rsid w:val="008A7222"/>
    <w:rsid w:val="008A7CE7"/>
    <w:rsid w:val="008B1519"/>
    <w:rsid w:val="008B278E"/>
    <w:rsid w:val="008B3FF1"/>
    <w:rsid w:val="008B640D"/>
    <w:rsid w:val="008B699B"/>
    <w:rsid w:val="008B69E3"/>
    <w:rsid w:val="008B7BCC"/>
    <w:rsid w:val="008C086E"/>
    <w:rsid w:val="008C1940"/>
    <w:rsid w:val="008C2990"/>
    <w:rsid w:val="008C3EC9"/>
    <w:rsid w:val="008C4EF6"/>
    <w:rsid w:val="008C50C3"/>
    <w:rsid w:val="008C5995"/>
    <w:rsid w:val="008C7094"/>
    <w:rsid w:val="008D0B31"/>
    <w:rsid w:val="008D2B97"/>
    <w:rsid w:val="008D3883"/>
    <w:rsid w:val="008D49A5"/>
    <w:rsid w:val="008D54BE"/>
    <w:rsid w:val="008D5D7A"/>
    <w:rsid w:val="008D6C81"/>
    <w:rsid w:val="008D7016"/>
    <w:rsid w:val="008E064B"/>
    <w:rsid w:val="008E281A"/>
    <w:rsid w:val="008E6CF0"/>
    <w:rsid w:val="008F0DDB"/>
    <w:rsid w:val="008F1439"/>
    <w:rsid w:val="008F5415"/>
    <w:rsid w:val="008F552E"/>
    <w:rsid w:val="008F5B38"/>
    <w:rsid w:val="008F660E"/>
    <w:rsid w:val="008F7051"/>
    <w:rsid w:val="008F75EF"/>
    <w:rsid w:val="00900415"/>
    <w:rsid w:val="0090134C"/>
    <w:rsid w:val="00901937"/>
    <w:rsid w:val="00902C25"/>
    <w:rsid w:val="0090315A"/>
    <w:rsid w:val="009033A9"/>
    <w:rsid w:val="00904017"/>
    <w:rsid w:val="00904152"/>
    <w:rsid w:val="0090581D"/>
    <w:rsid w:val="00910F45"/>
    <w:rsid w:val="00912484"/>
    <w:rsid w:val="0091439C"/>
    <w:rsid w:val="0091513A"/>
    <w:rsid w:val="009164BF"/>
    <w:rsid w:val="00916954"/>
    <w:rsid w:val="00920572"/>
    <w:rsid w:val="00920BF2"/>
    <w:rsid w:val="009219A0"/>
    <w:rsid w:val="00923B94"/>
    <w:rsid w:val="00924C53"/>
    <w:rsid w:val="009250B2"/>
    <w:rsid w:val="00926DE4"/>
    <w:rsid w:val="0092798A"/>
    <w:rsid w:val="00930000"/>
    <w:rsid w:val="00932290"/>
    <w:rsid w:val="009327B1"/>
    <w:rsid w:val="00932DE5"/>
    <w:rsid w:val="00933E84"/>
    <w:rsid w:val="0093400A"/>
    <w:rsid w:val="009349A9"/>
    <w:rsid w:val="0093647F"/>
    <w:rsid w:val="00936C52"/>
    <w:rsid w:val="009375CF"/>
    <w:rsid w:val="00940161"/>
    <w:rsid w:val="00940930"/>
    <w:rsid w:val="00940B3B"/>
    <w:rsid w:val="0094115F"/>
    <w:rsid w:val="00941FDC"/>
    <w:rsid w:val="00945C97"/>
    <w:rsid w:val="00947625"/>
    <w:rsid w:val="009515E3"/>
    <w:rsid w:val="0095420E"/>
    <w:rsid w:val="0095489B"/>
    <w:rsid w:val="00956D59"/>
    <w:rsid w:val="0096053F"/>
    <w:rsid w:val="009624E6"/>
    <w:rsid w:val="00963B00"/>
    <w:rsid w:val="00964383"/>
    <w:rsid w:val="0096627C"/>
    <w:rsid w:val="00966C82"/>
    <w:rsid w:val="00966FB9"/>
    <w:rsid w:val="009671CD"/>
    <w:rsid w:val="00967530"/>
    <w:rsid w:val="009704A8"/>
    <w:rsid w:val="00972B41"/>
    <w:rsid w:val="009751A9"/>
    <w:rsid w:val="00977663"/>
    <w:rsid w:val="00980379"/>
    <w:rsid w:val="009804AB"/>
    <w:rsid w:val="00980F9C"/>
    <w:rsid w:val="00981677"/>
    <w:rsid w:val="0098178E"/>
    <w:rsid w:val="00981AE2"/>
    <w:rsid w:val="00981C55"/>
    <w:rsid w:val="00981C9B"/>
    <w:rsid w:val="00982E94"/>
    <w:rsid w:val="00984033"/>
    <w:rsid w:val="00984090"/>
    <w:rsid w:val="009848AB"/>
    <w:rsid w:val="00984EB8"/>
    <w:rsid w:val="009859B1"/>
    <w:rsid w:val="00985D36"/>
    <w:rsid w:val="0098632B"/>
    <w:rsid w:val="00986E84"/>
    <w:rsid w:val="00987B02"/>
    <w:rsid w:val="00990077"/>
    <w:rsid w:val="00990F0D"/>
    <w:rsid w:val="009914C0"/>
    <w:rsid w:val="00991FA8"/>
    <w:rsid w:val="00992144"/>
    <w:rsid w:val="00994608"/>
    <w:rsid w:val="00996F31"/>
    <w:rsid w:val="00997BFB"/>
    <w:rsid w:val="009A60E5"/>
    <w:rsid w:val="009A7348"/>
    <w:rsid w:val="009A79DC"/>
    <w:rsid w:val="009B01A3"/>
    <w:rsid w:val="009B05E6"/>
    <w:rsid w:val="009B0E47"/>
    <w:rsid w:val="009B2C47"/>
    <w:rsid w:val="009B3288"/>
    <w:rsid w:val="009B3406"/>
    <w:rsid w:val="009B462C"/>
    <w:rsid w:val="009B4C43"/>
    <w:rsid w:val="009B5235"/>
    <w:rsid w:val="009B6F09"/>
    <w:rsid w:val="009B750F"/>
    <w:rsid w:val="009C0101"/>
    <w:rsid w:val="009C063C"/>
    <w:rsid w:val="009C15F3"/>
    <w:rsid w:val="009C46AE"/>
    <w:rsid w:val="009C599B"/>
    <w:rsid w:val="009C7361"/>
    <w:rsid w:val="009C7A7C"/>
    <w:rsid w:val="009D024C"/>
    <w:rsid w:val="009D04C3"/>
    <w:rsid w:val="009D0871"/>
    <w:rsid w:val="009D3FBA"/>
    <w:rsid w:val="009D5CD8"/>
    <w:rsid w:val="009D66EF"/>
    <w:rsid w:val="009D6DCD"/>
    <w:rsid w:val="009D7688"/>
    <w:rsid w:val="009E07C2"/>
    <w:rsid w:val="009E0E52"/>
    <w:rsid w:val="009E36F5"/>
    <w:rsid w:val="009E3A37"/>
    <w:rsid w:val="009E490F"/>
    <w:rsid w:val="009E5BE8"/>
    <w:rsid w:val="009F4202"/>
    <w:rsid w:val="009F4EBC"/>
    <w:rsid w:val="009F50A9"/>
    <w:rsid w:val="009F6EE1"/>
    <w:rsid w:val="009F72F9"/>
    <w:rsid w:val="009F7C88"/>
    <w:rsid w:val="00A00205"/>
    <w:rsid w:val="00A0096E"/>
    <w:rsid w:val="00A00AF0"/>
    <w:rsid w:val="00A0161A"/>
    <w:rsid w:val="00A02598"/>
    <w:rsid w:val="00A0282F"/>
    <w:rsid w:val="00A02E97"/>
    <w:rsid w:val="00A033D4"/>
    <w:rsid w:val="00A035A4"/>
    <w:rsid w:val="00A03945"/>
    <w:rsid w:val="00A05249"/>
    <w:rsid w:val="00A07755"/>
    <w:rsid w:val="00A07CAA"/>
    <w:rsid w:val="00A10461"/>
    <w:rsid w:val="00A11962"/>
    <w:rsid w:val="00A11993"/>
    <w:rsid w:val="00A11AF1"/>
    <w:rsid w:val="00A14B5A"/>
    <w:rsid w:val="00A1568A"/>
    <w:rsid w:val="00A17985"/>
    <w:rsid w:val="00A21042"/>
    <w:rsid w:val="00A218E3"/>
    <w:rsid w:val="00A219CA"/>
    <w:rsid w:val="00A2243D"/>
    <w:rsid w:val="00A228D8"/>
    <w:rsid w:val="00A23D38"/>
    <w:rsid w:val="00A2428F"/>
    <w:rsid w:val="00A248CA"/>
    <w:rsid w:val="00A25233"/>
    <w:rsid w:val="00A27DF0"/>
    <w:rsid w:val="00A302CA"/>
    <w:rsid w:val="00A32A46"/>
    <w:rsid w:val="00A32CF9"/>
    <w:rsid w:val="00A3331A"/>
    <w:rsid w:val="00A349B2"/>
    <w:rsid w:val="00A35080"/>
    <w:rsid w:val="00A3567F"/>
    <w:rsid w:val="00A36F20"/>
    <w:rsid w:val="00A37698"/>
    <w:rsid w:val="00A37F8E"/>
    <w:rsid w:val="00A4048C"/>
    <w:rsid w:val="00A41ED3"/>
    <w:rsid w:val="00A426BF"/>
    <w:rsid w:val="00A427E2"/>
    <w:rsid w:val="00A43DE4"/>
    <w:rsid w:val="00A45056"/>
    <w:rsid w:val="00A46B0D"/>
    <w:rsid w:val="00A47B85"/>
    <w:rsid w:val="00A47CF9"/>
    <w:rsid w:val="00A522FE"/>
    <w:rsid w:val="00A52990"/>
    <w:rsid w:val="00A52A45"/>
    <w:rsid w:val="00A533C3"/>
    <w:rsid w:val="00A537FE"/>
    <w:rsid w:val="00A54115"/>
    <w:rsid w:val="00A54176"/>
    <w:rsid w:val="00A5481B"/>
    <w:rsid w:val="00A54E47"/>
    <w:rsid w:val="00A55852"/>
    <w:rsid w:val="00A56411"/>
    <w:rsid w:val="00A56C01"/>
    <w:rsid w:val="00A6001A"/>
    <w:rsid w:val="00A630A5"/>
    <w:rsid w:val="00A632E4"/>
    <w:rsid w:val="00A6412E"/>
    <w:rsid w:val="00A64C35"/>
    <w:rsid w:val="00A66219"/>
    <w:rsid w:val="00A715A1"/>
    <w:rsid w:val="00A7382A"/>
    <w:rsid w:val="00A818B8"/>
    <w:rsid w:val="00A81D82"/>
    <w:rsid w:val="00A830E4"/>
    <w:rsid w:val="00A85B06"/>
    <w:rsid w:val="00A8606E"/>
    <w:rsid w:val="00A861E1"/>
    <w:rsid w:val="00A86C56"/>
    <w:rsid w:val="00A87D9F"/>
    <w:rsid w:val="00A921BE"/>
    <w:rsid w:val="00A9293E"/>
    <w:rsid w:val="00A93E33"/>
    <w:rsid w:val="00A94876"/>
    <w:rsid w:val="00A95455"/>
    <w:rsid w:val="00AA0B41"/>
    <w:rsid w:val="00AA0D1B"/>
    <w:rsid w:val="00AA2801"/>
    <w:rsid w:val="00AA352C"/>
    <w:rsid w:val="00AA5404"/>
    <w:rsid w:val="00AA6D10"/>
    <w:rsid w:val="00AA785A"/>
    <w:rsid w:val="00AB113E"/>
    <w:rsid w:val="00AB12AD"/>
    <w:rsid w:val="00AB2ED8"/>
    <w:rsid w:val="00AB3163"/>
    <w:rsid w:val="00AB4683"/>
    <w:rsid w:val="00AB4699"/>
    <w:rsid w:val="00AB4C7C"/>
    <w:rsid w:val="00AB6728"/>
    <w:rsid w:val="00AB6970"/>
    <w:rsid w:val="00AC1939"/>
    <w:rsid w:val="00AC4514"/>
    <w:rsid w:val="00AC5F00"/>
    <w:rsid w:val="00AC62F4"/>
    <w:rsid w:val="00AC7C05"/>
    <w:rsid w:val="00AD06C4"/>
    <w:rsid w:val="00AD0C05"/>
    <w:rsid w:val="00AD136D"/>
    <w:rsid w:val="00AD167C"/>
    <w:rsid w:val="00AD17C7"/>
    <w:rsid w:val="00AD1D6C"/>
    <w:rsid w:val="00AD2C0C"/>
    <w:rsid w:val="00AD4041"/>
    <w:rsid w:val="00AD5817"/>
    <w:rsid w:val="00AD78FC"/>
    <w:rsid w:val="00AE302B"/>
    <w:rsid w:val="00AE35F9"/>
    <w:rsid w:val="00AE4C86"/>
    <w:rsid w:val="00AE4F54"/>
    <w:rsid w:val="00AF1243"/>
    <w:rsid w:val="00AF15AD"/>
    <w:rsid w:val="00AF31F0"/>
    <w:rsid w:val="00AF3AD4"/>
    <w:rsid w:val="00AF7615"/>
    <w:rsid w:val="00B03A19"/>
    <w:rsid w:val="00B0408F"/>
    <w:rsid w:val="00B0569D"/>
    <w:rsid w:val="00B058FD"/>
    <w:rsid w:val="00B079ED"/>
    <w:rsid w:val="00B11871"/>
    <w:rsid w:val="00B13020"/>
    <w:rsid w:val="00B13A1C"/>
    <w:rsid w:val="00B13E69"/>
    <w:rsid w:val="00B141A2"/>
    <w:rsid w:val="00B15AD3"/>
    <w:rsid w:val="00B15D39"/>
    <w:rsid w:val="00B16021"/>
    <w:rsid w:val="00B210DC"/>
    <w:rsid w:val="00B21231"/>
    <w:rsid w:val="00B22476"/>
    <w:rsid w:val="00B253AD"/>
    <w:rsid w:val="00B259DF"/>
    <w:rsid w:val="00B25B69"/>
    <w:rsid w:val="00B27AE2"/>
    <w:rsid w:val="00B312DC"/>
    <w:rsid w:val="00B321CF"/>
    <w:rsid w:val="00B329A2"/>
    <w:rsid w:val="00B32B13"/>
    <w:rsid w:val="00B36106"/>
    <w:rsid w:val="00B37C5E"/>
    <w:rsid w:val="00B40A32"/>
    <w:rsid w:val="00B415E6"/>
    <w:rsid w:val="00B41F7A"/>
    <w:rsid w:val="00B43305"/>
    <w:rsid w:val="00B44255"/>
    <w:rsid w:val="00B44B1F"/>
    <w:rsid w:val="00B44C98"/>
    <w:rsid w:val="00B45796"/>
    <w:rsid w:val="00B45A3D"/>
    <w:rsid w:val="00B460E6"/>
    <w:rsid w:val="00B461B9"/>
    <w:rsid w:val="00B46691"/>
    <w:rsid w:val="00B50450"/>
    <w:rsid w:val="00B5157B"/>
    <w:rsid w:val="00B518B5"/>
    <w:rsid w:val="00B52654"/>
    <w:rsid w:val="00B56BC0"/>
    <w:rsid w:val="00B609F5"/>
    <w:rsid w:val="00B60CA3"/>
    <w:rsid w:val="00B61C73"/>
    <w:rsid w:val="00B6318D"/>
    <w:rsid w:val="00B63518"/>
    <w:rsid w:val="00B64127"/>
    <w:rsid w:val="00B64141"/>
    <w:rsid w:val="00B64E72"/>
    <w:rsid w:val="00B707D0"/>
    <w:rsid w:val="00B73194"/>
    <w:rsid w:val="00B74591"/>
    <w:rsid w:val="00B74D8D"/>
    <w:rsid w:val="00B75647"/>
    <w:rsid w:val="00B76E4F"/>
    <w:rsid w:val="00B77913"/>
    <w:rsid w:val="00B8096D"/>
    <w:rsid w:val="00B80DEF"/>
    <w:rsid w:val="00B818C6"/>
    <w:rsid w:val="00B824FB"/>
    <w:rsid w:val="00B82646"/>
    <w:rsid w:val="00B84CD5"/>
    <w:rsid w:val="00B912A1"/>
    <w:rsid w:val="00B91712"/>
    <w:rsid w:val="00B9171B"/>
    <w:rsid w:val="00B92E1A"/>
    <w:rsid w:val="00B93ECE"/>
    <w:rsid w:val="00B97359"/>
    <w:rsid w:val="00B97A8F"/>
    <w:rsid w:val="00BA023B"/>
    <w:rsid w:val="00BA0C11"/>
    <w:rsid w:val="00BA1638"/>
    <w:rsid w:val="00BA16E3"/>
    <w:rsid w:val="00BA20EB"/>
    <w:rsid w:val="00BA2DD7"/>
    <w:rsid w:val="00BA4601"/>
    <w:rsid w:val="00BA4E58"/>
    <w:rsid w:val="00BA5126"/>
    <w:rsid w:val="00BA7074"/>
    <w:rsid w:val="00BB0EAE"/>
    <w:rsid w:val="00BB16AF"/>
    <w:rsid w:val="00BB2BAA"/>
    <w:rsid w:val="00BB3C27"/>
    <w:rsid w:val="00BB582D"/>
    <w:rsid w:val="00BB5EBA"/>
    <w:rsid w:val="00BB62DE"/>
    <w:rsid w:val="00BB6E07"/>
    <w:rsid w:val="00BB7829"/>
    <w:rsid w:val="00BB7D08"/>
    <w:rsid w:val="00BB7EF2"/>
    <w:rsid w:val="00BC0CE8"/>
    <w:rsid w:val="00BC2495"/>
    <w:rsid w:val="00BC3CD4"/>
    <w:rsid w:val="00BC44EB"/>
    <w:rsid w:val="00BC4B44"/>
    <w:rsid w:val="00BC795E"/>
    <w:rsid w:val="00BD0486"/>
    <w:rsid w:val="00BD0C54"/>
    <w:rsid w:val="00BD1457"/>
    <w:rsid w:val="00BD1692"/>
    <w:rsid w:val="00BD23CD"/>
    <w:rsid w:val="00BD3825"/>
    <w:rsid w:val="00BD66E6"/>
    <w:rsid w:val="00BD67FF"/>
    <w:rsid w:val="00BE24C5"/>
    <w:rsid w:val="00BE27B9"/>
    <w:rsid w:val="00BE2AD9"/>
    <w:rsid w:val="00BE3145"/>
    <w:rsid w:val="00BE537B"/>
    <w:rsid w:val="00BE5F99"/>
    <w:rsid w:val="00BF27FE"/>
    <w:rsid w:val="00BF4526"/>
    <w:rsid w:val="00BF4B10"/>
    <w:rsid w:val="00BF67A7"/>
    <w:rsid w:val="00C02019"/>
    <w:rsid w:val="00C02098"/>
    <w:rsid w:val="00C03CD7"/>
    <w:rsid w:val="00C043B3"/>
    <w:rsid w:val="00C048ED"/>
    <w:rsid w:val="00C04F52"/>
    <w:rsid w:val="00C061B8"/>
    <w:rsid w:val="00C0693E"/>
    <w:rsid w:val="00C079AB"/>
    <w:rsid w:val="00C079CC"/>
    <w:rsid w:val="00C079FA"/>
    <w:rsid w:val="00C10E61"/>
    <w:rsid w:val="00C11AB9"/>
    <w:rsid w:val="00C123C4"/>
    <w:rsid w:val="00C14787"/>
    <w:rsid w:val="00C1596D"/>
    <w:rsid w:val="00C15A4B"/>
    <w:rsid w:val="00C15B8D"/>
    <w:rsid w:val="00C17010"/>
    <w:rsid w:val="00C1746D"/>
    <w:rsid w:val="00C178C8"/>
    <w:rsid w:val="00C17EB7"/>
    <w:rsid w:val="00C20562"/>
    <w:rsid w:val="00C215C3"/>
    <w:rsid w:val="00C23A96"/>
    <w:rsid w:val="00C23F7C"/>
    <w:rsid w:val="00C249C6"/>
    <w:rsid w:val="00C24AAB"/>
    <w:rsid w:val="00C255B1"/>
    <w:rsid w:val="00C25D60"/>
    <w:rsid w:val="00C27DA6"/>
    <w:rsid w:val="00C3086E"/>
    <w:rsid w:val="00C31BE6"/>
    <w:rsid w:val="00C32CC1"/>
    <w:rsid w:val="00C33EE6"/>
    <w:rsid w:val="00C34F11"/>
    <w:rsid w:val="00C35D86"/>
    <w:rsid w:val="00C37F2E"/>
    <w:rsid w:val="00C426EC"/>
    <w:rsid w:val="00C43957"/>
    <w:rsid w:val="00C4526B"/>
    <w:rsid w:val="00C477C6"/>
    <w:rsid w:val="00C47B28"/>
    <w:rsid w:val="00C53AF8"/>
    <w:rsid w:val="00C53B86"/>
    <w:rsid w:val="00C55E4D"/>
    <w:rsid w:val="00C56043"/>
    <w:rsid w:val="00C5687E"/>
    <w:rsid w:val="00C56C08"/>
    <w:rsid w:val="00C63B22"/>
    <w:rsid w:val="00C6483C"/>
    <w:rsid w:val="00C64AE9"/>
    <w:rsid w:val="00C65E54"/>
    <w:rsid w:val="00C66366"/>
    <w:rsid w:val="00C70569"/>
    <w:rsid w:val="00C706C6"/>
    <w:rsid w:val="00C70CFF"/>
    <w:rsid w:val="00C718FE"/>
    <w:rsid w:val="00C73B78"/>
    <w:rsid w:val="00C740A1"/>
    <w:rsid w:val="00C74406"/>
    <w:rsid w:val="00C7488B"/>
    <w:rsid w:val="00C750D0"/>
    <w:rsid w:val="00C756D8"/>
    <w:rsid w:val="00C75CC6"/>
    <w:rsid w:val="00C802B7"/>
    <w:rsid w:val="00C83A4E"/>
    <w:rsid w:val="00C83F71"/>
    <w:rsid w:val="00C854AF"/>
    <w:rsid w:val="00C85EEA"/>
    <w:rsid w:val="00C8773D"/>
    <w:rsid w:val="00C87ABB"/>
    <w:rsid w:val="00C901F3"/>
    <w:rsid w:val="00C9089D"/>
    <w:rsid w:val="00C91831"/>
    <w:rsid w:val="00C9284C"/>
    <w:rsid w:val="00C930E6"/>
    <w:rsid w:val="00C953DF"/>
    <w:rsid w:val="00C96B57"/>
    <w:rsid w:val="00C97F3B"/>
    <w:rsid w:val="00CA08D6"/>
    <w:rsid w:val="00CA123F"/>
    <w:rsid w:val="00CA1FEC"/>
    <w:rsid w:val="00CA28B0"/>
    <w:rsid w:val="00CA2905"/>
    <w:rsid w:val="00CA30AD"/>
    <w:rsid w:val="00CA4138"/>
    <w:rsid w:val="00CA6F4C"/>
    <w:rsid w:val="00CA7085"/>
    <w:rsid w:val="00CA7B44"/>
    <w:rsid w:val="00CB1E52"/>
    <w:rsid w:val="00CB25D4"/>
    <w:rsid w:val="00CB2FD7"/>
    <w:rsid w:val="00CB305F"/>
    <w:rsid w:val="00CB6A00"/>
    <w:rsid w:val="00CC125C"/>
    <w:rsid w:val="00CC22CF"/>
    <w:rsid w:val="00CC35CE"/>
    <w:rsid w:val="00CC777A"/>
    <w:rsid w:val="00CD09E8"/>
    <w:rsid w:val="00CD0AAC"/>
    <w:rsid w:val="00CD0D8D"/>
    <w:rsid w:val="00CD2CBC"/>
    <w:rsid w:val="00CD48E3"/>
    <w:rsid w:val="00CD5B33"/>
    <w:rsid w:val="00CD5C97"/>
    <w:rsid w:val="00CD79A2"/>
    <w:rsid w:val="00CE0419"/>
    <w:rsid w:val="00CE0A01"/>
    <w:rsid w:val="00CE1DB2"/>
    <w:rsid w:val="00CE2709"/>
    <w:rsid w:val="00CE2D64"/>
    <w:rsid w:val="00CE39B4"/>
    <w:rsid w:val="00CE3EAD"/>
    <w:rsid w:val="00CE4B4E"/>
    <w:rsid w:val="00CE4BF7"/>
    <w:rsid w:val="00CE5472"/>
    <w:rsid w:val="00CE6198"/>
    <w:rsid w:val="00CF0028"/>
    <w:rsid w:val="00CF0474"/>
    <w:rsid w:val="00CF1E33"/>
    <w:rsid w:val="00CF1FD3"/>
    <w:rsid w:val="00CF318C"/>
    <w:rsid w:val="00CF35F9"/>
    <w:rsid w:val="00CF3631"/>
    <w:rsid w:val="00CF3D3E"/>
    <w:rsid w:val="00CF415D"/>
    <w:rsid w:val="00CF6230"/>
    <w:rsid w:val="00D00553"/>
    <w:rsid w:val="00D006BE"/>
    <w:rsid w:val="00D015EC"/>
    <w:rsid w:val="00D017FC"/>
    <w:rsid w:val="00D0226A"/>
    <w:rsid w:val="00D02AC6"/>
    <w:rsid w:val="00D0341E"/>
    <w:rsid w:val="00D03AE4"/>
    <w:rsid w:val="00D040EC"/>
    <w:rsid w:val="00D04515"/>
    <w:rsid w:val="00D04EF0"/>
    <w:rsid w:val="00D06089"/>
    <w:rsid w:val="00D06704"/>
    <w:rsid w:val="00D06B2C"/>
    <w:rsid w:val="00D11F08"/>
    <w:rsid w:val="00D1256B"/>
    <w:rsid w:val="00D13147"/>
    <w:rsid w:val="00D1412C"/>
    <w:rsid w:val="00D1632E"/>
    <w:rsid w:val="00D24285"/>
    <w:rsid w:val="00D25946"/>
    <w:rsid w:val="00D263AB"/>
    <w:rsid w:val="00D27CA7"/>
    <w:rsid w:val="00D305E1"/>
    <w:rsid w:val="00D3379A"/>
    <w:rsid w:val="00D35702"/>
    <w:rsid w:val="00D357D7"/>
    <w:rsid w:val="00D360C8"/>
    <w:rsid w:val="00D40C02"/>
    <w:rsid w:val="00D41256"/>
    <w:rsid w:val="00D418E6"/>
    <w:rsid w:val="00D45CF6"/>
    <w:rsid w:val="00D51981"/>
    <w:rsid w:val="00D51EF4"/>
    <w:rsid w:val="00D525FA"/>
    <w:rsid w:val="00D541B7"/>
    <w:rsid w:val="00D56548"/>
    <w:rsid w:val="00D5715A"/>
    <w:rsid w:val="00D6142B"/>
    <w:rsid w:val="00D61F48"/>
    <w:rsid w:val="00D626BF"/>
    <w:rsid w:val="00D63E8E"/>
    <w:rsid w:val="00D648DC"/>
    <w:rsid w:val="00D65E63"/>
    <w:rsid w:val="00D66FF2"/>
    <w:rsid w:val="00D672F3"/>
    <w:rsid w:val="00D70F84"/>
    <w:rsid w:val="00D71687"/>
    <w:rsid w:val="00D741F4"/>
    <w:rsid w:val="00D74391"/>
    <w:rsid w:val="00D74813"/>
    <w:rsid w:val="00D74C03"/>
    <w:rsid w:val="00D7508A"/>
    <w:rsid w:val="00D7532A"/>
    <w:rsid w:val="00D778EC"/>
    <w:rsid w:val="00D8213E"/>
    <w:rsid w:val="00D837FD"/>
    <w:rsid w:val="00D86C8A"/>
    <w:rsid w:val="00D91E01"/>
    <w:rsid w:val="00D92CB0"/>
    <w:rsid w:val="00D945D1"/>
    <w:rsid w:val="00D94B01"/>
    <w:rsid w:val="00D95378"/>
    <w:rsid w:val="00DA086C"/>
    <w:rsid w:val="00DA30BC"/>
    <w:rsid w:val="00DA31D3"/>
    <w:rsid w:val="00DA69C2"/>
    <w:rsid w:val="00DA6D70"/>
    <w:rsid w:val="00DA7265"/>
    <w:rsid w:val="00DA7CCE"/>
    <w:rsid w:val="00DB6050"/>
    <w:rsid w:val="00DB6B0E"/>
    <w:rsid w:val="00DC2C34"/>
    <w:rsid w:val="00DC4909"/>
    <w:rsid w:val="00DC572F"/>
    <w:rsid w:val="00DC7B5F"/>
    <w:rsid w:val="00DD10E3"/>
    <w:rsid w:val="00DD1453"/>
    <w:rsid w:val="00DD17FE"/>
    <w:rsid w:val="00DD3138"/>
    <w:rsid w:val="00DD3C45"/>
    <w:rsid w:val="00DD48F9"/>
    <w:rsid w:val="00DD71F9"/>
    <w:rsid w:val="00DE1A18"/>
    <w:rsid w:val="00DE2C87"/>
    <w:rsid w:val="00DE2CCB"/>
    <w:rsid w:val="00DE459A"/>
    <w:rsid w:val="00DE4815"/>
    <w:rsid w:val="00DE64D7"/>
    <w:rsid w:val="00DE6AA6"/>
    <w:rsid w:val="00DF1CFE"/>
    <w:rsid w:val="00DF2744"/>
    <w:rsid w:val="00DF27DA"/>
    <w:rsid w:val="00DF2AB8"/>
    <w:rsid w:val="00DF3492"/>
    <w:rsid w:val="00DF373A"/>
    <w:rsid w:val="00DF4DBE"/>
    <w:rsid w:val="00DF7502"/>
    <w:rsid w:val="00E01077"/>
    <w:rsid w:val="00E02C13"/>
    <w:rsid w:val="00E036E9"/>
    <w:rsid w:val="00E0517A"/>
    <w:rsid w:val="00E060D2"/>
    <w:rsid w:val="00E07C60"/>
    <w:rsid w:val="00E102F1"/>
    <w:rsid w:val="00E114F4"/>
    <w:rsid w:val="00E14080"/>
    <w:rsid w:val="00E14291"/>
    <w:rsid w:val="00E151D1"/>
    <w:rsid w:val="00E16BDF"/>
    <w:rsid w:val="00E176D9"/>
    <w:rsid w:val="00E20B32"/>
    <w:rsid w:val="00E210B4"/>
    <w:rsid w:val="00E2126C"/>
    <w:rsid w:val="00E2165E"/>
    <w:rsid w:val="00E21FB7"/>
    <w:rsid w:val="00E221DC"/>
    <w:rsid w:val="00E23F73"/>
    <w:rsid w:val="00E24545"/>
    <w:rsid w:val="00E2471D"/>
    <w:rsid w:val="00E24FF5"/>
    <w:rsid w:val="00E30920"/>
    <w:rsid w:val="00E309C5"/>
    <w:rsid w:val="00E31C09"/>
    <w:rsid w:val="00E33281"/>
    <w:rsid w:val="00E34607"/>
    <w:rsid w:val="00E34FF4"/>
    <w:rsid w:val="00E35EDD"/>
    <w:rsid w:val="00E366B0"/>
    <w:rsid w:val="00E37339"/>
    <w:rsid w:val="00E37F7B"/>
    <w:rsid w:val="00E40820"/>
    <w:rsid w:val="00E40B34"/>
    <w:rsid w:val="00E41147"/>
    <w:rsid w:val="00E41A73"/>
    <w:rsid w:val="00E42BC1"/>
    <w:rsid w:val="00E43349"/>
    <w:rsid w:val="00E43CBE"/>
    <w:rsid w:val="00E4479F"/>
    <w:rsid w:val="00E4658F"/>
    <w:rsid w:val="00E46814"/>
    <w:rsid w:val="00E50894"/>
    <w:rsid w:val="00E50D66"/>
    <w:rsid w:val="00E539A9"/>
    <w:rsid w:val="00E54A67"/>
    <w:rsid w:val="00E54BB9"/>
    <w:rsid w:val="00E55CBC"/>
    <w:rsid w:val="00E55D59"/>
    <w:rsid w:val="00E55D6D"/>
    <w:rsid w:val="00E57DB9"/>
    <w:rsid w:val="00E60192"/>
    <w:rsid w:val="00E60777"/>
    <w:rsid w:val="00E61C0D"/>
    <w:rsid w:val="00E63B0B"/>
    <w:rsid w:val="00E63EB4"/>
    <w:rsid w:val="00E64912"/>
    <w:rsid w:val="00E65179"/>
    <w:rsid w:val="00E65A0D"/>
    <w:rsid w:val="00E65F96"/>
    <w:rsid w:val="00E66160"/>
    <w:rsid w:val="00E67022"/>
    <w:rsid w:val="00E701C6"/>
    <w:rsid w:val="00E709C7"/>
    <w:rsid w:val="00E71329"/>
    <w:rsid w:val="00E74C39"/>
    <w:rsid w:val="00E74EA0"/>
    <w:rsid w:val="00E75429"/>
    <w:rsid w:val="00E76BC1"/>
    <w:rsid w:val="00E813C3"/>
    <w:rsid w:val="00E81543"/>
    <w:rsid w:val="00E81D17"/>
    <w:rsid w:val="00E82F17"/>
    <w:rsid w:val="00E83127"/>
    <w:rsid w:val="00E8361B"/>
    <w:rsid w:val="00E8363B"/>
    <w:rsid w:val="00E84966"/>
    <w:rsid w:val="00E87230"/>
    <w:rsid w:val="00E90780"/>
    <w:rsid w:val="00E922EF"/>
    <w:rsid w:val="00E92383"/>
    <w:rsid w:val="00E9483F"/>
    <w:rsid w:val="00E9489D"/>
    <w:rsid w:val="00E963DC"/>
    <w:rsid w:val="00EA15A5"/>
    <w:rsid w:val="00EA1605"/>
    <w:rsid w:val="00EA1B3A"/>
    <w:rsid w:val="00EA2109"/>
    <w:rsid w:val="00EA2B7F"/>
    <w:rsid w:val="00EA658F"/>
    <w:rsid w:val="00EA675A"/>
    <w:rsid w:val="00EB0BFF"/>
    <w:rsid w:val="00EB2DC0"/>
    <w:rsid w:val="00EC48B2"/>
    <w:rsid w:val="00EC53B3"/>
    <w:rsid w:val="00EC7F32"/>
    <w:rsid w:val="00EC7FA9"/>
    <w:rsid w:val="00ED0D9B"/>
    <w:rsid w:val="00ED10A5"/>
    <w:rsid w:val="00ED3B42"/>
    <w:rsid w:val="00ED4B7E"/>
    <w:rsid w:val="00ED4D4E"/>
    <w:rsid w:val="00ED761E"/>
    <w:rsid w:val="00ED7A3A"/>
    <w:rsid w:val="00EE0C77"/>
    <w:rsid w:val="00EE30D0"/>
    <w:rsid w:val="00EE4DF6"/>
    <w:rsid w:val="00EE4E54"/>
    <w:rsid w:val="00EE7BD2"/>
    <w:rsid w:val="00EF0C4F"/>
    <w:rsid w:val="00EF1521"/>
    <w:rsid w:val="00EF16E3"/>
    <w:rsid w:val="00EF2D0E"/>
    <w:rsid w:val="00EF2DE8"/>
    <w:rsid w:val="00EF641F"/>
    <w:rsid w:val="00EF7948"/>
    <w:rsid w:val="00F05FFD"/>
    <w:rsid w:val="00F06034"/>
    <w:rsid w:val="00F0639B"/>
    <w:rsid w:val="00F0764C"/>
    <w:rsid w:val="00F078BD"/>
    <w:rsid w:val="00F12270"/>
    <w:rsid w:val="00F15CED"/>
    <w:rsid w:val="00F20050"/>
    <w:rsid w:val="00F206C7"/>
    <w:rsid w:val="00F22FE6"/>
    <w:rsid w:val="00F242AA"/>
    <w:rsid w:val="00F24523"/>
    <w:rsid w:val="00F24DE7"/>
    <w:rsid w:val="00F259CE"/>
    <w:rsid w:val="00F25CD0"/>
    <w:rsid w:val="00F26C3C"/>
    <w:rsid w:val="00F27B53"/>
    <w:rsid w:val="00F31C24"/>
    <w:rsid w:val="00F3284E"/>
    <w:rsid w:val="00F34365"/>
    <w:rsid w:val="00F35ED4"/>
    <w:rsid w:val="00F36EDA"/>
    <w:rsid w:val="00F37740"/>
    <w:rsid w:val="00F37B17"/>
    <w:rsid w:val="00F37B90"/>
    <w:rsid w:val="00F402D6"/>
    <w:rsid w:val="00F40805"/>
    <w:rsid w:val="00F41392"/>
    <w:rsid w:val="00F436BB"/>
    <w:rsid w:val="00F44BEF"/>
    <w:rsid w:val="00F47145"/>
    <w:rsid w:val="00F47C8D"/>
    <w:rsid w:val="00F531CB"/>
    <w:rsid w:val="00F545BF"/>
    <w:rsid w:val="00F56152"/>
    <w:rsid w:val="00F61485"/>
    <w:rsid w:val="00F61B86"/>
    <w:rsid w:val="00F62538"/>
    <w:rsid w:val="00F62BB3"/>
    <w:rsid w:val="00F63AA5"/>
    <w:rsid w:val="00F64A00"/>
    <w:rsid w:val="00F70B5F"/>
    <w:rsid w:val="00F70B7A"/>
    <w:rsid w:val="00F71B56"/>
    <w:rsid w:val="00F72C03"/>
    <w:rsid w:val="00F738D7"/>
    <w:rsid w:val="00F73B19"/>
    <w:rsid w:val="00F73C4F"/>
    <w:rsid w:val="00F7568B"/>
    <w:rsid w:val="00F7687C"/>
    <w:rsid w:val="00F80EFA"/>
    <w:rsid w:val="00F829E7"/>
    <w:rsid w:val="00F832C8"/>
    <w:rsid w:val="00F83BCA"/>
    <w:rsid w:val="00F83E23"/>
    <w:rsid w:val="00F873B3"/>
    <w:rsid w:val="00F9279C"/>
    <w:rsid w:val="00F94B10"/>
    <w:rsid w:val="00F96018"/>
    <w:rsid w:val="00F96BAA"/>
    <w:rsid w:val="00F9749A"/>
    <w:rsid w:val="00F97EDB"/>
    <w:rsid w:val="00FA0A80"/>
    <w:rsid w:val="00FA1379"/>
    <w:rsid w:val="00FA3567"/>
    <w:rsid w:val="00FA42B9"/>
    <w:rsid w:val="00FA520F"/>
    <w:rsid w:val="00FA58BB"/>
    <w:rsid w:val="00FA6413"/>
    <w:rsid w:val="00FA755A"/>
    <w:rsid w:val="00FA7B72"/>
    <w:rsid w:val="00FB2AEA"/>
    <w:rsid w:val="00FB2B0F"/>
    <w:rsid w:val="00FB3545"/>
    <w:rsid w:val="00FB3F53"/>
    <w:rsid w:val="00FB4406"/>
    <w:rsid w:val="00FB4BFC"/>
    <w:rsid w:val="00FB4F6B"/>
    <w:rsid w:val="00FB501C"/>
    <w:rsid w:val="00FB5FE1"/>
    <w:rsid w:val="00FB633A"/>
    <w:rsid w:val="00FB69CF"/>
    <w:rsid w:val="00FC0E8D"/>
    <w:rsid w:val="00FC4568"/>
    <w:rsid w:val="00FC46EF"/>
    <w:rsid w:val="00FC6CC7"/>
    <w:rsid w:val="00FD1E8D"/>
    <w:rsid w:val="00FD31B3"/>
    <w:rsid w:val="00FD3D6C"/>
    <w:rsid w:val="00FD418B"/>
    <w:rsid w:val="00FD4204"/>
    <w:rsid w:val="00FE2462"/>
    <w:rsid w:val="00FE3095"/>
    <w:rsid w:val="00FE730C"/>
    <w:rsid w:val="00FE7424"/>
    <w:rsid w:val="00FE75ED"/>
    <w:rsid w:val="00FF07B1"/>
    <w:rsid w:val="00FF169C"/>
    <w:rsid w:val="00FF17FB"/>
    <w:rsid w:val="00FF2C97"/>
    <w:rsid w:val="00FF2E7A"/>
    <w:rsid w:val="00FF32EB"/>
    <w:rsid w:val="00FF3CCB"/>
    <w:rsid w:val="00FF4E76"/>
    <w:rsid w:val="00FF557C"/>
    <w:rsid w:val="00FF57B5"/>
    <w:rsid w:val="00FF5A96"/>
    <w:rsid w:val="00FF6FA9"/>
    <w:rsid w:val="3674A6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E90780"/>
    <w:pPr>
      <w:keepNext/>
      <w:numPr>
        <w:numId w:val="3"/>
      </w:numPr>
      <w:spacing w:before="240"/>
      <w:ind w:left="851" w:hanging="851"/>
      <w:outlineLvl w:val="0"/>
    </w:pPr>
    <w:rPr>
      <w:color w:val="22413A"/>
      <w:sz w:val="48"/>
    </w:rPr>
  </w:style>
  <w:style w:type="paragraph" w:styleId="Heading2">
    <w:name w:val="heading 2"/>
    <w:aliases w:val="Left"/>
    <w:basedOn w:val="Heading1"/>
    <w:next w:val="Normal"/>
    <w:link w:val="Heading2Char"/>
    <w:qFormat/>
    <w:rsid w:val="00037EE2"/>
    <w:pPr>
      <w:numPr>
        <w:ilvl w:val="1"/>
      </w:numPr>
      <w:outlineLvl w:val="1"/>
    </w:pPr>
    <w:rPr>
      <w:sz w:val="36"/>
    </w:rPr>
  </w:style>
  <w:style w:type="paragraph" w:styleId="Heading3">
    <w:name w:val="heading 3"/>
    <w:aliases w:val="Sub"/>
    <w:basedOn w:val="Heading1"/>
    <w:next w:val="Normal"/>
    <w:link w:val="Heading3Char"/>
    <w:qFormat/>
    <w:rsid w:val="00037EE2"/>
    <w:pPr>
      <w:numPr>
        <w:ilvl w:val="2"/>
      </w:numPr>
      <w:ind w:left="851" w:hanging="851"/>
      <w:outlineLvl w:val="2"/>
    </w:pPr>
    <w:rPr>
      <w:sz w:val="28"/>
      <w:szCs w:val="12"/>
    </w:rPr>
  </w:style>
  <w:style w:type="paragraph" w:styleId="Heading4">
    <w:name w:val="heading 4"/>
    <w:basedOn w:val="Heading3"/>
    <w:next w:val="Normal"/>
    <w:link w:val="Heading4Char"/>
    <w:qFormat/>
    <w:rsid w:val="000A51C3"/>
    <w:pPr>
      <w:numPr>
        <w:ilvl w:val="3"/>
      </w:numPr>
      <w:ind w:left="851" w:hanging="851"/>
      <w:outlineLvl w:val="3"/>
    </w:pPr>
    <w:rPr>
      <w:b/>
      <w:bCs/>
      <w:sz w:val="24"/>
      <w:szCs w:val="10"/>
    </w:rPr>
  </w:style>
  <w:style w:type="paragraph" w:styleId="Heading5">
    <w:name w:val="heading 5"/>
    <w:basedOn w:val="Normal"/>
    <w:next w:val="Normal"/>
    <w:link w:val="Heading5Char"/>
    <w:uiPriority w:val="99"/>
    <w:qFormat/>
    <w:rsid w:val="00F47145"/>
    <w:pPr>
      <w:keepNext/>
      <w:outlineLvl w:val="4"/>
    </w:pPr>
    <w:rPr>
      <w:i/>
      <w:noProof/>
      <w:color w:val="22413A"/>
    </w:rPr>
  </w:style>
  <w:style w:type="paragraph" w:styleId="Heading6">
    <w:name w:val="heading 6"/>
    <w:basedOn w:val="Normal"/>
    <w:next w:val="Normal"/>
    <w:link w:val="Heading6Char"/>
    <w:uiPriority w:val="99"/>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9"/>
    <w:qFormat/>
    <w:rsid w:val="00FE3095"/>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9"/>
    <w:qFormat/>
    <w:rsid w:val="00FE3095"/>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9"/>
    <w:qFormat/>
    <w:rsid w:val="00FE3095"/>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037EE2"/>
    <w:rPr>
      <w:rFonts w:ascii="Arial" w:hAnsi="Arial"/>
      <w:color w:val="22413A"/>
      <w:sz w:val="36"/>
      <w:szCs w:val="22"/>
      <w:lang w:eastAsia="en-US" w:bidi="he-IL"/>
    </w:rPr>
  </w:style>
  <w:style w:type="character" w:customStyle="1" w:styleId="Heading3Char">
    <w:name w:val="Heading 3 Char"/>
    <w:aliases w:val="Sub Char"/>
    <w:link w:val="Heading3"/>
    <w:rsid w:val="00037EE2"/>
    <w:rPr>
      <w:rFonts w:ascii="Arial" w:hAnsi="Arial"/>
      <w:color w:val="22413A"/>
      <w:sz w:val="28"/>
      <w:szCs w:val="12"/>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E9078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35D86"/>
    <w:pPr>
      <w:numPr>
        <w:numId w:val="1"/>
      </w:numPr>
      <w:spacing w:before="240" w:after="120" w:line="240" w:lineRule="auto"/>
    </w:pPr>
    <w:rPr>
      <w:bCs/>
      <w:noProof/>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E1DB2"/>
    <w:pPr>
      <w:pBdr>
        <w:top w:val="single" w:sz="4" w:space="6" w:color="22413A"/>
        <w:bottom w:val="single" w:sz="4" w:space="6" w:color="22413A"/>
      </w:pBdr>
      <w:spacing w:before="240"/>
      <w:ind w:left="851"/>
    </w:pPr>
    <w:rPr>
      <w:rFonts w:asciiTheme="minorHAnsi" w:eastAsiaTheme="minorHAnsi" w:hAnsiTheme="minorHAnsi" w:cstheme="minorBidi"/>
      <w:sz w:val="28"/>
      <w:szCs w:val="30"/>
      <w:lang w:bidi="ar-SA"/>
    </w:rPr>
  </w:style>
  <w:style w:type="paragraph" w:customStyle="1" w:styleId="NumList1">
    <w:name w:val="Num List 1"/>
    <w:basedOn w:val="Normal"/>
    <w:uiPriority w:val="1"/>
    <w:qFormat/>
    <w:rsid w:val="000A51C3"/>
    <w:pPr>
      <w:numPr>
        <w:numId w:val="6"/>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5504C2"/>
    <w:pPr>
      <w:numPr>
        <w:numId w:val="2"/>
      </w:numPr>
      <w:spacing w:before="240" w:after="120" w:line="240" w:lineRule="auto"/>
    </w:pPr>
    <w:rPr>
      <w:rFonts w:eastAsia="Times New Roman"/>
      <w:szCs w:val="24"/>
      <w:lang w:bidi="ar-SA"/>
    </w:rPr>
  </w:style>
  <w:style w:type="character" w:customStyle="1" w:styleId="F9-ParagraphChar">
    <w:name w:val="F9 - # Paragraph Char"/>
    <w:basedOn w:val="DefaultParagraphFont"/>
    <w:link w:val="F9-Paragraph"/>
    <w:rsid w:val="005504C2"/>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5"/>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customStyle="1" w:styleId="NumberedParagraph">
    <w:name w:val="Numbered Paragraph"/>
    <w:basedOn w:val="Normal"/>
    <w:link w:val="NumberedParagraphChar"/>
    <w:qFormat/>
    <w:rsid w:val="00391085"/>
    <w:pPr>
      <w:numPr>
        <w:ilvl w:val="1"/>
        <w:numId w:val="7"/>
      </w:numPr>
      <w:spacing w:before="240" w:after="120" w:line="240" w:lineRule="auto"/>
      <w:ind w:hanging="792"/>
    </w:pPr>
    <w:rPr>
      <w:rFonts w:eastAsia="Times New Roman"/>
      <w:szCs w:val="24"/>
      <w:lang w:bidi="ar-SA"/>
    </w:rPr>
  </w:style>
  <w:style w:type="character" w:customStyle="1" w:styleId="NumberedParagraphChar">
    <w:name w:val="Numbered Paragraph Char"/>
    <w:basedOn w:val="DefaultParagraphFont"/>
    <w:link w:val="NumberedParagraph"/>
    <w:rsid w:val="00391085"/>
    <w:rPr>
      <w:rFonts w:ascii="Arial" w:eastAsia="Times New Roman" w:hAnsi="Arial"/>
      <w:sz w:val="24"/>
      <w:szCs w:val="24"/>
      <w:lang w:eastAsia="en-US"/>
    </w:rPr>
  </w:style>
  <w:style w:type="character" w:customStyle="1" w:styleId="ya-q-full-text">
    <w:name w:val="ya-q-full-text"/>
    <w:basedOn w:val="DefaultParagraphFont"/>
    <w:rsid w:val="00651963"/>
  </w:style>
  <w:style w:type="paragraph" w:customStyle="1" w:styleId="TSNumberedParagraph1">
    <w:name w:val="TS Numbered Paragraph 1"/>
    <w:basedOn w:val="Normal"/>
    <w:rsid w:val="00634DC8"/>
    <w:pPr>
      <w:numPr>
        <w:numId w:val="8"/>
      </w:numPr>
      <w:spacing w:after="220" w:line="240" w:lineRule="auto"/>
      <w:outlineLvl w:val="0"/>
    </w:pPr>
    <w:rPr>
      <w:rFonts w:eastAsia="Times New Roman" w:cs="Times New Roman"/>
      <w:sz w:val="22"/>
      <w:szCs w:val="24"/>
      <w:lang w:bidi="ar-SA"/>
    </w:rPr>
  </w:style>
  <w:style w:type="character" w:customStyle="1" w:styleId="ListParagraphChar">
    <w:name w:val="List Paragraph Char"/>
    <w:link w:val="ListParagraph"/>
    <w:uiPriority w:val="34"/>
    <w:rsid w:val="00B80DEF"/>
    <w:rPr>
      <w:rFonts w:ascii="Arial" w:hAnsi="Arial"/>
      <w:sz w:val="24"/>
      <w:szCs w:val="22"/>
      <w:lang w:eastAsia="en-US" w:bidi="he-IL"/>
    </w:rPr>
  </w:style>
  <w:style w:type="paragraph" w:styleId="NoSpacing">
    <w:name w:val="No Spacing"/>
    <w:basedOn w:val="Normal"/>
    <w:link w:val="NoSpacingChar"/>
    <w:uiPriority w:val="1"/>
    <w:qFormat/>
    <w:rsid w:val="00086223"/>
    <w:pPr>
      <w:spacing w:before="240" w:after="120" w:line="264" w:lineRule="auto"/>
    </w:pPr>
    <w:rPr>
      <w:rFonts w:eastAsia="Times New Roman" w:cs="Times New Roman"/>
      <w:szCs w:val="24"/>
      <w:lang w:bidi="ar-SA"/>
    </w:rPr>
  </w:style>
  <w:style w:type="character" w:customStyle="1" w:styleId="NoSpacingChar">
    <w:name w:val="No Spacing Char"/>
    <w:link w:val="NoSpacing"/>
    <w:uiPriority w:val="1"/>
    <w:rsid w:val="00086223"/>
    <w:rPr>
      <w:rFonts w:ascii="Arial" w:eastAsia="Times New Roman" w:hAnsi="Arial" w:cs="Times New Roman"/>
      <w:sz w:val="24"/>
      <w:szCs w:val="24"/>
      <w:lang w:eastAsia="en-US"/>
    </w:rPr>
  </w:style>
  <w:style w:type="paragraph" w:styleId="Revision">
    <w:name w:val="Revision"/>
    <w:hidden/>
    <w:uiPriority w:val="99"/>
    <w:semiHidden/>
    <w:rsid w:val="001A1F8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70B5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70B5F"/>
    <w:rPr>
      <w:rFonts w:ascii="Arial" w:eastAsiaTheme="minorHAnsi" w:hAnsi="Arial" w:cstheme="minorBidi"/>
      <w:b/>
      <w:bCs/>
      <w:lang w:eastAsia="en-US" w:bidi="he-IL"/>
    </w:rPr>
  </w:style>
  <w:style w:type="character" w:customStyle="1" w:styleId="Heading7Char">
    <w:name w:val="Heading 7 Char"/>
    <w:basedOn w:val="DefaultParagraphFont"/>
    <w:link w:val="Heading7"/>
    <w:uiPriority w:val="99"/>
    <w:rsid w:val="00FE3095"/>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FE3095"/>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FE3095"/>
    <w:rPr>
      <w:rFonts w:ascii="Arial" w:eastAsia="Times New Roman" w:hAnsi="Arial"/>
      <w:sz w:val="22"/>
      <w:szCs w:val="22"/>
      <w:lang w:eastAsia="en-US"/>
    </w:rPr>
  </w:style>
  <w:style w:type="paragraph" w:customStyle="1" w:styleId="TSHeadingNumbered1">
    <w:name w:val="TS Heading Numbered 1"/>
    <w:basedOn w:val="Normal"/>
    <w:rsid w:val="00FE3095"/>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FE3095"/>
    <w:rPr>
      <w:caps w:val="0"/>
    </w:rPr>
  </w:style>
  <w:style w:type="paragraph" w:customStyle="1" w:styleId="TSHeadingNumbered111">
    <w:name w:val="TS Heading Numbered 1.1.1"/>
    <w:basedOn w:val="TSHeadingNumbered1"/>
    <w:rsid w:val="00FE3095"/>
    <w:rPr>
      <w:caps w:val="0"/>
    </w:rPr>
  </w:style>
  <w:style w:type="paragraph" w:customStyle="1" w:styleId="TSHeadingNumbered1111">
    <w:name w:val="TS Heading Numbered 1.1.1.1"/>
    <w:basedOn w:val="TSHeadingNumbered1"/>
    <w:uiPriority w:val="99"/>
    <w:rsid w:val="00FE3095"/>
  </w:style>
  <w:style w:type="paragraph" w:customStyle="1" w:styleId="ONRNumberedParagraph1">
    <w:name w:val="ONR Numbered Paragraph 1"/>
    <w:basedOn w:val="Normal"/>
    <w:locked/>
    <w:rsid w:val="00FE3095"/>
    <w:pPr>
      <w:numPr>
        <w:numId w:val="10"/>
      </w:numPr>
      <w:tabs>
        <w:tab w:val="left" w:pos="880"/>
      </w:tabs>
      <w:spacing w:after="120" w:line="240" w:lineRule="auto"/>
      <w:ind w:left="880" w:hanging="880"/>
      <w:jc w:val="both"/>
    </w:pPr>
    <w:rPr>
      <w:rFonts w:eastAsia="Times New Roman"/>
      <w:sz w:val="22"/>
      <w:lang w:eastAsia="en-GB" w:bidi="ar-SA"/>
    </w:rPr>
  </w:style>
  <w:style w:type="paragraph" w:customStyle="1" w:styleId="TSBullet1Square">
    <w:name w:val="TS Bullet 1 Square"/>
    <w:basedOn w:val="Normal"/>
    <w:link w:val="TSBullet1SquareChar"/>
    <w:rsid w:val="008B278E"/>
    <w:pPr>
      <w:spacing w:line="240" w:lineRule="auto"/>
      <w:contextualSpacing/>
    </w:pPr>
    <w:rPr>
      <w:rFonts w:eastAsia="Times New Roman" w:cs="Times New Roman"/>
      <w:sz w:val="22"/>
      <w:szCs w:val="24"/>
      <w:lang w:bidi="ar-SA"/>
    </w:rPr>
  </w:style>
  <w:style w:type="paragraph" w:customStyle="1" w:styleId="ONRSquareBullet1">
    <w:name w:val="ONR Square Bullet 1"/>
    <w:basedOn w:val="Normal"/>
    <w:rsid w:val="008B278E"/>
    <w:pPr>
      <w:numPr>
        <w:numId w:val="11"/>
      </w:numPr>
      <w:spacing w:after="120" w:line="240" w:lineRule="auto"/>
    </w:pPr>
    <w:rPr>
      <w:rFonts w:eastAsia="Times New Roman"/>
      <w:sz w:val="22"/>
      <w:lang w:bidi="ar-SA"/>
    </w:rPr>
  </w:style>
  <w:style w:type="character" w:customStyle="1" w:styleId="TSBullet1SquareChar">
    <w:name w:val="TS Bullet 1 Square Char"/>
    <w:link w:val="TSBullet1Square"/>
    <w:rsid w:val="008B278E"/>
    <w:rPr>
      <w:rFonts w:ascii="Arial" w:eastAsia="Times New Roman" w:hAnsi="Arial" w:cs="Times New Roman"/>
      <w:sz w:val="22"/>
      <w:szCs w:val="24"/>
      <w:lang w:eastAsia="en-US"/>
    </w:rPr>
  </w:style>
  <w:style w:type="character" w:customStyle="1" w:styleId="TSExampleText">
    <w:name w:val="TS Example Text"/>
    <w:rsid w:val="00F9749A"/>
    <w:rPr>
      <w:i/>
      <w:iCs/>
      <w:color w:val="006D6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3627936">
      <w:bodyDiv w:val="1"/>
      <w:marLeft w:val="0"/>
      <w:marRight w:val="0"/>
      <w:marTop w:val="0"/>
      <w:marBottom w:val="0"/>
      <w:divBdr>
        <w:top w:val="none" w:sz="0" w:space="0" w:color="auto"/>
        <w:left w:val="none" w:sz="0" w:space="0" w:color="auto"/>
        <w:bottom w:val="none" w:sz="0" w:space="0" w:color="auto"/>
        <w:right w:val="none" w:sz="0" w:space="0" w:color="auto"/>
      </w:divBdr>
    </w:div>
    <w:div w:id="33232510">
      <w:bodyDiv w:val="1"/>
      <w:marLeft w:val="0"/>
      <w:marRight w:val="0"/>
      <w:marTop w:val="0"/>
      <w:marBottom w:val="0"/>
      <w:divBdr>
        <w:top w:val="none" w:sz="0" w:space="0" w:color="auto"/>
        <w:left w:val="none" w:sz="0" w:space="0" w:color="auto"/>
        <w:bottom w:val="none" w:sz="0" w:space="0" w:color="auto"/>
        <w:right w:val="none" w:sz="0" w:space="0" w:color="auto"/>
      </w:divBdr>
    </w:div>
    <w:div w:id="38168312">
      <w:bodyDiv w:val="1"/>
      <w:marLeft w:val="0"/>
      <w:marRight w:val="0"/>
      <w:marTop w:val="0"/>
      <w:marBottom w:val="0"/>
      <w:divBdr>
        <w:top w:val="none" w:sz="0" w:space="0" w:color="auto"/>
        <w:left w:val="none" w:sz="0" w:space="0" w:color="auto"/>
        <w:bottom w:val="none" w:sz="0" w:space="0" w:color="auto"/>
        <w:right w:val="none" w:sz="0" w:space="0" w:color="auto"/>
      </w:divBdr>
    </w:div>
    <w:div w:id="43869142">
      <w:bodyDiv w:val="1"/>
      <w:marLeft w:val="0"/>
      <w:marRight w:val="0"/>
      <w:marTop w:val="0"/>
      <w:marBottom w:val="0"/>
      <w:divBdr>
        <w:top w:val="none" w:sz="0" w:space="0" w:color="auto"/>
        <w:left w:val="none" w:sz="0" w:space="0" w:color="auto"/>
        <w:bottom w:val="none" w:sz="0" w:space="0" w:color="auto"/>
        <w:right w:val="none" w:sz="0" w:space="0" w:color="auto"/>
      </w:divBdr>
    </w:div>
    <w:div w:id="49421847">
      <w:bodyDiv w:val="1"/>
      <w:marLeft w:val="0"/>
      <w:marRight w:val="0"/>
      <w:marTop w:val="0"/>
      <w:marBottom w:val="0"/>
      <w:divBdr>
        <w:top w:val="none" w:sz="0" w:space="0" w:color="auto"/>
        <w:left w:val="none" w:sz="0" w:space="0" w:color="auto"/>
        <w:bottom w:val="none" w:sz="0" w:space="0" w:color="auto"/>
        <w:right w:val="none" w:sz="0" w:space="0" w:color="auto"/>
      </w:divBdr>
    </w:div>
    <w:div w:id="52969059">
      <w:bodyDiv w:val="1"/>
      <w:marLeft w:val="0"/>
      <w:marRight w:val="0"/>
      <w:marTop w:val="0"/>
      <w:marBottom w:val="0"/>
      <w:divBdr>
        <w:top w:val="none" w:sz="0" w:space="0" w:color="auto"/>
        <w:left w:val="none" w:sz="0" w:space="0" w:color="auto"/>
        <w:bottom w:val="none" w:sz="0" w:space="0" w:color="auto"/>
        <w:right w:val="none" w:sz="0" w:space="0" w:color="auto"/>
      </w:divBdr>
    </w:div>
    <w:div w:id="60836191">
      <w:bodyDiv w:val="1"/>
      <w:marLeft w:val="0"/>
      <w:marRight w:val="0"/>
      <w:marTop w:val="0"/>
      <w:marBottom w:val="0"/>
      <w:divBdr>
        <w:top w:val="none" w:sz="0" w:space="0" w:color="auto"/>
        <w:left w:val="none" w:sz="0" w:space="0" w:color="auto"/>
        <w:bottom w:val="none" w:sz="0" w:space="0" w:color="auto"/>
        <w:right w:val="none" w:sz="0" w:space="0" w:color="auto"/>
      </w:divBdr>
    </w:div>
    <w:div w:id="85467596">
      <w:bodyDiv w:val="1"/>
      <w:marLeft w:val="0"/>
      <w:marRight w:val="0"/>
      <w:marTop w:val="0"/>
      <w:marBottom w:val="0"/>
      <w:divBdr>
        <w:top w:val="none" w:sz="0" w:space="0" w:color="auto"/>
        <w:left w:val="none" w:sz="0" w:space="0" w:color="auto"/>
        <w:bottom w:val="none" w:sz="0" w:space="0" w:color="auto"/>
        <w:right w:val="none" w:sz="0" w:space="0" w:color="auto"/>
      </w:divBdr>
    </w:div>
    <w:div w:id="861920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098224">
      <w:bodyDiv w:val="1"/>
      <w:marLeft w:val="0"/>
      <w:marRight w:val="0"/>
      <w:marTop w:val="0"/>
      <w:marBottom w:val="0"/>
      <w:divBdr>
        <w:top w:val="none" w:sz="0" w:space="0" w:color="auto"/>
        <w:left w:val="none" w:sz="0" w:space="0" w:color="auto"/>
        <w:bottom w:val="none" w:sz="0" w:space="0" w:color="auto"/>
        <w:right w:val="none" w:sz="0" w:space="0" w:color="auto"/>
      </w:divBdr>
    </w:div>
    <w:div w:id="94711482">
      <w:bodyDiv w:val="1"/>
      <w:marLeft w:val="0"/>
      <w:marRight w:val="0"/>
      <w:marTop w:val="0"/>
      <w:marBottom w:val="0"/>
      <w:divBdr>
        <w:top w:val="none" w:sz="0" w:space="0" w:color="auto"/>
        <w:left w:val="none" w:sz="0" w:space="0" w:color="auto"/>
        <w:bottom w:val="none" w:sz="0" w:space="0" w:color="auto"/>
        <w:right w:val="none" w:sz="0" w:space="0" w:color="auto"/>
      </w:divBdr>
    </w:div>
    <w:div w:id="95564317">
      <w:bodyDiv w:val="1"/>
      <w:marLeft w:val="0"/>
      <w:marRight w:val="0"/>
      <w:marTop w:val="0"/>
      <w:marBottom w:val="0"/>
      <w:divBdr>
        <w:top w:val="none" w:sz="0" w:space="0" w:color="auto"/>
        <w:left w:val="none" w:sz="0" w:space="0" w:color="auto"/>
        <w:bottom w:val="none" w:sz="0" w:space="0" w:color="auto"/>
        <w:right w:val="none" w:sz="0" w:space="0" w:color="auto"/>
      </w:divBdr>
    </w:div>
    <w:div w:id="97334730">
      <w:bodyDiv w:val="1"/>
      <w:marLeft w:val="0"/>
      <w:marRight w:val="0"/>
      <w:marTop w:val="0"/>
      <w:marBottom w:val="0"/>
      <w:divBdr>
        <w:top w:val="none" w:sz="0" w:space="0" w:color="auto"/>
        <w:left w:val="none" w:sz="0" w:space="0" w:color="auto"/>
        <w:bottom w:val="none" w:sz="0" w:space="0" w:color="auto"/>
        <w:right w:val="none" w:sz="0" w:space="0" w:color="auto"/>
      </w:divBdr>
    </w:div>
    <w:div w:id="105776964">
      <w:bodyDiv w:val="1"/>
      <w:marLeft w:val="0"/>
      <w:marRight w:val="0"/>
      <w:marTop w:val="0"/>
      <w:marBottom w:val="0"/>
      <w:divBdr>
        <w:top w:val="none" w:sz="0" w:space="0" w:color="auto"/>
        <w:left w:val="none" w:sz="0" w:space="0" w:color="auto"/>
        <w:bottom w:val="none" w:sz="0" w:space="0" w:color="auto"/>
        <w:right w:val="none" w:sz="0" w:space="0" w:color="auto"/>
      </w:divBdr>
    </w:div>
    <w:div w:id="108091049">
      <w:bodyDiv w:val="1"/>
      <w:marLeft w:val="0"/>
      <w:marRight w:val="0"/>
      <w:marTop w:val="0"/>
      <w:marBottom w:val="0"/>
      <w:divBdr>
        <w:top w:val="none" w:sz="0" w:space="0" w:color="auto"/>
        <w:left w:val="none" w:sz="0" w:space="0" w:color="auto"/>
        <w:bottom w:val="none" w:sz="0" w:space="0" w:color="auto"/>
        <w:right w:val="none" w:sz="0" w:space="0" w:color="auto"/>
      </w:divBdr>
    </w:div>
    <w:div w:id="108670225">
      <w:bodyDiv w:val="1"/>
      <w:marLeft w:val="0"/>
      <w:marRight w:val="0"/>
      <w:marTop w:val="0"/>
      <w:marBottom w:val="0"/>
      <w:divBdr>
        <w:top w:val="none" w:sz="0" w:space="0" w:color="auto"/>
        <w:left w:val="none" w:sz="0" w:space="0" w:color="auto"/>
        <w:bottom w:val="none" w:sz="0" w:space="0" w:color="auto"/>
        <w:right w:val="none" w:sz="0" w:space="0" w:color="auto"/>
      </w:divBdr>
    </w:div>
    <w:div w:id="121195739">
      <w:bodyDiv w:val="1"/>
      <w:marLeft w:val="0"/>
      <w:marRight w:val="0"/>
      <w:marTop w:val="0"/>
      <w:marBottom w:val="0"/>
      <w:divBdr>
        <w:top w:val="none" w:sz="0" w:space="0" w:color="auto"/>
        <w:left w:val="none" w:sz="0" w:space="0" w:color="auto"/>
        <w:bottom w:val="none" w:sz="0" w:space="0" w:color="auto"/>
        <w:right w:val="none" w:sz="0" w:space="0" w:color="auto"/>
      </w:divBdr>
    </w:div>
    <w:div w:id="125663892">
      <w:bodyDiv w:val="1"/>
      <w:marLeft w:val="0"/>
      <w:marRight w:val="0"/>
      <w:marTop w:val="0"/>
      <w:marBottom w:val="0"/>
      <w:divBdr>
        <w:top w:val="none" w:sz="0" w:space="0" w:color="auto"/>
        <w:left w:val="none" w:sz="0" w:space="0" w:color="auto"/>
        <w:bottom w:val="none" w:sz="0" w:space="0" w:color="auto"/>
        <w:right w:val="none" w:sz="0" w:space="0" w:color="auto"/>
      </w:divBdr>
    </w:div>
    <w:div w:id="130683256">
      <w:bodyDiv w:val="1"/>
      <w:marLeft w:val="0"/>
      <w:marRight w:val="0"/>
      <w:marTop w:val="0"/>
      <w:marBottom w:val="0"/>
      <w:divBdr>
        <w:top w:val="none" w:sz="0" w:space="0" w:color="auto"/>
        <w:left w:val="none" w:sz="0" w:space="0" w:color="auto"/>
        <w:bottom w:val="none" w:sz="0" w:space="0" w:color="auto"/>
        <w:right w:val="none" w:sz="0" w:space="0" w:color="auto"/>
      </w:divBdr>
    </w:div>
    <w:div w:id="130903240">
      <w:bodyDiv w:val="1"/>
      <w:marLeft w:val="0"/>
      <w:marRight w:val="0"/>
      <w:marTop w:val="0"/>
      <w:marBottom w:val="0"/>
      <w:divBdr>
        <w:top w:val="none" w:sz="0" w:space="0" w:color="auto"/>
        <w:left w:val="none" w:sz="0" w:space="0" w:color="auto"/>
        <w:bottom w:val="none" w:sz="0" w:space="0" w:color="auto"/>
        <w:right w:val="none" w:sz="0" w:space="0" w:color="auto"/>
      </w:divBdr>
    </w:div>
    <w:div w:id="145437339">
      <w:bodyDiv w:val="1"/>
      <w:marLeft w:val="0"/>
      <w:marRight w:val="0"/>
      <w:marTop w:val="0"/>
      <w:marBottom w:val="0"/>
      <w:divBdr>
        <w:top w:val="none" w:sz="0" w:space="0" w:color="auto"/>
        <w:left w:val="none" w:sz="0" w:space="0" w:color="auto"/>
        <w:bottom w:val="none" w:sz="0" w:space="0" w:color="auto"/>
        <w:right w:val="none" w:sz="0" w:space="0" w:color="auto"/>
      </w:divBdr>
    </w:div>
    <w:div w:id="170149905">
      <w:bodyDiv w:val="1"/>
      <w:marLeft w:val="0"/>
      <w:marRight w:val="0"/>
      <w:marTop w:val="0"/>
      <w:marBottom w:val="0"/>
      <w:divBdr>
        <w:top w:val="none" w:sz="0" w:space="0" w:color="auto"/>
        <w:left w:val="none" w:sz="0" w:space="0" w:color="auto"/>
        <w:bottom w:val="none" w:sz="0" w:space="0" w:color="auto"/>
        <w:right w:val="none" w:sz="0" w:space="0" w:color="auto"/>
      </w:divBdr>
    </w:div>
    <w:div w:id="175778007">
      <w:bodyDiv w:val="1"/>
      <w:marLeft w:val="0"/>
      <w:marRight w:val="0"/>
      <w:marTop w:val="0"/>
      <w:marBottom w:val="0"/>
      <w:divBdr>
        <w:top w:val="none" w:sz="0" w:space="0" w:color="auto"/>
        <w:left w:val="none" w:sz="0" w:space="0" w:color="auto"/>
        <w:bottom w:val="none" w:sz="0" w:space="0" w:color="auto"/>
        <w:right w:val="none" w:sz="0" w:space="0" w:color="auto"/>
      </w:divBdr>
    </w:div>
    <w:div w:id="187371332">
      <w:bodyDiv w:val="1"/>
      <w:marLeft w:val="0"/>
      <w:marRight w:val="0"/>
      <w:marTop w:val="0"/>
      <w:marBottom w:val="0"/>
      <w:divBdr>
        <w:top w:val="none" w:sz="0" w:space="0" w:color="auto"/>
        <w:left w:val="none" w:sz="0" w:space="0" w:color="auto"/>
        <w:bottom w:val="none" w:sz="0" w:space="0" w:color="auto"/>
        <w:right w:val="none" w:sz="0" w:space="0" w:color="auto"/>
      </w:divBdr>
    </w:div>
    <w:div w:id="19289103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565740">
      <w:bodyDiv w:val="1"/>
      <w:marLeft w:val="0"/>
      <w:marRight w:val="0"/>
      <w:marTop w:val="0"/>
      <w:marBottom w:val="0"/>
      <w:divBdr>
        <w:top w:val="none" w:sz="0" w:space="0" w:color="auto"/>
        <w:left w:val="none" w:sz="0" w:space="0" w:color="auto"/>
        <w:bottom w:val="none" w:sz="0" w:space="0" w:color="auto"/>
        <w:right w:val="none" w:sz="0" w:space="0" w:color="auto"/>
      </w:divBdr>
    </w:div>
    <w:div w:id="208222331">
      <w:bodyDiv w:val="1"/>
      <w:marLeft w:val="0"/>
      <w:marRight w:val="0"/>
      <w:marTop w:val="0"/>
      <w:marBottom w:val="0"/>
      <w:divBdr>
        <w:top w:val="none" w:sz="0" w:space="0" w:color="auto"/>
        <w:left w:val="none" w:sz="0" w:space="0" w:color="auto"/>
        <w:bottom w:val="none" w:sz="0" w:space="0" w:color="auto"/>
        <w:right w:val="none" w:sz="0" w:space="0" w:color="auto"/>
      </w:divBdr>
    </w:div>
    <w:div w:id="209077525">
      <w:bodyDiv w:val="1"/>
      <w:marLeft w:val="0"/>
      <w:marRight w:val="0"/>
      <w:marTop w:val="0"/>
      <w:marBottom w:val="0"/>
      <w:divBdr>
        <w:top w:val="none" w:sz="0" w:space="0" w:color="auto"/>
        <w:left w:val="none" w:sz="0" w:space="0" w:color="auto"/>
        <w:bottom w:val="none" w:sz="0" w:space="0" w:color="auto"/>
        <w:right w:val="none" w:sz="0" w:space="0" w:color="auto"/>
      </w:divBdr>
    </w:div>
    <w:div w:id="217404984">
      <w:bodyDiv w:val="1"/>
      <w:marLeft w:val="0"/>
      <w:marRight w:val="0"/>
      <w:marTop w:val="0"/>
      <w:marBottom w:val="0"/>
      <w:divBdr>
        <w:top w:val="none" w:sz="0" w:space="0" w:color="auto"/>
        <w:left w:val="none" w:sz="0" w:space="0" w:color="auto"/>
        <w:bottom w:val="none" w:sz="0" w:space="0" w:color="auto"/>
        <w:right w:val="none" w:sz="0" w:space="0" w:color="auto"/>
      </w:divBdr>
    </w:div>
    <w:div w:id="233004695">
      <w:bodyDiv w:val="1"/>
      <w:marLeft w:val="0"/>
      <w:marRight w:val="0"/>
      <w:marTop w:val="0"/>
      <w:marBottom w:val="0"/>
      <w:divBdr>
        <w:top w:val="none" w:sz="0" w:space="0" w:color="auto"/>
        <w:left w:val="none" w:sz="0" w:space="0" w:color="auto"/>
        <w:bottom w:val="none" w:sz="0" w:space="0" w:color="auto"/>
        <w:right w:val="none" w:sz="0" w:space="0" w:color="auto"/>
      </w:divBdr>
    </w:div>
    <w:div w:id="234709624">
      <w:bodyDiv w:val="1"/>
      <w:marLeft w:val="0"/>
      <w:marRight w:val="0"/>
      <w:marTop w:val="0"/>
      <w:marBottom w:val="0"/>
      <w:divBdr>
        <w:top w:val="none" w:sz="0" w:space="0" w:color="auto"/>
        <w:left w:val="none" w:sz="0" w:space="0" w:color="auto"/>
        <w:bottom w:val="none" w:sz="0" w:space="0" w:color="auto"/>
        <w:right w:val="none" w:sz="0" w:space="0" w:color="auto"/>
      </w:divBdr>
    </w:div>
    <w:div w:id="238366999">
      <w:bodyDiv w:val="1"/>
      <w:marLeft w:val="0"/>
      <w:marRight w:val="0"/>
      <w:marTop w:val="0"/>
      <w:marBottom w:val="0"/>
      <w:divBdr>
        <w:top w:val="none" w:sz="0" w:space="0" w:color="auto"/>
        <w:left w:val="none" w:sz="0" w:space="0" w:color="auto"/>
        <w:bottom w:val="none" w:sz="0" w:space="0" w:color="auto"/>
        <w:right w:val="none" w:sz="0" w:space="0" w:color="auto"/>
      </w:divBdr>
    </w:div>
    <w:div w:id="244384171">
      <w:bodyDiv w:val="1"/>
      <w:marLeft w:val="0"/>
      <w:marRight w:val="0"/>
      <w:marTop w:val="0"/>
      <w:marBottom w:val="0"/>
      <w:divBdr>
        <w:top w:val="none" w:sz="0" w:space="0" w:color="auto"/>
        <w:left w:val="none" w:sz="0" w:space="0" w:color="auto"/>
        <w:bottom w:val="none" w:sz="0" w:space="0" w:color="auto"/>
        <w:right w:val="none" w:sz="0" w:space="0" w:color="auto"/>
      </w:divBdr>
    </w:div>
    <w:div w:id="247351051">
      <w:bodyDiv w:val="1"/>
      <w:marLeft w:val="0"/>
      <w:marRight w:val="0"/>
      <w:marTop w:val="0"/>
      <w:marBottom w:val="0"/>
      <w:divBdr>
        <w:top w:val="none" w:sz="0" w:space="0" w:color="auto"/>
        <w:left w:val="none" w:sz="0" w:space="0" w:color="auto"/>
        <w:bottom w:val="none" w:sz="0" w:space="0" w:color="auto"/>
        <w:right w:val="none" w:sz="0" w:space="0" w:color="auto"/>
      </w:divBdr>
    </w:div>
    <w:div w:id="250819644">
      <w:bodyDiv w:val="1"/>
      <w:marLeft w:val="0"/>
      <w:marRight w:val="0"/>
      <w:marTop w:val="0"/>
      <w:marBottom w:val="0"/>
      <w:divBdr>
        <w:top w:val="none" w:sz="0" w:space="0" w:color="auto"/>
        <w:left w:val="none" w:sz="0" w:space="0" w:color="auto"/>
        <w:bottom w:val="none" w:sz="0" w:space="0" w:color="auto"/>
        <w:right w:val="none" w:sz="0" w:space="0" w:color="auto"/>
      </w:divBdr>
    </w:div>
    <w:div w:id="260186247">
      <w:bodyDiv w:val="1"/>
      <w:marLeft w:val="0"/>
      <w:marRight w:val="0"/>
      <w:marTop w:val="0"/>
      <w:marBottom w:val="0"/>
      <w:divBdr>
        <w:top w:val="none" w:sz="0" w:space="0" w:color="auto"/>
        <w:left w:val="none" w:sz="0" w:space="0" w:color="auto"/>
        <w:bottom w:val="none" w:sz="0" w:space="0" w:color="auto"/>
        <w:right w:val="none" w:sz="0" w:space="0" w:color="auto"/>
      </w:divBdr>
    </w:div>
    <w:div w:id="262810436">
      <w:bodyDiv w:val="1"/>
      <w:marLeft w:val="0"/>
      <w:marRight w:val="0"/>
      <w:marTop w:val="0"/>
      <w:marBottom w:val="0"/>
      <w:divBdr>
        <w:top w:val="none" w:sz="0" w:space="0" w:color="auto"/>
        <w:left w:val="none" w:sz="0" w:space="0" w:color="auto"/>
        <w:bottom w:val="none" w:sz="0" w:space="0" w:color="auto"/>
        <w:right w:val="none" w:sz="0" w:space="0" w:color="auto"/>
      </w:divBdr>
    </w:div>
    <w:div w:id="270940666">
      <w:bodyDiv w:val="1"/>
      <w:marLeft w:val="0"/>
      <w:marRight w:val="0"/>
      <w:marTop w:val="0"/>
      <w:marBottom w:val="0"/>
      <w:divBdr>
        <w:top w:val="none" w:sz="0" w:space="0" w:color="auto"/>
        <w:left w:val="none" w:sz="0" w:space="0" w:color="auto"/>
        <w:bottom w:val="none" w:sz="0" w:space="0" w:color="auto"/>
        <w:right w:val="none" w:sz="0" w:space="0" w:color="auto"/>
      </w:divBdr>
    </w:div>
    <w:div w:id="300232827">
      <w:bodyDiv w:val="1"/>
      <w:marLeft w:val="0"/>
      <w:marRight w:val="0"/>
      <w:marTop w:val="0"/>
      <w:marBottom w:val="0"/>
      <w:divBdr>
        <w:top w:val="none" w:sz="0" w:space="0" w:color="auto"/>
        <w:left w:val="none" w:sz="0" w:space="0" w:color="auto"/>
        <w:bottom w:val="none" w:sz="0" w:space="0" w:color="auto"/>
        <w:right w:val="none" w:sz="0" w:space="0" w:color="auto"/>
      </w:divBdr>
    </w:div>
    <w:div w:id="31588715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3938749">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51997241">
      <w:bodyDiv w:val="1"/>
      <w:marLeft w:val="0"/>
      <w:marRight w:val="0"/>
      <w:marTop w:val="0"/>
      <w:marBottom w:val="0"/>
      <w:divBdr>
        <w:top w:val="none" w:sz="0" w:space="0" w:color="auto"/>
        <w:left w:val="none" w:sz="0" w:space="0" w:color="auto"/>
        <w:bottom w:val="none" w:sz="0" w:space="0" w:color="auto"/>
        <w:right w:val="none" w:sz="0" w:space="0" w:color="auto"/>
      </w:divBdr>
    </w:div>
    <w:div w:id="364796704">
      <w:bodyDiv w:val="1"/>
      <w:marLeft w:val="0"/>
      <w:marRight w:val="0"/>
      <w:marTop w:val="0"/>
      <w:marBottom w:val="0"/>
      <w:divBdr>
        <w:top w:val="none" w:sz="0" w:space="0" w:color="auto"/>
        <w:left w:val="none" w:sz="0" w:space="0" w:color="auto"/>
        <w:bottom w:val="none" w:sz="0" w:space="0" w:color="auto"/>
        <w:right w:val="none" w:sz="0" w:space="0" w:color="auto"/>
      </w:divBdr>
    </w:div>
    <w:div w:id="366373251">
      <w:bodyDiv w:val="1"/>
      <w:marLeft w:val="0"/>
      <w:marRight w:val="0"/>
      <w:marTop w:val="0"/>
      <w:marBottom w:val="0"/>
      <w:divBdr>
        <w:top w:val="none" w:sz="0" w:space="0" w:color="auto"/>
        <w:left w:val="none" w:sz="0" w:space="0" w:color="auto"/>
        <w:bottom w:val="none" w:sz="0" w:space="0" w:color="auto"/>
        <w:right w:val="none" w:sz="0" w:space="0" w:color="auto"/>
      </w:divBdr>
    </w:div>
    <w:div w:id="381561215">
      <w:bodyDiv w:val="1"/>
      <w:marLeft w:val="0"/>
      <w:marRight w:val="0"/>
      <w:marTop w:val="0"/>
      <w:marBottom w:val="0"/>
      <w:divBdr>
        <w:top w:val="none" w:sz="0" w:space="0" w:color="auto"/>
        <w:left w:val="none" w:sz="0" w:space="0" w:color="auto"/>
        <w:bottom w:val="none" w:sz="0" w:space="0" w:color="auto"/>
        <w:right w:val="none" w:sz="0" w:space="0" w:color="auto"/>
      </w:divBdr>
    </w:div>
    <w:div w:id="385182701">
      <w:bodyDiv w:val="1"/>
      <w:marLeft w:val="0"/>
      <w:marRight w:val="0"/>
      <w:marTop w:val="0"/>
      <w:marBottom w:val="0"/>
      <w:divBdr>
        <w:top w:val="none" w:sz="0" w:space="0" w:color="auto"/>
        <w:left w:val="none" w:sz="0" w:space="0" w:color="auto"/>
        <w:bottom w:val="none" w:sz="0" w:space="0" w:color="auto"/>
        <w:right w:val="none" w:sz="0" w:space="0" w:color="auto"/>
      </w:divBdr>
    </w:div>
    <w:div w:id="393168209">
      <w:bodyDiv w:val="1"/>
      <w:marLeft w:val="0"/>
      <w:marRight w:val="0"/>
      <w:marTop w:val="0"/>
      <w:marBottom w:val="0"/>
      <w:divBdr>
        <w:top w:val="none" w:sz="0" w:space="0" w:color="auto"/>
        <w:left w:val="none" w:sz="0" w:space="0" w:color="auto"/>
        <w:bottom w:val="none" w:sz="0" w:space="0" w:color="auto"/>
        <w:right w:val="none" w:sz="0" w:space="0" w:color="auto"/>
      </w:divBdr>
    </w:div>
    <w:div w:id="399256303">
      <w:bodyDiv w:val="1"/>
      <w:marLeft w:val="0"/>
      <w:marRight w:val="0"/>
      <w:marTop w:val="0"/>
      <w:marBottom w:val="0"/>
      <w:divBdr>
        <w:top w:val="none" w:sz="0" w:space="0" w:color="auto"/>
        <w:left w:val="none" w:sz="0" w:space="0" w:color="auto"/>
        <w:bottom w:val="none" w:sz="0" w:space="0" w:color="auto"/>
        <w:right w:val="none" w:sz="0" w:space="0" w:color="auto"/>
      </w:divBdr>
    </w:div>
    <w:div w:id="415640144">
      <w:bodyDiv w:val="1"/>
      <w:marLeft w:val="0"/>
      <w:marRight w:val="0"/>
      <w:marTop w:val="0"/>
      <w:marBottom w:val="0"/>
      <w:divBdr>
        <w:top w:val="none" w:sz="0" w:space="0" w:color="auto"/>
        <w:left w:val="none" w:sz="0" w:space="0" w:color="auto"/>
        <w:bottom w:val="none" w:sz="0" w:space="0" w:color="auto"/>
        <w:right w:val="none" w:sz="0" w:space="0" w:color="auto"/>
      </w:divBdr>
    </w:div>
    <w:div w:id="415858027">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19985372">
      <w:bodyDiv w:val="1"/>
      <w:marLeft w:val="0"/>
      <w:marRight w:val="0"/>
      <w:marTop w:val="0"/>
      <w:marBottom w:val="0"/>
      <w:divBdr>
        <w:top w:val="none" w:sz="0" w:space="0" w:color="auto"/>
        <w:left w:val="none" w:sz="0" w:space="0" w:color="auto"/>
        <w:bottom w:val="none" w:sz="0" w:space="0" w:color="auto"/>
        <w:right w:val="none" w:sz="0" w:space="0" w:color="auto"/>
      </w:divBdr>
    </w:div>
    <w:div w:id="425854753">
      <w:bodyDiv w:val="1"/>
      <w:marLeft w:val="0"/>
      <w:marRight w:val="0"/>
      <w:marTop w:val="0"/>
      <w:marBottom w:val="0"/>
      <w:divBdr>
        <w:top w:val="none" w:sz="0" w:space="0" w:color="auto"/>
        <w:left w:val="none" w:sz="0" w:space="0" w:color="auto"/>
        <w:bottom w:val="none" w:sz="0" w:space="0" w:color="auto"/>
        <w:right w:val="none" w:sz="0" w:space="0" w:color="auto"/>
      </w:divBdr>
    </w:div>
    <w:div w:id="431363578">
      <w:bodyDiv w:val="1"/>
      <w:marLeft w:val="0"/>
      <w:marRight w:val="0"/>
      <w:marTop w:val="0"/>
      <w:marBottom w:val="0"/>
      <w:divBdr>
        <w:top w:val="none" w:sz="0" w:space="0" w:color="auto"/>
        <w:left w:val="none" w:sz="0" w:space="0" w:color="auto"/>
        <w:bottom w:val="none" w:sz="0" w:space="0" w:color="auto"/>
        <w:right w:val="none" w:sz="0" w:space="0" w:color="auto"/>
      </w:divBdr>
    </w:div>
    <w:div w:id="436561462">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5214252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121549">
      <w:bodyDiv w:val="1"/>
      <w:marLeft w:val="0"/>
      <w:marRight w:val="0"/>
      <w:marTop w:val="0"/>
      <w:marBottom w:val="0"/>
      <w:divBdr>
        <w:top w:val="none" w:sz="0" w:space="0" w:color="auto"/>
        <w:left w:val="none" w:sz="0" w:space="0" w:color="auto"/>
        <w:bottom w:val="none" w:sz="0" w:space="0" w:color="auto"/>
        <w:right w:val="none" w:sz="0" w:space="0" w:color="auto"/>
      </w:divBdr>
    </w:div>
    <w:div w:id="483669372">
      <w:bodyDiv w:val="1"/>
      <w:marLeft w:val="0"/>
      <w:marRight w:val="0"/>
      <w:marTop w:val="0"/>
      <w:marBottom w:val="0"/>
      <w:divBdr>
        <w:top w:val="none" w:sz="0" w:space="0" w:color="auto"/>
        <w:left w:val="none" w:sz="0" w:space="0" w:color="auto"/>
        <w:bottom w:val="none" w:sz="0" w:space="0" w:color="auto"/>
        <w:right w:val="none" w:sz="0" w:space="0" w:color="auto"/>
      </w:divBdr>
    </w:div>
    <w:div w:id="484515459">
      <w:bodyDiv w:val="1"/>
      <w:marLeft w:val="0"/>
      <w:marRight w:val="0"/>
      <w:marTop w:val="0"/>
      <w:marBottom w:val="0"/>
      <w:divBdr>
        <w:top w:val="none" w:sz="0" w:space="0" w:color="auto"/>
        <w:left w:val="none" w:sz="0" w:space="0" w:color="auto"/>
        <w:bottom w:val="none" w:sz="0" w:space="0" w:color="auto"/>
        <w:right w:val="none" w:sz="0" w:space="0" w:color="auto"/>
      </w:divBdr>
    </w:div>
    <w:div w:id="507714928">
      <w:bodyDiv w:val="1"/>
      <w:marLeft w:val="0"/>
      <w:marRight w:val="0"/>
      <w:marTop w:val="0"/>
      <w:marBottom w:val="0"/>
      <w:divBdr>
        <w:top w:val="none" w:sz="0" w:space="0" w:color="auto"/>
        <w:left w:val="none" w:sz="0" w:space="0" w:color="auto"/>
        <w:bottom w:val="none" w:sz="0" w:space="0" w:color="auto"/>
        <w:right w:val="none" w:sz="0" w:space="0" w:color="auto"/>
      </w:divBdr>
    </w:div>
    <w:div w:id="514851652">
      <w:bodyDiv w:val="1"/>
      <w:marLeft w:val="0"/>
      <w:marRight w:val="0"/>
      <w:marTop w:val="0"/>
      <w:marBottom w:val="0"/>
      <w:divBdr>
        <w:top w:val="none" w:sz="0" w:space="0" w:color="auto"/>
        <w:left w:val="none" w:sz="0" w:space="0" w:color="auto"/>
        <w:bottom w:val="none" w:sz="0" w:space="0" w:color="auto"/>
        <w:right w:val="none" w:sz="0" w:space="0" w:color="auto"/>
      </w:divBdr>
    </w:div>
    <w:div w:id="52516945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65073401">
      <w:bodyDiv w:val="1"/>
      <w:marLeft w:val="0"/>
      <w:marRight w:val="0"/>
      <w:marTop w:val="0"/>
      <w:marBottom w:val="0"/>
      <w:divBdr>
        <w:top w:val="none" w:sz="0" w:space="0" w:color="auto"/>
        <w:left w:val="none" w:sz="0" w:space="0" w:color="auto"/>
        <w:bottom w:val="none" w:sz="0" w:space="0" w:color="auto"/>
        <w:right w:val="none" w:sz="0" w:space="0" w:color="auto"/>
      </w:divBdr>
    </w:div>
    <w:div w:id="569927660">
      <w:bodyDiv w:val="1"/>
      <w:marLeft w:val="0"/>
      <w:marRight w:val="0"/>
      <w:marTop w:val="0"/>
      <w:marBottom w:val="0"/>
      <w:divBdr>
        <w:top w:val="none" w:sz="0" w:space="0" w:color="auto"/>
        <w:left w:val="none" w:sz="0" w:space="0" w:color="auto"/>
        <w:bottom w:val="none" w:sz="0" w:space="0" w:color="auto"/>
        <w:right w:val="none" w:sz="0" w:space="0" w:color="auto"/>
      </w:divBdr>
    </w:div>
    <w:div w:id="613176151">
      <w:bodyDiv w:val="1"/>
      <w:marLeft w:val="0"/>
      <w:marRight w:val="0"/>
      <w:marTop w:val="0"/>
      <w:marBottom w:val="0"/>
      <w:divBdr>
        <w:top w:val="none" w:sz="0" w:space="0" w:color="auto"/>
        <w:left w:val="none" w:sz="0" w:space="0" w:color="auto"/>
        <w:bottom w:val="none" w:sz="0" w:space="0" w:color="auto"/>
        <w:right w:val="none" w:sz="0" w:space="0" w:color="auto"/>
      </w:divBdr>
    </w:div>
    <w:div w:id="656766912">
      <w:bodyDiv w:val="1"/>
      <w:marLeft w:val="0"/>
      <w:marRight w:val="0"/>
      <w:marTop w:val="0"/>
      <w:marBottom w:val="0"/>
      <w:divBdr>
        <w:top w:val="none" w:sz="0" w:space="0" w:color="auto"/>
        <w:left w:val="none" w:sz="0" w:space="0" w:color="auto"/>
        <w:bottom w:val="none" w:sz="0" w:space="0" w:color="auto"/>
        <w:right w:val="none" w:sz="0" w:space="0" w:color="auto"/>
      </w:divBdr>
    </w:div>
    <w:div w:id="684088683">
      <w:bodyDiv w:val="1"/>
      <w:marLeft w:val="0"/>
      <w:marRight w:val="0"/>
      <w:marTop w:val="0"/>
      <w:marBottom w:val="0"/>
      <w:divBdr>
        <w:top w:val="none" w:sz="0" w:space="0" w:color="auto"/>
        <w:left w:val="none" w:sz="0" w:space="0" w:color="auto"/>
        <w:bottom w:val="none" w:sz="0" w:space="0" w:color="auto"/>
        <w:right w:val="none" w:sz="0" w:space="0" w:color="auto"/>
      </w:divBdr>
    </w:div>
    <w:div w:id="686324651">
      <w:bodyDiv w:val="1"/>
      <w:marLeft w:val="0"/>
      <w:marRight w:val="0"/>
      <w:marTop w:val="0"/>
      <w:marBottom w:val="0"/>
      <w:divBdr>
        <w:top w:val="none" w:sz="0" w:space="0" w:color="auto"/>
        <w:left w:val="none" w:sz="0" w:space="0" w:color="auto"/>
        <w:bottom w:val="none" w:sz="0" w:space="0" w:color="auto"/>
        <w:right w:val="none" w:sz="0" w:space="0" w:color="auto"/>
      </w:divBdr>
    </w:div>
    <w:div w:id="689259385">
      <w:bodyDiv w:val="1"/>
      <w:marLeft w:val="0"/>
      <w:marRight w:val="0"/>
      <w:marTop w:val="0"/>
      <w:marBottom w:val="0"/>
      <w:divBdr>
        <w:top w:val="none" w:sz="0" w:space="0" w:color="auto"/>
        <w:left w:val="none" w:sz="0" w:space="0" w:color="auto"/>
        <w:bottom w:val="none" w:sz="0" w:space="0" w:color="auto"/>
        <w:right w:val="none" w:sz="0" w:space="0" w:color="auto"/>
      </w:divBdr>
    </w:div>
    <w:div w:id="689646489">
      <w:bodyDiv w:val="1"/>
      <w:marLeft w:val="0"/>
      <w:marRight w:val="0"/>
      <w:marTop w:val="0"/>
      <w:marBottom w:val="0"/>
      <w:divBdr>
        <w:top w:val="none" w:sz="0" w:space="0" w:color="auto"/>
        <w:left w:val="none" w:sz="0" w:space="0" w:color="auto"/>
        <w:bottom w:val="none" w:sz="0" w:space="0" w:color="auto"/>
        <w:right w:val="none" w:sz="0" w:space="0" w:color="auto"/>
      </w:divBdr>
    </w:div>
    <w:div w:id="693926711">
      <w:bodyDiv w:val="1"/>
      <w:marLeft w:val="0"/>
      <w:marRight w:val="0"/>
      <w:marTop w:val="0"/>
      <w:marBottom w:val="0"/>
      <w:divBdr>
        <w:top w:val="none" w:sz="0" w:space="0" w:color="auto"/>
        <w:left w:val="none" w:sz="0" w:space="0" w:color="auto"/>
        <w:bottom w:val="none" w:sz="0" w:space="0" w:color="auto"/>
        <w:right w:val="none" w:sz="0" w:space="0" w:color="auto"/>
      </w:divBdr>
    </w:div>
    <w:div w:id="695891664">
      <w:bodyDiv w:val="1"/>
      <w:marLeft w:val="0"/>
      <w:marRight w:val="0"/>
      <w:marTop w:val="0"/>
      <w:marBottom w:val="0"/>
      <w:divBdr>
        <w:top w:val="none" w:sz="0" w:space="0" w:color="auto"/>
        <w:left w:val="none" w:sz="0" w:space="0" w:color="auto"/>
        <w:bottom w:val="none" w:sz="0" w:space="0" w:color="auto"/>
        <w:right w:val="none" w:sz="0" w:space="0" w:color="auto"/>
      </w:divBdr>
    </w:div>
    <w:div w:id="719673912">
      <w:bodyDiv w:val="1"/>
      <w:marLeft w:val="0"/>
      <w:marRight w:val="0"/>
      <w:marTop w:val="0"/>
      <w:marBottom w:val="0"/>
      <w:divBdr>
        <w:top w:val="none" w:sz="0" w:space="0" w:color="auto"/>
        <w:left w:val="none" w:sz="0" w:space="0" w:color="auto"/>
        <w:bottom w:val="none" w:sz="0" w:space="0" w:color="auto"/>
        <w:right w:val="none" w:sz="0" w:space="0" w:color="auto"/>
      </w:divBdr>
    </w:div>
    <w:div w:id="722295311">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26222129">
      <w:bodyDiv w:val="1"/>
      <w:marLeft w:val="0"/>
      <w:marRight w:val="0"/>
      <w:marTop w:val="0"/>
      <w:marBottom w:val="0"/>
      <w:divBdr>
        <w:top w:val="none" w:sz="0" w:space="0" w:color="auto"/>
        <w:left w:val="none" w:sz="0" w:space="0" w:color="auto"/>
        <w:bottom w:val="none" w:sz="0" w:space="0" w:color="auto"/>
        <w:right w:val="none" w:sz="0" w:space="0" w:color="auto"/>
      </w:divBdr>
    </w:div>
    <w:div w:id="729763991">
      <w:bodyDiv w:val="1"/>
      <w:marLeft w:val="0"/>
      <w:marRight w:val="0"/>
      <w:marTop w:val="0"/>
      <w:marBottom w:val="0"/>
      <w:divBdr>
        <w:top w:val="none" w:sz="0" w:space="0" w:color="auto"/>
        <w:left w:val="none" w:sz="0" w:space="0" w:color="auto"/>
        <w:bottom w:val="none" w:sz="0" w:space="0" w:color="auto"/>
        <w:right w:val="none" w:sz="0" w:space="0" w:color="auto"/>
      </w:divBdr>
    </w:div>
    <w:div w:id="734813937">
      <w:bodyDiv w:val="1"/>
      <w:marLeft w:val="0"/>
      <w:marRight w:val="0"/>
      <w:marTop w:val="0"/>
      <w:marBottom w:val="0"/>
      <w:divBdr>
        <w:top w:val="none" w:sz="0" w:space="0" w:color="auto"/>
        <w:left w:val="none" w:sz="0" w:space="0" w:color="auto"/>
        <w:bottom w:val="none" w:sz="0" w:space="0" w:color="auto"/>
        <w:right w:val="none" w:sz="0" w:space="0" w:color="auto"/>
      </w:divBdr>
    </w:div>
    <w:div w:id="741758617">
      <w:bodyDiv w:val="1"/>
      <w:marLeft w:val="0"/>
      <w:marRight w:val="0"/>
      <w:marTop w:val="0"/>
      <w:marBottom w:val="0"/>
      <w:divBdr>
        <w:top w:val="none" w:sz="0" w:space="0" w:color="auto"/>
        <w:left w:val="none" w:sz="0" w:space="0" w:color="auto"/>
        <w:bottom w:val="none" w:sz="0" w:space="0" w:color="auto"/>
        <w:right w:val="none" w:sz="0" w:space="0" w:color="auto"/>
      </w:divBdr>
    </w:div>
    <w:div w:id="742415303">
      <w:bodyDiv w:val="1"/>
      <w:marLeft w:val="0"/>
      <w:marRight w:val="0"/>
      <w:marTop w:val="0"/>
      <w:marBottom w:val="0"/>
      <w:divBdr>
        <w:top w:val="none" w:sz="0" w:space="0" w:color="auto"/>
        <w:left w:val="none" w:sz="0" w:space="0" w:color="auto"/>
        <w:bottom w:val="none" w:sz="0" w:space="0" w:color="auto"/>
        <w:right w:val="none" w:sz="0" w:space="0" w:color="auto"/>
      </w:divBdr>
    </w:div>
    <w:div w:id="743575300">
      <w:bodyDiv w:val="1"/>
      <w:marLeft w:val="0"/>
      <w:marRight w:val="0"/>
      <w:marTop w:val="0"/>
      <w:marBottom w:val="0"/>
      <w:divBdr>
        <w:top w:val="none" w:sz="0" w:space="0" w:color="auto"/>
        <w:left w:val="none" w:sz="0" w:space="0" w:color="auto"/>
        <w:bottom w:val="none" w:sz="0" w:space="0" w:color="auto"/>
        <w:right w:val="none" w:sz="0" w:space="0" w:color="auto"/>
      </w:divBdr>
    </w:div>
    <w:div w:id="746801606">
      <w:bodyDiv w:val="1"/>
      <w:marLeft w:val="0"/>
      <w:marRight w:val="0"/>
      <w:marTop w:val="0"/>
      <w:marBottom w:val="0"/>
      <w:divBdr>
        <w:top w:val="none" w:sz="0" w:space="0" w:color="auto"/>
        <w:left w:val="none" w:sz="0" w:space="0" w:color="auto"/>
        <w:bottom w:val="none" w:sz="0" w:space="0" w:color="auto"/>
        <w:right w:val="none" w:sz="0" w:space="0" w:color="auto"/>
      </w:divBdr>
    </w:div>
    <w:div w:id="758479585">
      <w:bodyDiv w:val="1"/>
      <w:marLeft w:val="0"/>
      <w:marRight w:val="0"/>
      <w:marTop w:val="0"/>
      <w:marBottom w:val="0"/>
      <w:divBdr>
        <w:top w:val="none" w:sz="0" w:space="0" w:color="auto"/>
        <w:left w:val="none" w:sz="0" w:space="0" w:color="auto"/>
        <w:bottom w:val="none" w:sz="0" w:space="0" w:color="auto"/>
        <w:right w:val="none" w:sz="0" w:space="0" w:color="auto"/>
      </w:divBdr>
    </w:div>
    <w:div w:id="760570838">
      <w:bodyDiv w:val="1"/>
      <w:marLeft w:val="0"/>
      <w:marRight w:val="0"/>
      <w:marTop w:val="0"/>
      <w:marBottom w:val="0"/>
      <w:divBdr>
        <w:top w:val="none" w:sz="0" w:space="0" w:color="auto"/>
        <w:left w:val="none" w:sz="0" w:space="0" w:color="auto"/>
        <w:bottom w:val="none" w:sz="0" w:space="0" w:color="auto"/>
        <w:right w:val="none" w:sz="0" w:space="0" w:color="auto"/>
      </w:divBdr>
    </w:div>
    <w:div w:id="768234429">
      <w:bodyDiv w:val="1"/>
      <w:marLeft w:val="0"/>
      <w:marRight w:val="0"/>
      <w:marTop w:val="0"/>
      <w:marBottom w:val="0"/>
      <w:divBdr>
        <w:top w:val="none" w:sz="0" w:space="0" w:color="auto"/>
        <w:left w:val="none" w:sz="0" w:space="0" w:color="auto"/>
        <w:bottom w:val="none" w:sz="0" w:space="0" w:color="auto"/>
        <w:right w:val="none" w:sz="0" w:space="0" w:color="auto"/>
      </w:divBdr>
    </w:div>
    <w:div w:id="786586518">
      <w:bodyDiv w:val="1"/>
      <w:marLeft w:val="0"/>
      <w:marRight w:val="0"/>
      <w:marTop w:val="0"/>
      <w:marBottom w:val="0"/>
      <w:divBdr>
        <w:top w:val="none" w:sz="0" w:space="0" w:color="auto"/>
        <w:left w:val="none" w:sz="0" w:space="0" w:color="auto"/>
        <w:bottom w:val="none" w:sz="0" w:space="0" w:color="auto"/>
        <w:right w:val="none" w:sz="0" w:space="0" w:color="auto"/>
      </w:divBdr>
    </w:div>
    <w:div w:id="787159969">
      <w:bodyDiv w:val="1"/>
      <w:marLeft w:val="0"/>
      <w:marRight w:val="0"/>
      <w:marTop w:val="0"/>
      <w:marBottom w:val="0"/>
      <w:divBdr>
        <w:top w:val="none" w:sz="0" w:space="0" w:color="auto"/>
        <w:left w:val="none" w:sz="0" w:space="0" w:color="auto"/>
        <w:bottom w:val="none" w:sz="0" w:space="0" w:color="auto"/>
        <w:right w:val="none" w:sz="0" w:space="0" w:color="auto"/>
      </w:divBdr>
    </w:div>
    <w:div w:id="787819477">
      <w:bodyDiv w:val="1"/>
      <w:marLeft w:val="0"/>
      <w:marRight w:val="0"/>
      <w:marTop w:val="0"/>
      <w:marBottom w:val="0"/>
      <w:divBdr>
        <w:top w:val="none" w:sz="0" w:space="0" w:color="auto"/>
        <w:left w:val="none" w:sz="0" w:space="0" w:color="auto"/>
        <w:bottom w:val="none" w:sz="0" w:space="0" w:color="auto"/>
        <w:right w:val="none" w:sz="0" w:space="0" w:color="auto"/>
      </w:divBdr>
    </w:div>
    <w:div w:id="801843326">
      <w:bodyDiv w:val="1"/>
      <w:marLeft w:val="0"/>
      <w:marRight w:val="0"/>
      <w:marTop w:val="0"/>
      <w:marBottom w:val="0"/>
      <w:divBdr>
        <w:top w:val="none" w:sz="0" w:space="0" w:color="auto"/>
        <w:left w:val="none" w:sz="0" w:space="0" w:color="auto"/>
        <w:bottom w:val="none" w:sz="0" w:space="0" w:color="auto"/>
        <w:right w:val="none" w:sz="0" w:space="0" w:color="auto"/>
      </w:divBdr>
    </w:div>
    <w:div w:id="812450654">
      <w:bodyDiv w:val="1"/>
      <w:marLeft w:val="0"/>
      <w:marRight w:val="0"/>
      <w:marTop w:val="0"/>
      <w:marBottom w:val="0"/>
      <w:divBdr>
        <w:top w:val="none" w:sz="0" w:space="0" w:color="auto"/>
        <w:left w:val="none" w:sz="0" w:space="0" w:color="auto"/>
        <w:bottom w:val="none" w:sz="0" w:space="0" w:color="auto"/>
        <w:right w:val="none" w:sz="0" w:space="0" w:color="auto"/>
      </w:divBdr>
    </w:div>
    <w:div w:id="822506988">
      <w:bodyDiv w:val="1"/>
      <w:marLeft w:val="0"/>
      <w:marRight w:val="0"/>
      <w:marTop w:val="0"/>
      <w:marBottom w:val="0"/>
      <w:divBdr>
        <w:top w:val="none" w:sz="0" w:space="0" w:color="auto"/>
        <w:left w:val="none" w:sz="0" w:space="0" w:color="auto"/>
        <w:bottom w:val="none" w:sz="0" w:space="0" w:color="auto"/>
        <w:right w:val="none" w:sz="0" w:space="0" w:color="auto"/>
      </w:divBdr>
    </w:div>
    <w:div w:id="831138237">
      <w:bodyDiv w:val="1"/>
      <w:marLeft w:val="0"/>
      <w:marRight w:val="0"/>
      <w:marTop w:val="0"/>
      <w:marBottom w:val="0"/>
      <w:divBdr>
        <w:top w:val="none" w:sz="0" w:space="0" w:color="auto"/>
        <w:left w:val="none" w:sz="0" w:space="0" w:color="auto"/>
        <w:bottom w:val="none" w:sz="0" w:space="0" w:color="auto"/>
        <w:right w:val="none" w:sz="0" w:space="0" w:color="auto"/>
      </w:divBdr>
    </w:div>
    <w:div w:id="835341370">
      <w:bodyDiv w:val="1"/>
      <w:marLeft w:val="0"/>
      <w:marRight w:val="0"/>
      <w:marTop w:val="0"/>
      <w:marBottom w:val="0"/>
      <w:divBdr>
        <w:top w:val="none" w:sz="0" w:space="0" w:color="auto"/>
        <w:left w:val="none" w:sz="0" w:space="0" w:color="auto"/>
        <w:bottom w:val="none" w:sz="0" w:space="0" w:color="auto"/>
        <w:right w:val="none" w:sz="0" w:space="0" w:color="auto"/>
      </w:divBdr>
    </w:div>
    <w:div w:id="854537820">
      <w:bodyDiv w:val="1"/>
      <w:marLeft w:val="0"/>
      <w:marRight w:val="0"/>
      <w:marTop w:val="0"/>
      <w:marBottom w:val="0"/>
      <w:divBdr>
        <w:top w:val="none" w:sz="0" w:space="0" w:color="auto"/>
        <w:left w:val="none" w:sz="0" w:space="0" w:color="auto"/>
        <w:bottom w:val="none" w:sz="0" w:space="0" w:color="auto"/>
        <w:right w:val="none" w:sz="0" w:space="0" w:color="auto"/>
      </w:divBdr>
    </w:div>
    <w:div w:id="869344539">
      <w:bodyDiv w:val="1"/>
      <w:marLeft w:val="0"/>
      <w:marRight w:val="0"/>
      <w:marTop w:val="0"/>
      <w:marBottom w:val="0"/>
      <w:divBdr>
        <w:top w:val="none" w:sz="0" w:space="0" w:color="auto"/>
        <w:left w:val="none" w:sz="0" w:space="0" w:color="auto"/>
        <w:bottom w:val="none" w:sz="0" w:space="0" w:color="auto"/>
        <w:right w:val="none" w:sz="0" w:space="0" w:color="auto"/>
      </w:divBdr>
    </w:div>
    <w:div w:id="871957720">
      <w:bodyDiv w:val="1"/>
      <w:marLeft w:val="0"/>
      <w:marRight w:val="0"/>
      <w:marTop w:val="0"/>
      <w:marBottom w:val="0"/>
      <w:divBdr>
        <w:top w:val="none" w:sz="0" w:space="0" w:color="auto"/>
        <w:left w:val="none" w:sz="0" w:space="0" w:color="auto"/>
        <w:bottom w:val="none" w:sz="0" w:space="0" w:color="auto"/>
        <w:right w:val="none" w:sz="0" w:space="0" w:color="auto"/>
      </w:divBdr>
    </w:div>
    <w:div w:id="881132006">
      <w:bodyDiv w:val="1"/>
      <w:marLeft w:val="0"/>
      <w:marRight w:val="0"/>
      <w:marTop w:val="0"/>
      <w:marBottom w:val="0"/>
      <w:divBdr>
        <w:top w:val="none" w:sz="0" w:space="0" w:color="auto"/>
        <w:left w:val="none" w:sz="0" w:space="0" w:color="auto"/>
        <w:bottom w:val="none" w:sz="0" w:space="0" w:color="auto"/>
        <w:right w:val="none" w:sz="0" w:space="0" w:color="auto"/>
      </w:divBdr>
    </w:div>
    <w:div w:id="893277876">
      <w:bodyDiv w:val="1"/>
      <w:marLeft w:val="0"/>
      <w:marRight w:val="0"/>
      <w:marTop w:val="0"/>
      <w:marBottom w:val="0"/>
      <w:divBdr>
        <w:top w:val="none" w:sz="0" w:space="0" w:color="auto"/>
        <w:left w:val="none" w:sz="0" w:space="0" w:color="auto"/>
        <w:bottom w:val="none" w:sz="0" w:space="0" w:color="auto"/>
        <w:right w:val="none" w:sz="0" w:space="0" w:color="auto"/>
      </w:divBdr>
    </w:div>
    <w:div w:id="900216619">
      <w:bodyDiv w:val="1"/>
      <w:marLeft w:val="0"/>
      <w:marRight w:val="0"/>
      <w:marTop w:val="0"/>
      <w:marBottom w:val="0"/>
      <w:divBdr>
        <w:top w:val="none" w:sz="0" w:space="0" w:color="auto"/>
        <w:left w:val="none" w:sz="0" w:space="0" w:color="auto"/>
        <w:bottom w:val="none" w:sz="0" w:space="0" w:color="auto"/>
        <w:right w:val="none" w:sz="0" w:space="0" w:color="auto"/>
      </w:divBdr>
    </w:div>
    <w:div w:id="912158252">
      <w:bodyDiv w:val="1"/>
      <w:marLeft w:val="0"/>
      <w:marRight w:val="0"/>
      <w:marTop w:val="0"/>
      <w:marBottom w:val="0"/>
      <w:divBdr>
        <w:top w:val="none" w:sz="0" w:space="0" w:color="auto"/>
        <w:left w:val="none" w:sz="0" w:space="0" w:color="auto"/>
        <w:bottom w:val="none" w:sz="0" w:space="0" w:color="auto"/>
        <w:right w:val="none" w:sz="0" w:space="0" w:color="auto"/>
      </w:divBdr>
    </w:div>
    <w:div w:id="918370909">
      <w:bodyDiv w:val="1"/>
      <w:marLeft w:val="0"/>
      <w:marRight w:val="0"/>
      <w:marTop w:val="0"/>
      <w:marBottom w:val="0"/>
      <w:divBdr>
        <w:top w:val="none" w:sz="0" w:space="0" w:color="auto"/>
        <w:left w:val="none" w:sz="0" w:space="0" w:color="auto"/>
        <w:bottom w:val="none" w:sz="0" w:space="0" w:color="auto"/>
        <w:right w:val="none" w:sz="0" w:space="0" w:color="auto"/>
      </w:divBdr>
    </w:div>
    <w:div w:id="919364631">
      <w:bodyDiv w:val="1"/>
      <w:marLeft w:val="0"/>
      <w:marRight w:val="0"/>
      <w:marTop w:val="0"/>
      <w:marBottom w:val="0"/>
      <w:divBdr>
        <w:top w:val="none" w:sz="0" w:space="0" w:color="auto"/>
        <w:left w:val="none" w:sz="0" w:space="0" w:color="auto"/>
        <w:bottom w:val="none" w:sz="0" w:space="0" w:color="auto"/>
        <w:right w:val="none" w:sz="0" w:space="0" w:color="auto"/>
      </w:divBdr>
    </w:div>
    <w:div w:id="927926326">
      <w:bodyDiv w:val="1"/>
      <w:marLeft w:val="0"/>
      <w:marRight w:val="0"/>
      <w:marTop w:val="0"/>
      <w:marBottom w:val="0"/>
      <w:divBdr>
        <w:top w:val="none" w:sz="0" w:space="0" w:color="auto"/>
        <w:left w:val="none" w:sz="0" w:space="0" w:color="auto"/>
        <w:bottom w:val="none" w:sz="0" w:space="0" w:color="auto"/>
        <w:right w:val="none" w:sz="0" w:space="0" w:color="auto"/>
      </w:divBdr>
    </w:div>
    <w:div w:id="928126314">
      <w:bodyDiv w:val="1"/>
      <w:marLeft w:val="0"/>
      <w:marRight w:val="0"/>
      <w:marTop w:val="0"/>
      <w:marBottom w:val="0"/>
      <w:divBdr>
        <w:top w:val="none" w:sz="0" w:space="0" w:color="auto"/>
        <w:left w:val="none" w:sz="0" w:space="0" w:color="auto"/>
        <w:bottom w:val="none" w:sz="0" w:space="0" w:color="auto"/>
        <w:right w:val="none" w:sz="0" w:space="0" w:color="auto"/>
      </w:divBdr>
    </w:div>
    <w:div w:id="934750375">
      <w:bodyDiv w:val="1"/>
      <w:marLeft w:val="0"/>
      <w:marRight w:val="0"/>
      <w:marTop w:val="0"/>
      <w:marBottom w:val="0"/>
      <w:divBdr>
        <w:top w:val="none" w:sz="0" w:space="0" w:color="auto"/>
        <w:left w:val="none" w:sz="0" w:space="0" w:color="auto"/>
        <w:bottom w:val="none" w:sz="0" w:space="0" w:color="auto"/>
        <w:right w:val="none" w:sz="0" w:space="0" w:color="auto"/>
      </w:divBdr>
    </w:div>
    <w:div w:id="950940609">
      <w:bodyDiv w:val="1"/>
      <w:marLeft w:val="0"/>
      <w:marRight w:val="0"/>
      <w:marTop w:val="0"/>
      <w:marBottom w:val="0"/>
      <w:divBdr>
        <w:top w:val="none" w:sz="0" w:space="0" w:color="auto"/>
        <w:left w:val="none" w:sz="0" w:space="0" w:color="auto"/>
        <w:bottom w:val="none" w:sz="0" w:space="0" w:color="auto"/>
        <w:right w:val="none" w:sz="0" w:space="0" w:color="auto"/>
      </w:divBdr>
    </w:div>
    <w:div w:id="962418886">
      <w:bodyDiv w:val="1"/>
      <w:marLeft w:val="0"/>
      <w:marRight w:val="0"/>
      <w:marTop w:val="0"/>
      <w:marBottom w:val="0"/>
      <w:divBdr>
        <w:top w:val="none" w:sz="0" w:space="0" w:color="auto"/>
        <w:left w:val="none" w:sz="0" w:space="0" w:color="auto"/>
        <w:bottom w:val="none" w:sz="0" w:space="0" w:color="auto"/>
        <w:right w:val="none" w:sz="0" w:space="0" w:color="auto"/>
      </w:divBdr>
    </w:div>
    <w:div w:id="964506370">
      <w:bodyDiv w:val="1"/>
      <w:marLeft w:val="0"/>
      <w:marRight w:val="0"/>
      <w:marTop w:val="0"/>
      <w:marBottom w:val="0"/>
      <w:divBdr>
        <w:top w:val="none" w:sz="0" w:space="0" w:color="auto"/>
        <w:left w:val="none" w:sz="0" w:space="0" w:color="auto"/>
        <w:bottom w:val="none" w:sz="0" w:space="0" w:color="auto"/>
        <w:right w:val="none" w:sz="0" w:space="0" w:color="auto"/>
      </w:divBdr>
    </w:div>
    <w:div w:id="96535345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843721">
      <w:bodyDiv w:val="1"/>
      <w:marLeft w:val="0"/>
      <w:marRight w:val="0"/>
      <w:marTop w:val="0"/>
      <w:marBottom w:val="0"/>
      <w:divBdr>
        <w:top w:val="none" w:sz="0" w:space="0" w:color="auto"/>
        <w:left w:val="none" w:sz="0" w:space="0" w:color="auto"/>
        <w:bottom w:val="none" w:sz="0" w:space="0" w:color="auto"/>
        <w:right w:val="none" w:sz="0" w:space="0" w:color="auto"/>
      </w:divBdr>
    </w:div>
    <w:div w:id="991718101">
      <w:bodyDiv w:val="1"/>
      <w:marLeft w:val="0"/>
      <w:marRight w:val="0"/>
      <w:marTop w:val="0"/>
      <w:marBottom w:val="0"/>
      <w:divBdr>
        <w:top w:val="none" w:sz="0" w:space="0" w:color="auto"/>
        <w:left w:val="none" w:sz="0" w:space="0" w:color="auto"/>
        <w:bottom w:val="none" w:sz="0" w:space="0" w:color="auto"/>
        <w:right w:val="none" w:sz="0" w:space="0" w:color="auto"/>
      </w:divBdr>
    </w:div>
    <w:div w:id="1002121584">
      <w:bodyDiv w:val="1"/>
      <w:marLeft w:val="0"/>
      <w:marRight w:val="0"/>
      <w:marTop w:val="0"/>
      <w:marBottom w:val="0"/>
      <w:divBdr>
        <w:top w:val="none" w:sz="0" w:space="0" w:color="auto"/>
        <w:left w:val="none" w:sz="0" w:space="0" w:color="auto"/>
        <w:bottom w:val="none" w:sz="0" w:space="0" w:color="auto"/>
        <w:right w:val="none" w:sz="0" w:space="0" w:color="auto"/>
      </w:divBdr>
    </w:div>
    <w:div w:id="1008562003">
      <w:bodyDiv w:val="1"/>
      <w:marLeft w:val="0"/>
      <w:marRight w:val="0"/>
      <w:marTop w:val="0"/>
      <w:marBottom w:val="0"/>
      <w:divBdr>
        <w:top w:val="none" w:sz="0" w:space="0" w:color="auto"/>
        <w:left w:val="none" w:sz="0" w:space="0" w:color="auto"/>
        <w:bottom w:val="none" w:sz="0" w:space="0" w:color="auto"/>
        <w:right w:val="none" w:sz="0" w:space="0" w:color="auto"/>
      </w:divBdr>
    </w:div>
    <w:div w:id="1009673861">
      <w:bodyDiv w:val="1"/>
      <w:marLeft w:val="0"/>
      <w:marRight w:val="0"/>
      <w:marTop w:val="0"/>
      <w:marBottom w:val="0"/>
      <w:divBdr>
        <w:top w:val="none" w:sz="0" w:space="0" w:color="auto"/>
        <w:left w:val="none" w:sz="0" w:space="0" w:color="auto"/>
        <w:bottom w:val="none" w:sz="0" w:space="0" w:color="auto"/>
        <w:right w:val="none" w:sz="0" w:space="0" w:color="auto"/>
      </w:divBdr>
    </w:div>
    <w:div w:id="1011033601">
      <w:bodyDiv w:val="1"/>
      <w:marLeft w:val="0"/>
      <w:marRight w:val="0"/>
      <w:marTop w:val="0"/>
      <w:marBottom w:val="0"/>
      <w:divBdr>
        <w:top w:val="none" w:sz="0" w:space="0" w:color="auto"/>
        <w:left w:val="none" w:sz="0" w:space="0" w:color="auto"/>
        <w:bottom w:val="none" w:sz="0" w:space="0" w:color="auto"/>
        <w:right w:val="none" w:sz="0" w:space="0" w:color="auto"/>
      </w:divBdr>
    </w:div>
    <w:div w:id="1018387231">
      <w:bodyDiv w:val="1"/>
      <w:marLeft w:val="0"/>
      <w:marRight w:val="0"/>
      <w:marTop w:val="0"/>
      <w:marBottom w:val="0"/>
      <w:divBdr>
        <w:top w:val="none" w:sz="0" w:space="0" w:color="auto"/>
        <w:left w:val="none" w:sz="0" w:space="0" w:color="auto"/>
        <w:bottom w:val="none" w:sz="0" w:space="0" w:color="auto"/>
        <w:right w:val="none" w:sz="0" w:space="0" w:color="auto"/>
      </w:divBdr>
    </w:div>
    <w:div w:id="1022781711">
      <w:bodyDiv w:val="1"/>
      <w:marLeft w:val="0"/>
      <w:marRight w:val="0"/>
      <w:marTop w:val="0"/>
      <w:marBottom w:val="0"/>
      <w:divBdr>
        <w:top w:val="none" w:sz="0" w:space="0" w:color="auto"/>
        <w:left w:val="none" w:sz="0" w:space="0" w:color="auto"/>
        <w:bottom w:val="none" w:sz="0" w:space="0" w:color="auto"/>
        <w:right w:val="none" w:sz="0" w:space="0" w:color="auto"/>
      </w:divBdr>
    </w:div>
    <w:div w:id="1024937578">
      <w:bodyDiv w:val="1"/>
      <w:marLeft w:val="0"/>
      <w:marRight w:val="0"/>
      <w:marTop w:val="0"/>
      <w:marBottom w:val="0"/>
      <w:divBdr>
        <w:top w:val="none" w:sz="0" w:space="0" w:color="auto"/>
        <w:left w:val="none" w:sz="0" w:space="0" w:color="auto"/>
        <w:bottom w:val="none" w:sz="0" w:space="0" w:color="auto"/>
        <w:right w:val="none" w:sz="0" w:space="0" w:color="auto"/>
      </w:divBdr>
    </w:div>
    <w:div w:id="1028682971">
      <w:bodyDiv w:val="1"/>
      <w:marLeft w:val="0"/>
      <w:marRight w:val="0"/>
      <w:marTop w:val="0"/>
      <w:marBottom w:val="0"/>
      <w:divBdr>
        <w:top w:val="none" w:sz="0" w:space="0" w:color="auto"/>
        <w:left w:val="none" w:sz="0" w:space="0" w:color="auto"/>
        <w:bottom w:val="none" w:sz="0" w:space="0" w:color="auto"/>
        <w:right w:val="none" w:sz="0" w:space="0" w:color="auto"/>
      </w:divBdr>
    </w:div>
    <w:div w:id="1033923736">
      <w:bodyDiv w:val="1"/>
      <w:marLeft w:val="0"/>
      <w:marRight w:val="0"/>
      <w:marTop w:val="0"/>
      <w:marBottom w:val="0"/>
      <w:divBdr>
        <w:top w:val="none" w:sz="0" w:space="0" w:color="auto"/>
        <w:left w:val="none" w:sz="0" w:space="0" w:color="auto"/>
        <w:bottom w:val="none" w:sz="0" w:space="0" w:color="auto"/>
        <w:right w:val="none" w:sz="0" w:space="0" w:color="auto"/>
      </w:divBdr>
    </w:div>
    <w:div w:id="1035158194">
      <w:bodyDiv w:val="1"/>
      <w:marLeft w:val="0"/>
      <w:marRight w:val="0"/>
      <w:marTop w:val="0"/>
      <w:marBottom w:val="0"/>
      <w:divBdr>
        <w:top w:val="none" w:sz="0" w:space="0" w:color="auto"/>
        <w:left w:val="none" w:sz="0" w:space="0" w:color="auto"/>
        <w:bottom w:val="none" w:sz="0" w:space="0" w:color="auto"/>
        <w:right w:val="none" w:sz="0" w:space="0" w:color="auto"/>
      </w:divBdr>
    </w:div>
    <w:div w:id="1049836635">
      <w:bodyDiv w:val="1"/>
      <w:marLeft w:val="0"/>
      <w:marRight w:val="0"/>
      <w:marTop w:val="0"/>
      <w:marBottom w:val="0"/>
      <w:divBdr>
        <w:top w:val="none" w:sz="0" w:space="0" w:color="auto"/>
        <w:left w:val="none" w:sz="0" w:space="0" w:color="auto"/>
        <w:bottom w:val="none" w:sz="0" w:space="0" w:color="auto"/>
        <w:right w:val="none" w:sz="0" w:space="0" w:color="auto"/>
      </w:divBdr>
    </w:div>
    <w:div w:id="1053623319">
      <w:bodyDiv w:val="1"/>
      <w:marLeft w:val="0"/>
      <w:marRight w:val="0"/>
      <w:marTop w:val="0"/>
      <w:marBottom w:val="0"/>
      <w:divBdr>
        <w:top w:val="none" w:sz="0" w:space="0" w:color="auto"/>
        <w:left w:val="none" w:sz="0" w:space="0" w:color="auto"/>
        <w:bottom w:val="none" w:sz="0" w:space="0" w:color="auto"/>
        <w:right w:val="none" w:sz="0" w:space="0" w:color="auto"/>
      </w:divBdr>
    </w:div>
    <w:div w:id="1061709199">
      <w:bodyDiv w:val="1"/>
      <w:marLeft w:val="0"/>
      <w:marRight w:val="0"/>
      <w:marTop w:val="0"/>
      <w:marBottom w:val="0"/>
      <w:divBdr>
        <w:top w:val="none" w:sz="0" w:space="0" w:color="auto"/>
        <w:left w:val="none" w:sz="0" w:space="0" w:color="auto"/>
        <w:bottom w:val="none" w:sz="0" w:space="0" w:color="auto"/>
        <w:right w:val="none" w:sz="0" w:space="0" w:color="auto"/>
      </w:divBdr>
    </w:div>
    <w:div w:id="1062023749">
      <w:bodyDiv w:val="1"/>
      <w:marLeft w:val="0"/>
      <w:marRight w:val="0"/>
      <w:marTop w:val="0"/>
      <w:marBottom w:val="0"/>
      <w:divBdr>
        <w:top w:val="none" w:sz="0" w:space="0" w:color="auto"/>
        <w:left w:val="none" w:sz="0" w:space="0" w:color="auto"/>
        <w:bottom w:val="none" w:sz="0" w:space="0" w:color="auto"/>
        <w:right w:val="none" w:sz="0" w:space="0" w:color="auto"/>
      </w:divBdr>
    </w:div>
    <w:div w:id="1064179826">
      <w:bodyDiv w:val="1"/>
      <w:marLeft w:val="0"/>
      <w:marRight w:val="0"/>
      <w:marTop w:val="0"/>
      <w:marBottom w:val="0"/>
      <w:divBdr>
        <w:top w:val="none" w:sz="0" w:space="0" w:color="auto"/>
        <w:left w:val="none" w:sz="0" w:space="0" w:color="auto"/>
        <w:bottom w:val="none" w:sz="0" w:space="0" w:color="auto"/>
        <w:right w:val="none" w:sz="0" w:space="0" w:color="auto"/>
      </w:divBdr>
    </w:div>
    <w:div w:id="1080638731">
      <w:bodyDiv w:val="1"/>
      <w:marLeft w:val="0"/>
      <w:marRight w:val="0"/>
      <w:marTop w:val="0"/>
      <w:marBottom w:val="0"/>
      <w:divBdr>
        <w:top w:val="none" w:sz="0" w:space="0" w:color="auto"/>
        <w:left w:val="none" w:sz="0" w:space="0" w:color="auto"/>
        <w:bottom w:val="none" w:sz="0" w:space="0" w:color="auto"/>
        <w:right w:val="none" w:sz="0" w:space="0" w:color="auto"/>
      </w:divBdr>
    </w:div>
    <w:div w:id="1082869866">
      <w:bodyDiv w:val="1"/>
      <w:marLeft w:val="0"/>
      <w:marRight w:val="0"/>
      <w:marTop w:val="0"/>
      <w:marBottom w:val="0"/>
      <w:divBdr>
        <w:top w:val="none" w:sz="0" w:space="0" w:color="auto"/>
        <w:left w:val="none" w:sz="0" w:space="0" w:color="auto"/>
        <w:bottom w:val="none" w:sz="0" w:space="0" w:color="auto"/>
        <w:right w:val="none" w:sz="0" w:space="0" w:color="auto"/>
      </w:divBdr>
    </w:div>
    <w:div w:id="1088845525">
      <w:bodyDiv w:val="1"/>
      <w:marLeft w:val="0"/>
      <w:marRight w:val="0"/>
      <w:marTop w:val="0"/>
      <w:marBottom w:val="0"/>
      <w:divBdr>
        <w:top w:val="none" w:sz="0" w:space="0" w:color="auto"/>
        <w:left w:val="none" w:sz="0" w:space="0" w:color="auto"/>
        <w:bottom w:val="none" w:sz="0" w:space="0" w:color="auto"/>
        <w:right w:val="none" w:sz="0" w:space="0" w:color="auto"/>
      </w:divBdr>
    </w:div>
    <w:div w:id="1096753973">
      <w:bodyDiv w:val="1"/>
      <w:marLeft w:val="0"/>
      <w:marRight w:val="0"/>
      <w:marTop w:val="0"/>
      <w:marBottom w:val="0"/>
      <w:divBdr>
        <w:top w:val="none" w:sz="0" w:space="0" w:color="auto"/>
        <w:left w:val="none" w:sz="0" w:space="0" w:color="auto"/>
        <w:bottom w:val="none" w:sz="0" w:space="0" w:color="auto"/>
        <w:right w:val="none" w:sz="0" w:space="0" w:color="auto"/>
      </w:divBdr>
    </w:div>
    <w:div w:id="1099563753">
      <w:bodyDiv w:val="1"/>
      <w:marLeft w:val="0"/>
      <w:marRight w:val="0"/>
      <w:marTop w:val="0"/>
      <w:marBottom w:val="0"/>
      <w:divBdr>
        <w:top w:val="none" w:sz="0" w:space="0" w:color="auto"/>
        <w:left w:val="none" w:sz="0" w:space="0" w:color="auto"/>
        <w:bottom w:val="none" w:sz="0" w:space="0" w:color="auto"/>
        <w:right w:val="none" w:sz="0" w:space="0" w:color="auto"/>
      </w:divBdr>
    </w:div>
    <w:div w:id="1103301183">
      <w:bodyDiv w:val="1"/>
      <w:marLeft w:val="0"/>
      <w:marRight w:val="0"/>
      <w:marTop w:val="0"/>
      <w:marBottom w:val="0"/>
      <w:divBdr>
        <w:top w:val="none" w:sz="0" w:space="0" w:color="auto"/>
        <w:left w:val="none" w:sz="0" w:space="0" w:color="auto"/>
        <w:bottom w:val="none" w:sz="0" w:space="0" w:color="auto"/>
        <w:right w:val="none" w:sz="0" w:space="0" w:color="auto"/>
      </w:divBdr>
    </w:div>
    <w:div w:id="1106730311">
      <w:bodyDiv w:val="1"/>
      <w:marLeft w:val="0"/>
      <w:marRight w:val="0"/>
      <w:marTop w:val="0"/>
      <w:marBottom w:val="0"/>
      <w:divBdr>
        <w:top w:val="none" w:sz="0" w:space="0" w:color="auto"/>
        <w:left w:val="none" w:sz="0" w:space="0" w:color="auto"/>
        <w:bottom w:val="none" w:sz="0" w:space="0" w:color="auto"/>
        <w:right w:val="none" w:sz="0" w:space="0" w:color="auto"/>
      </w:divBdr>
    </w:div>
    <w:div w:id="1111782475">
      <w:bodyDiv w:val="1"/>
      <w:marLeft w:val="0"/>
      <w:marRight w:val="0"/>
      <w:marTop w:val="0"/>
      <w:marBottom w:val="0"/>
      <w:divBdr>
        <w:top w:val="none" w:sz="0" w:space="0" w:color="auto"/>
        <w:left w:val="none" w:sz="0" w:space="0" w:color="auto"/>
        <w:bottom w:val="none" w:sz="0" w:space="0" w:color="auto"/>
        <w:right w:val="none" w:sz="0" w:space="0" w:color="auto"/>
      </w:divBdr>
    </w:div>
    <w:div w:id="1125388785">
      <w:bodyDiv w:val="1"/>
      <w:marLeft w:val="0"/>
      <w:marRight w:val="0"/>
      <w:marTop w:val="0"/>
      <w:marBottom w:val="0"/>
      <w:divBdr>
        <w:top w:val="none" w:sz="0" w:space="0" w:color="auto"/>
        <w:left w:val="none" w:sz="0" w:space="0" w:color="auto"/>
        <w:bottom w:val="none" w:sz="0" w:space="0" w:color="auto"/>
        <w:right w:val="none" w:sz="0" w:space="0" w:color="auto"/>
      </w:divBdr>
    </w:div>
    <w:div w:id="1125737503">
      <w:bodyDiv w:val="1"/>
      <w:marLeft w:val="0"/>
      <w:marRight w:val="0"/>
      <w:marTop w:val="0"/>
      <w:marBottom w:val="0"/>
      <w:divBdr>
        <w:top w:val="none" w:sz="0" w:space="0" w:color="auto"/>
        <w:left w:val="none" w:sz="0" w:space="0" w:color="auto"/>
        <w:bottom w:val="none" w:sz="0" w:space="0" w:color="auto"/>
        <w:right w:val="none" w:sz="0" w:space="0" w:color="auto"/>
      </w:divBdr>
    </w:div>
    <w:div w:id="112912668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0319047">
      <w:bodyDiv w:val="1"/>
      <w:marLeft w:val="0"/>
      <w:marRight w:val="0"/>
      <w:marTop w:val="0"/>
      <w:marBottom w:val="0"/>
      <w:divBdr>
        <w:top w:val="none" w:sz="0" w:space="0" w:color="auto"/>
        <w:left w:val="none" w:sz="0" w:space="0" w:color="auto"/>
        <w:bottom w:val="none" w:sz="0" w:space="0" w:color="auto"/>
        <w:right w:val="none" w:sz="0" w:space="0" w:color="auto"/>
      </w:divBdr>
    </w:div>
    <w:div w:id="1153717295">
      <w:bodyDiv w:val="1"/>
      <w:marLeft w:val="0"/>
      <w:marRight w:val="0"/>
      <w:marTop w:val="0"/>
      <w:marBottom w:val="0"/>
      <w:divBdr>
        <w:top w:val="none" w:sz="0" w:space="0" w:color="auto"/>
        <w:left w:val="none" w:sz="0" w:space="0" w:color="auto"/>
        <w:bottom w:val="none" w:sz="0" w:space="0" w:color="auto"/>
        <w:right w:val="none" w:sz="0" w:space="0" w:color="auto"/>
      </w:divBdr>
    </w:div>
    <w:div w:id="1155537477">
      <w:bodyDiv w:val="1"/>
      <w:marLeft w:val="0"/>
      <w:marRight w:val="0"/>
      <w:marTop w:val="0"/>
      <w:marBottom w:val="0"/>
      <w:divBdr>
        <w:top w:val="none" w:sz="0" w:space="0" w:color="auto"/>
        <w:left w:val="none" w:sz="0" w:space="0" w:color="auto"/>
        <w:bottom w:val="none" w:sz="0" w:space="0" w:color="auto"/>
        <w:right w:val="none" w:sz="0" w:space="0" w:color="auto"/>
      </w:divBdr>
    </w:div>
    <w:div w:id="1158420994">
      <w:bodyDiv w:val="1"/>
      <w:marLeft w:val="0"/>
      <w:marRight w:val="0"/>
      <w:marTop w:val="0"/>
      <w:marBottom w:val="0"/>
      <w:divBdr>
        <w:top w:val="none" w:sz="0" w:space="0" w:color="auto"/>
        <w:left w:val="none" w:sz="0" w:space="0" w:color="auto"/>
        <w:bottom w:val="none" w:sz="0" w:space="0" w:color="auto"/>
        <w:right w:val="none" w:sz="0" w:space="0" w:color="auto"/>
      </w:divBdr>
    </w:div>
    <w:div w:id="1174371512">
      <w:bodyDiv w:val="1"/>
      <w:marLeft w:val="0"/>
      <w:marRight w:val="0"/>
      <w:marTop w:val="0"/>
      <w:marBottom w:val="0"/>
      <w:divBdr>
        <w:top w:val="none" w:sz="0" w:space="0" w:color="auto"/>
        <w:left w:val="none" w:sz="0" w:space="0" w:color="auto"/>
        <w:bottom w:val="none" w:sz="0" w:space="0" w:color="auto"/>
        <w:right w:val="none" w:sz="0" w:space="0" w:color="auto"/>
      </w:divBdr>
    </w:div>
    <w:div w:id="1175262579">
      <w:bodyDiv w:val="1"/>
      <w:marLeft w:val="0"/>
      <w:marRight w:val="0"/>
      <w:marTop w:val="0"/>
      <w:marBottom w:val="0"/>
      <w:divBdr>
        <w:top w:val="none" w:sz="0" w:space="0" w:color="auto"/>
        <w:left w:val="none" w:sz="0" w:space="0" w:color="auto"/>
        <w:bottom w:val="none" w:sz="0" w:space="0" w:color="auto"/>
        <w:right w:val="none" w:sz="0" w:space="0" w:color="auto"/>
      </w:divBdr>
    </w:div>
    <w:div w:id="1176530982">
      <w:bodyDiv w:val="1"/>
      <w:marLeft w:val="0"/>
      <w:marRight w:val="0"/>
      <w:marTop w:val="0"/>
      <w:marBottom w:val="0"/>
      <w:divBdr>
        <w:top w:val="none" w:sz="0" w:space="0" w:color="auto"/>
        <w:left w:val="none" w:sz="0" w:space="0" w:color="auto"/>
        <w:bottom w:val="none" w:sz="0" w:space="0" w:color="auto"/>
        <w:right w:val="none" w:sz="0" w:space="0" w:color="auto"/>
      </w:divBdr>
    </w:div>
    <w:div w:id="1181242753">
      <w:bodyDiv w:val="1"/>
      <w:marLeft w:val="0"/>
      <w:marRight w:val="0"/>
      <w:marTop w:val="0"/>
      <w:marBottom w:val="0"/>
      <w:divBdr>
        <w:top w:val="none" w:sz="0" w:space="0" w:color="auto"/>
        <w:left w:val="none" w:sz="0" w:space="0" w:color="auto"/>
        <w:bottom w:val="none" w:sz="0" w:space="0" w:color="auto"/>
        <w:right w:val="none" w:sz="0" w:space="0" w:color="auto"/>
      </w:divBdr>
    </w:div>
    <w:div w:id="1185486319">
      <w:bodyDiv w:val="1"/>
      <w:marLeft w:val="0"/>
      <w:marRight w:val="0"/>
      <w:marTop w:val="0"/>
      <w:marBottom w:val="0"/>
      <w:divBdr>
        <w:top w:val="none" w:sz="0" w:space="0" w:color="auto"/>
        <w:left w:val="none" w:sz="0" w:space="0" w:color="auto"/>
        <w:bottom w:val="none" w:sz="0" w:space="0" w:color="auto"/>
        <w:right w:val="none" w:sz="0" w:space="0" w:color="auto"/>
      </w:divBdr>
    </w:div>
    <w:div w:id="1201355392">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06676302">
      <w:bodyDiv w:val="1"/>
      <w:marLeft w:val="0"/>
      <w:marRight w:val="0"/>
      <w:marTop w:val="0"/>
      <w:marBottom w:val="0"/>
      <w:divBdr>
        <w:top w:val="none" w:sz="0" w:space="0" w:color="auto"/>
        <w:left w:val="none" w:sz="0" w:space="0" w:color="auto"/>
        <w:bottom w:val="none" w:sz="0" w:space="0" w:color="auto"/>
        <w:right w:val="none" w:sz="0" w:space="0" w:color="auto"/>
      </w:divBdr>
    </w:div>
    <w:div w:id="1207062006">
      <w:bodyDiv w:val="1"/>
      <w:marLeft w:val="0"/>
      <w:marRight w:val="0"/>
      <w:marTop w:val="0"/>
      <w:marBottom w:val="0"/>
      <w:divBdr>
        <w:top w:val="none" w:sz="0" w:space="0" w:color="auto"/>
        <w:left w:val="none" w:sz="0" w:space="0" w:color="auto"/>
        <w:bottom w:val="none" w:sz="0" w:space="0" w:color="auto"/>
        <w:right w:val="none" w:sz="0" w:space="0" w:color="auto"/>
      </w:divBdr>
    </w:div>
    <w:div w:id="1215653246">
      <w:bodyDiv w:val="1"/>
      <w:marLeft w:val="0"/>
      <w:marRight w:val="0"/>
      <w:marTop w:val="0"/>
      <w:marBottom w:val="0"/>
      <w:divBdr>
        <w:top w:val="none" w:sz="0" w:space="0" w:color="auto"/>
        <w:left w:val="none" w:sz="0" w:space="0" w:color="auto"/>
        <w:bottom w:val="none" w:sz="0" w:space="0" w:color="auto"/>
        <w:right w:val="none" w:sz="0" w:space="0" w:color="auto"/>
      </w:divBdr>
    </w:div>
    <w:div w:id="1219903921">
      <w:bodyDiv w:val="1"/>
      <w:marLeft w:val="0"/>
      <w:marRight w:val="0"/>
      <w:marTop w:val="0"/>
      <w:marBottom w:val="0"/>
      <w:divBdr>
        <w:top w:val="none" w:sz="0" w:space="0" w:color="auto"/>
        <w:left w:val="none" w:sz="0" w:space="0" w:color="auto"/>
        <w:bottom w:val="none" w:sz="0" w:space="0" w:color="auto"/>
        <w:right w:val="none" w:sz="0" w:space="0" w:color="auto"/>
      </w:divBdr>
    </w:div>
    <w:div w:id="1235161887">
      <w:bodyDiv w:val="1"/>
      <w:marLeft w:val="0"/>
      <w:marRight w:val="0"/>
      <w:marTop w:val="0"/>
      <w:marBottom w:val="0"/>
      <w:divBdr>
        <w:top w:val="none" w:sz="0" w:space="0" w:color="auto"/>
        <w:left w:val="none" w:sz="0" w:space="0" w:color="auto"/>
        <w:bottom w:val="none" w:sz="0" w:space="0" w:color="auto"/>
        <w:right w:val="none" w:sz="0" w:space="0" w:color="auto"/>
      </w:divBdr>
    </w:div>
    <w:div w:id="1241872323">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66577164">
      <w:bodyDiv w:val="1"/>
      <w:marLeft w:val="0"/>
      <w:marRight w:val="0"/>
      <w:marTop w:val="0"/>
      <w:marBottom w:val="0"/>
      <w:divBdr>
        <w:top w:val="none" w:sz="0" w:space="0" w:color="auto"/>
        <w:left w:val="none" w:sz="0" w:space="0" w:color="auto"/>
        <w:bottom w:val="none" w:sz="0" w:space="0" w:color="auto"/>
        <w:right w:val="none" w:sz="0" w:space="0" w:color="auto"/>
      </w:divBdr>
    </w:div>
    <w:div w:id="1282610563">
      <w:bodyDiv w:val="1"/>
      <w:marLeft w:val="0"/>
      <w:marRight w:val="0"/>
      <w:marTop w:val="0"/>
      <w:marBottom w:val="0"/>
      <w:divBdr>
        <w:top w:val="none" w:sz="0" w:space="0" w:color="auto"/>
        <w:left w:val="none" w:sz="0" w:space="0" w:color="auto"/>
        <w:bottom w:val="none" w:sz="0" w:space="0" w:color="auto"/>
        <w:right w:val="none" w:sz="0" w:space="0" w:color="auto"/>
      </w:divBdr>
    </w:div>
    <w:div w:id="1291321463">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308704594">
      <w:bodyDiv w:val="1"/>
      <w:marLeft w:val="0"/>
      <w:marRight w:val="0"/>
      <w:marTop w:val="0"/>
      <w:marBottom w:val="0"/>
      <w:divBdr>
        <w:top w:val="none" w:sz="0" w:space="0" w:color="auto"/>
        <w:left w:val="none" w:sz="0" w:space="0" w:color="auto"/>
        <w:bottom w:val="none" w:sz="0" w:space="0" w:color="auto"/>
        <w:right w:val="none" w:sz="0" w:space="0" w:color="auto"/>
      </w:divBdr>
    </w:div>
    <w:div w:id="1321274925">
      <w:bodyDiv w:val="1"/>
      <w:marLeft w:val="0"/>
      <w:marRight w:val="0"/>
      <w:marTop w:val="0"/>
      <w:marBottom w:val="0"/>
      <w:divBdr>
        <w:top w:val="none" w:sz="0" w:space="0" w:color="auto"/>
        <w:left w:val="none" w:sz="0" w:space="0" w:color="auto"/>
        <w:bottom w:val="none" w:sz="0" w:space="0" w:color="auto"/>
        <w:right w:val="none" w:sz="0" w:space="0" w:color="auto"/>
      </w:divBdr>
    </w:div>
    <w:div w:id="1328705023">
      <w:bodyDiv w:val="1"/>
      <w:marLeft w:val="0"/>
      <w:marRight w:val="0"/>
      <w:marTop w:val="0"/>
      <w:marBottom w:val="0"/>
      <w:divBdr>
        <w:top w:val="none" w:sz="0" w:space="0" w:color="auto"/>
        <w:left w:val="none" w:sz="0" w:space="0" w:color="auto"/>
        <w:bottom w:val="none" w:sz="0" w:space="0" w:color="auto"/>
        <w:right w:val="none" w:sz="0" w:space="0" w:color="auto"/>
      </w:divBdr>
    </w:div>
    <w:div w:id="1329944035">
      <w:bodyDiv w:val="1"/>
      <w:marLeft w:val="0"/>
      <w:marRight w:val="0"/>
      <w:marTop w:val="0"/>
      <w:marBottom w:val="0"/>
      <w:divBdr>
        <w:top w:val="none" w:sz="0" w:space="0" w:color="auto"/>
        <w:left w:val="none" w:sz="0" w:space="0" w:color="auto"/>
        <w:bottom w:val="none" w:sz="0" w:space="0" w:color="auto"/>
        <w:right w:val="none" w:sz="0" w:space="0" w:color="auto"/>
      </w:divBdr>
    </w:div>
    <w:div w:id="1342124766">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68018916">
      <w:bodyDiv w:val="1"/>
      <w:marLeft w:val="0"/>
      <w:marRight w:val="0"/>
      <w:marTop w:val="0"/>
      <w:marBottom w:val="0"/>
      <w:divBdr>
        <w:top w:val="none" w:sz="0" w:space="0" w:color="auto"/>
        <w:left w:val="none" w:sz="0" w:space="0" w:color="auto"/>
        <w:bottom w:val="none" w:sz="0" w:space="0" w:color="auto"/>
        <w:right w:val="none" w:sz="0" w:space="0" w:color="auto"/>
      </w:divBdr>
    </w:div>
    <w:div w:id="1374229429">
      <w:bodyDiv w:val="1"/>
      <w:marLeft w:val="0"/>
      <w:marRight w:val="0"/>
      <w:marTop w:val="0"/>
      <w:marBottom w:val="0"/>
      <w:divBdr>
        <w:top w:val="none" w:sz="0" w:space="0" w:color="auto"/>
        <w:left w:val="none" w:sz="0" w:space="0" w:color="auto"/>
        <w:bottom w:val="none" w:sz="0" w:space="0" w:color="auto"/>
        <w:right w:val="none" w:sz="0" w:space="0" w:color="auto"/>
      </w:divBdr>
    </w:div>
    <w:div w:id="1379862748">
      <w:bodyDiv w:val="1"/>
      <w:marLeft w:val="0"/>
      <w:marRight w:val="0"/>
      <w:marTop w:val="0"/>
      <w:marBottom w:val="0"/>
      <w:divBdr>
        <w:top w:val="none" w:sz="0" w:space="0" w:color="auto"/>
        <w:left w:val="none" w:sz="0" w:space="0" w:color="auto"/>
        <w:bottom w:val="none" w:sz="0" w:space="0" w:color="auto"/>
        <w:right w:val="none" w:sz="0" w:space="0" w:color="auto"/>
      </w:divBdr>
    </w:div>
    <w:div w:id="1382560410">
      <w:bodyDiv w:val="1"/>
      <w:marLeft w:val="0"/>
      <w:marRight w:val="0"/>
      <w:marTop w:val="0"/>
      <w:marBottom w:val="0"/>
      <w:divBdr>
        <w:top w:val="none" w:sz="0" w:space="0" w:color="auto"/>
        <w:left w:val="none" w:sz="0" w:space="0" w:color="auto"/>
        <w:bottom w:val="none" w:sz="0" w:space="0" w:color="auto"/>
        <w:right w:val="none" w:sz="0" w:space="0" w:color="auto"/>
      </w:divBdr>
    </w:div>
    <w:div w:id="1406952901">
      <w:bodyDiv w:val="1"/>
      <w:marLeft w:val="0"/>
      <w:marRight w:val="0"/>
      <w:marTop w:val="0"/>
      <w:marBottom w:val="0"/>
      <w:divBdr>
        <w:top w:val="none" w:sz="0" w:space="0" w:color="auto"/>
        <w:left w:val="none" w:sz="0" w:space="0" w:color="auto"/>
        <w:bottom w:val="none" w:sz="0" w:space="0" w:color="auto"/>
        <w:right w:val="none" w:sz="0" w:space="0" w:color="auto"/>
      </w:divBdr>
    </w:div>
    <w:div w:id="14076504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14474765">
      <w:bodyDiv w:val="1"/>
      <w:marLeft w:val="0"/>
      <w:marRight w:val="0"/>
      <w:marTop w:val="0"/>
      <w:marBottom w:val="0"/>
      <w:divBdr>
        <w:top w:val="none" w:sz="0" w:space="0" w:color="auto"/>
        <w:left w:val="none" w:sz="0" w:space="0" w:color="auto"/>
        <w:bottom w:val="none" w:sz="0" w:space="0" w:color="auto"/>
        <w:right w:val="none" w:sz="0" w:space="0" w:color="auto"/>
      </w:divBdr>
    </w:div>
    <w:div w:id="1415130292">
      <w:bodyDiv w:val="1"/>
      <w:marLeft w:val="0"/>
      <w:marRight w:val="0"/>
      <w:marTop w:val="0"/>
      <w:marBottom w:val="0"/>
      <w:divBdr>
        <w:top w:val="none" w:sz="0" w:space="0" w:color="auto"/>
        <w:left w:val="none" w:sz="0" w:space="0" w:color="auto"/>
        <w:bottom w:val="none" w:sz="0" w:space="0" w:color="auto"/>
        <w:right w:val="none" w:sz="0" w:space="0" w:color="auto"/>
      </w:divBdr>
    </w:div>
    <w:div w:id="1431699978">
      <w:bodyDiv w:val="1"/>
      <w:marLeft w:val="0"/>
      <w:marRight w:val="0"/>
      <w:marTop w:val="0"/>
      <w:marBottom w:val="0"/>
      <w:divBdr>
        <w:top w:val="none" w:sz="0" w:space="0" w:color="auto"/>
        <w:left w:val="none" w:sz="0" w:space="0" w:color="auto"/>
        <w:bottom w:val="none" w:sz="0" w:space="0" w:color="auto"/>
        <w:right w:val="none" w:sz="0" w:space="0" w:color="auto"/>
      </w:divBdr>
    </w:div>
    <w:div w:id="144041608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9301200">
      <w:bodyDiv w:val="1"/>
      <w:marLeft w:val="0"/>
      <w:marRight w:val="0"/>
      <w:marTop w:val="0"/>
      <w:marBottom w:val="0"/>
      <w:divBdr>
        <w:top w:val="none" w:sz="0" w:space="0" w:color="auto"/>
        <w:left w:val="none" w:sz="0" w:space="0" w:color="auto"/>
        <w:bottom w:val="none" w:sz="0" w:space="0" w:color="auto"/>
        <w:right w:val="none" w:sz="0" w:space="0" w:color="auto"/>
      </w:divBdr>
    </w:div>
    <w:div w:id="1491405626">
      <w:bodyDiv w:val="1"/>
      <w:marLeft w:val="0"/>
      <w:marRight w:val="0"/>
      <w:marTop w:val="0"/>
      <w:marBottom w:val="0"/>
      <w:divBdr>
        <w:top w:val="none" w:sz="0" w:space="0" w:color="auto"/>
        <w:left w:val="none" w:sz="0" w:space="0" w:color="auto"/>
        <w:bottom w:val="none" w:sz="0" w:space="0" w:color="auto"/>
        <w:right w:val="none" w:sz="0" w:space="0" w:color="auto"/>
      </w:divBdr>
    </w:div>
    <w:div w:id="1500777580">
      <w:bodyDiv w:val="1"/>
      <w:marLeft w:val="0"/>
      <w:marRight w:val="0"/>
      <w:marTop w:val="0"/>
      <w:marBottom w:val="0"/>
      <w:divBdr>
        <w:top w:val="none" w:sz="0" w:space="0" w:color="auto"/>
        <w:left w:val="none" w:sz="0" w:space="0" w:color="auto"/>
        <w:bottom w:val="none" w:sz="0" w:space="0" w:color="auto"/>
        <w:right w:val="none" w:sz="0" w:space="0" w:color="auto"/>
      </w:divBdr>
    </w:div>
    <w:div w:id="1501694808">
      <w:bodyDiv w:val="1"/>
      <w:marLeft w:val="0"/>
      <w:marRight w:val="0"/>
      <w:marTop w:val="0"/>
      <w:marBottom w:val="0"/>
      <w:divBdr>
        <w:top w:val="none" w:sz="0" w:space="0" w:color="auto"/>
        <w:left w:val="none" w:sz="0" w:space="0" w:color="auto"/>
        <w:bottom w:val="none" w:sz="0" w:space="0" w:color="auto"/>
        <w:right w:val="none" w:sz="0" w:space="0" w:color="auto"/>
      </w:divBdr>
    </w:div>
    <w:div w:id="1506096467">
      <w:bodyDiv w:val="1"/>
      <w:marLeft w:val="0"/>
      <w:marRight w:val="0"/>
      <w:marTop w:val="0"/>
      <w:marBottom w:val="0"/>
      <w:divBdr>
        <w:top w:val="none" w:sz="0" w:space="0" w:color="auto"/>
        <w:left w:val="none" w:sz="0" w:space="0" w:color="auto"/>
        <w:bottom w:val="none" w:sz="0" w:space="0" w:color="auto"/>
        <w:right w:val="none" w:sz="0" w:space="0" w:color="auto"/>
      </w:divBdr>
    </w:div>
    <w:div w:id="1507011199">
      <w:bodyDiv w:val="1"/>
      <w:marLeft w:val="0"/>
      <w:marRight w:val="0"/>
      <w:marTop w:val="0"/>
      <w:marBottom w:val="0"/>
      <w:divBdr>
        <w:top w:val="none" w:sz="0" w:space="0" w:color="auto"/>
        <w:left w:val="none" w:sz="0" w:space="0" w:color="auto"/>
        <w:bottom w:val="none" w:sz="0" w:space="0" w:color="auto"/>
        <w:right w:val="none" w:sz="0" w:space="0" w:color="auto"/>
      </w:divBdr>
    </w:div>
    <w:div w:id="1512601857">
      <w:bodyDiv w:val="1"/>
      <w:marLeft w:val="0"/>
      <w:marRight w:val="0"/>
      <w:marTop w:val="0"/>
      <w:marBottom w:val="0"/>
      <w:divBdr>
        <w:top w:val="none" w:sz="0" w:space="0" w:color="auto"/>
        <w:left w:val="none" w:sz="0" w:space="0" w:color="auto"/>
        <w:bottom w:val="none" w:sz="0" w:space="0" w:color="auto"/>
        <w:right w:val="none" w:sz="0" w:space="0" w:color="auto"/>
      </w:divBdr>
    </w:div>
    <w:div w:id="1514029263">
      <w:bodyDiv w:val="1"/>
      <w:marLeft w:val="0"/>
      <w:marRight w:val="0"/>
      <w:marTop w:val="0"/>
      <w:marBottom w:val="0"/>
      <w:divBdr>
        <w:top w:val="none" w:sz="0" w:space="0" w:color="auto"/>
        <w:left w:val="none" w:sz="0" w:space="0" w:color="auto"/>
        <w:bottom w:val="none" w:sz="0" w:space="0" w:color="auto"/>
        <w:right w:val="none" w:sz="0" w:space="0" w:color="auto"/>
      </w:divBdr>
    </w:div>
    <w:div w:id="1520462657">
      <w:bodyDiv w:val="1"/>
      <w:marLeft w:val="0"/>
      <w:marRight w:val="0"/>
      <w:marTop w:val="0"/>
      <w:marBottom w:val="0"/>
      <w:divBdr>
        <w:top w:val="none" w:sz="0" w:space="0" w:color="auto"/>
        <w:left w:val="none" w:sz="0" w:space="0" w:color="auto"/>
        <w:bottom w:val="none" w:sz="0" w:space="0" w:color="auto"/>
        <w:right w:val="none" w:sz="0" w:space="0" w:color="auto"/>
      </w:divBdr>
    </w:div>
    <w:div w:id="1523084459">
      <w:bodyDiv w:val="1"/>
      <w:marLeft w:val="0"/>
      <w:marRight w:val="0"/>
      <w:marTop w:val="0"/>
      <w:marBottom w:val="0"/>
      <w:divBdr>
        <w:top w:val="none" w:sz="0" w:space="0" w:color="auto"/>
        <w:left w:val="none" w:sz="0" w:space="0" w:color="auto"/>
        <w:bottom w:val="none" w:sz="0" w:space="0" w:color="auto"/>
        <w:right w:val="none" w:sz="0" w:space="0" w:color="auto"/>
      </w:divBdr>
    </w:div>
    <w:div w:id="1526092540">
      <w:bodyDiv w:val="1"/>
      <w:marLeft w:val="0"/>
      <w:marRight w:val="0"/>
      <w:marTop w:val="0"/>
      <w:marBottom w:val="0"/>
      <w:divBdr>
        <w:top w:val="none" w:sz="0" w:space="0" w:color="auto"/>
        <w:left w:val="none" w:sz="0" w:space="0" w:color="auto"/>
        <w:bottom w:val="none" w:sz="0" w:space="0" w:color="auto"/>
        <w:right w:val="none" w:sz="0" w:space="0" w:color="auto"/>
      </w:divBdr>
    </w:div>
    <w:div w:id="1527056740">
      <w:bodyDiv w:val="1"/>
      <w:marLeft w:val="0"/>
      <w:marRight w:val="0"/>
      <w:marTop w:val="0"/>
      <w:marBottom w:val="0"/>
      <w:divBdr>
        <w:top w:val="none" w:sz="0" w:space="0" w:color="auto"/>
        <w:left w:val="none" w:sz="0" w:space="0" w:color="auto"/>
        <w:bottom w:val="none" w:sz="0" w:space="0" w:color="auto"/>
        <w:right w:val="none" w:sz="0" w:space="0" w:color="auto"/>
      </w:divBdr>
    </w:div>
    <w:div w:id="1528369809">
      <w:bodyDiv w:val="1"/>
      <w:marLeft w:val="0"/>
      <w:marRight w:val="0"/>
      <w:marTop w:val="0"/>
      <w:marBottom w:val="0"/>
      <w:divBdr>
        <w:top w:val="none" w:sz="0" w:space="0" w:color="auto"/>
        <w:left w:val="none" w:sz="0" w:space="0" w:color="auto"/>
        <w:bottom w:val="none" w:sz="0" w:space="0" w:color="auto"/>
        <w:right w:val="none" w:sz="0" w:space="0" w:color="auto"/>
      </w:divBdr>
    </w:div>
    <w:div w:id="1530098129">
      <w:bodyDiv w:val="1"/>
      <w:marLeft w:val="0"/>
      <w:marRight w:val="0"/>
      <w:marTop w:val="0"/>
      <w:marBottom w:val="0"/>
      <w:divBdr>
        <w:top w:val="none" w:sz="0" w:space="0" w:color="auto"/>
        <w:left w:val="none" w:sz="0" w:space="0" w:color="auto"/>
        <w:bottom w:val="none" w:sz="0" w:space="0" w:color="auto"/>
        <w:right w:val="none" w:sz="0" w:space="0" w:color="auto"/>
      </w:divBdr>
    </w:div>
    <w:div w:id="1535272452">
      <w:bodyDiv w:val="1"/>
      <w:marLeft w:val="0"/>
      <w:marRight w:val="0"/>
      <w:marTop w:val="0"/>
      <w:marBottom w:val="0"/>
      <w:divBdr>
        <w:top w:val="none" w:sz="0" w:space="0" w:color="auto"/>
        <w:left w:val="none" w:sz="0" w:space="0" w:color="auto"/>
        <w:bottom w:val="none" w:sz="0" w:space="0" w:color="auto"/>
        <w:right w:val="none" w:sz="0" w:space="0" w:color="auto"/>
      </w:divBdr>
    </w:div>
    <w:div w:id="1584024139">
      <w:bodyDiv w:val="1"/>
      <w:marLeft w:val="0"/>
      <w:marRight w:val="0"/>
      <w:marTop w:val="0"/>
      <w:marBottom w:val="0"/>
      <w:divBdr>
        <w:top w:val="none" w:sz="0" w:space="0" w:color="auto"/>
        <w:left w:val="none" w:sz="0" w:space="0" w:color="auto"/>
        <w:bottom w:val="none" w:sz="0" w:space="0" w:color="auto"/>
        <w:right w:val="none" w:sz="0" w:space="0" w:color="auto"/>
      </w:divBdr>
    </w:div>
    <w:div w:id="1591355042">
      <w:bodyDiv w:val="1"/>
      <w:marLeft w:val="0"/>
      <w:marRight w:val="0"/>
      <w:marTop w:val="0"/>
      <w:marBottom w:val="0"/>
      <w:divBdr>
        <w:top w:val="none" w:sz="0" w:space="0" w:color="auto"/>
        <w:left w:val="none" w:sz="0" w:space="0" w:color="auto"/>
        <w:bottom w:val="none" w:sz="0" w:space="0" w:color="auto"/>
        <w:right w:val="none" w:sz="0" w:space="0" w:color="auto"/>
      </w:divBdr>
    </w:div>
    <w:div w:id="1591767727">
      <w:bodyDiv w:val="1"/>
      <w:marLeft w:val="0"/>
      <w:marRight w:val="0"/>
      <w:marTop w:val="0"/>
      <w:marBottom w:val="0"/>
      <w:divBdr>
        <w:top w:val="none" w:sz="0" w:space="0" w:color="auto"/>
        <w:left w:val="none" w:sz="0" w:space="0" w:color="auto"/>
        <w:bottom w:val="none" w:sz="0" w:space="0" w:color="auto"/>
        <w:right w:val="none" w:sz="0" w:space="0" w:color="auto"/>
      </w:divBdr>
    </w:div>
    <w:div w:id="1597985196">
      <w:bodyDiv w:val="1"/>
      <w:marLeft w:val="0"/>
      <w:marRight w:val="0"/>
      <w:marTop w:val="0"/>
      <w:marBottom w:val="0"/>
      <w:divBdr>
        <w:top w:val="none" w:sz="0" w:space="0" w:color="auto"/>
        <w:left w:val="none" w:sz="0" w:space="0" w:color="auto"/>
        <w:bottom w:val="none" w:sz="0" w:space="0" w:color="auto"/>
        <w:right w:val="none" w:sz="0" w:space="0" w:color="auto"/>
      </w:divBdr>
    </w:div>
    <w:div w:id="1598440378">
      <w:bodyDiv w:val="1"/>
      <w:marLeft w:val="0"/>
      <w:marRight w:val="0"/>
      <w:marTop w:val="0"/>
      <w:marBottom w:val="0"/>
      <w:divBdr>
        <w:top w:val="none" w:sz="0" w:space="0" w:color="auto"/>
        <w:left w:val="none" w:sz="0" w:space="0" w:color="auto"/>
        <w:bottom w:val="none" w:sz="0" w:space="0" w:color="auto"/>
        <w:right w:val="none" w:sz="0" w:space="0" w:color="auto"/>
      </w:divBdr>
    </w:div>
    <w:div w:id="162144923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818406">
      <w:bodyDiv w:val="1"/>
      <w:marLeft w:val="0"/>
      <w:marRight w:val="0"/>
      <w:marTop w:val="0"/>
      <w:marBottom w:val="0"/>
      <w:divBdr>
        <w:top w:val="none" w:sz="0" w:space="0" w:color="auto"/>
        <w:left w:val="none" w:sz="0" w:space="0" w:color="auto"/>
        <w:bottom w:val="none" w:sz="0" w:space="0" w:color="auto"/>
        <w:right w:val="none" w:sz="0" w:space="0" w:color="auto"/>
      </w:divBdr>
    </w:div>
    <w:div w:id="1642538750">
      <w:bodyDiv w:val="1"/>
      <w:marLeft w:val="0"/>
      <w:marRight w:val="0"/>
      <w:marTop w:val="0"/>
      <w:marBottom w:val="0"/>
      <w:divBdr>
        <w:top w:val="none" w:sz="0" w:space="0" w:color="auto"/>
        <w:left w:val="none" w:sz="0" w:space="0" w:color="auto"/>
        <w:bottom w:val="none" w:sz="0" w:space="0" w:color="auto"/>
        <w:right w:val="none" w:sz="0" w:space="0" w:color="auto"/>
      </w:divBdr>
    </w:div>
    <w:div w:id="1658416720">
      <w:bodyDiv w:val="1"/>
      <w:marLeft w:val="0"/>
      <w:marRight w:val="0"/>
      <w:marTop w:val="0"/>
      <w:marBottom w:val="0"/>
      <w:divBdr>
        <w:top w:val="none" w:sz="0" w:space="0" w:color="auto"/>
        <w:left w:val="none" w:sz="0" w:space="0" w:color="auto"/>
        <w:bottom w:val="none" w:sz="0" w:space="0" w:color="auto"/>
        <w:right w:val="none" w:sz="0" w:space="0" w:color="auto"/>
      </w:divBdr>
    </w:div>
    <w:div w:id="1663316295">
      <w:bodyDiv w:val="1"/>
      <w:marLeft w:val="0"/>
      <w:marRight w:val="0"/>
      <w:marTop w:val="0"/>
      <w:marBottom w:val="0"/>
      <w:divBdr>
        <w:top w:val="none" w:sz="0" w:space="0" w:color="auto"/>
        <w:left w:val="none" w:sz="0" w:space="0" w:color="auto"/>
        <w:bottom w:val="none" w:sz="0" w:space="0" w:color="auto"/>
        <w:right w:val="none" w:sz="0" w:space="0" w:color="auto"/>
      </w:divBdr>
    </w:div>
    <w:div w:id="1668628731">
      <w:bodyDiv w:val="1"/>
      <w:marLeft w:val="0"/>
      <w:marRight w:val="0"/>
      <w:marTop w:val="0"/>
      <w:marBottom w:val="0"/>
      <w:divBdr>
        <w:top w:val="none" w:sz="0" w:space="0" w:color="auto"/>
        <w:left w:val="none" w:sz="0" w:space="0" w:color="auto"/>
        <w:bottom w:val="none" w:sz="0" w:space="0" w:color="auto"/>
        <w:right w:val="none" w:sz="0" w:space="0" w:color="auto"/>
      </w:divBdr>
    </w:div>
    <w:div w:id="1675720685">
      <w:bodyDiv w:val="1"/>
      <w:marLeft w:val="0"/>
      <w:marRight w:val="0"/>
      <w:marTop w:val="0"/>
      <w:marBottom w:val="0"/>
      <w:divBdr>
        <w:top w:val="none" w:sz="0" w:space="0" w:color="auto"/>
        <w:left w:val="none" w:sz="0" w:space="0" w:color="auto"/>
        <w:bottom w:val="none" w:sz="0" w:space="0" w:color="auto"/>
        <w:right w:val="none" w:sz="0" w:space="0" w:color="auto"/>
      </w:divBdr>
    </w:div>
    <w:div w:id="1680502254">
      <w:bodyDiv w:val="1"/>
      <w:marLeft w:val="0"/>
      <w:marRight w:val="0"/>
      <w:marTop w:val="0"/>
      <w:marBottom w:val="0"/>
      <w:divBdr>
        <w:top w:val="none" w:sz="0" w:space="0" w:color="auto"/>
        <w:left w:val="none" w:sz="0" w:space="0" w:color="auto"/>
        <w:bottom w:val="none" w:sz="0" w:space="0" w:color="auto"/>
        <w:right w:val="none" w:sz="0" w:space="0" w:color="auto"/>
      </w:divBdr>
    </w:div>
    <w:div w:id="1695880708">
      <w:bodyDiv w:val="1"/>
      <w:marLeft w:val="0"/>
      <w:marRight w:val="0"/>
      <w:marTop w:val="0"/>
      <w:marBottom w:val="0"/>
      <w:divBdr>
        <w:top w:val="none" w:sz="0" w:space="0" w:color="auto"/>
        <w:left w:val="none" w:sz="0" w:space="0" w:color="auto"/>
        <w:bottom w:val="none" w:sz="0" w:space="0" w:color="auto"/>
        <w:right w:val="none" w:sz="0" w:space="0" w:color="auto"/>
      </w:divBdr>
    </w:div>
    <w:div w:id="1701125795">
      <w:bodyDiv w:val="1"/>
      <w:marLeft w:val="0"/>
      <w:marRight w:val="0"/>
      <w:marTop w:val="0"/>
      <w:marBottom w:val="0"/>
      <w:divBdr>
        <w:top w:val="none" w:sz="0" w:space="0" w:color="auto"/>
        <w:left w:val="none" w:sz="0" w:space="0" w:color="auto"/>
        <w:bottom w:val="none" w:sz="0" w:space="0" w:color="auto"/>
        <w:right w:val="none" w:sz="0" w:space="0" w:color="auto"/>
      </w:divBdr>
    </w:div>
    <w:div w:id="1710258874">
      <w:bodyDiv w:val="1"/>
      <w:marLeft w:val="0"/>
      <w:marRight w:val="0"/>
      <w:marTop w:val="0"/>
      <w:marBottom w:val="0"/>
      <w:divBdr>
        <w:top w:val="none" w:sz="0" w:space="0" w:color="auto"/>
        <w:left w:val="none" w:sz="0" w:space="0" w:color="auto"/>
        <w:bottom w:val="none" w:sz="0" w:space="0" w:color="auto"/>
        <w:right w:val="none" w:sz="0" w:space="0" w:color="auto"/>
      </w:divBdr>
    </w:div>
    <w:div w:id="1711303242">
      <w:bodyDiv w:val="1"/>
      <w:marLeft w:val="0"/>
      <w:marRight w:val="0"/>
      <w:marTop w:val="0"/>
      <w:marBottom w:val="0"/>
      <w:divBdr>
        <w:top w:val="none" w:sz="0" w:space="0" w:color="auto"/>
        <w:left w:val="none" w:sz="0" w:space="0" w:color="auto"/>
        <w:bottom w:val="none" w:sz="0" w:space="0" w:color="auto"/>
        <w:right w:val="none" w:sz="0" w:space="0" w:color="auto"/>
      </w:divBdr>
    </w:div>
    <w:div w:id="1716390802">
      <w:bodyDiv w:val="1"/>
      <w:marLeft w:val="0"/>
      <w:marRight w:val="0"/>
      <w:marTop w:val="0"/>
      <w:marBottom w:val="0"/>
      <w:divBdr>
        <w:top w:val="none" w:sz="0" w:space="0" w:color="auto"/>
        <w:left w:val="none" w:sz="0" w:space="0" w:color="auto"/>
        <w:bottom w:val="none" w:sz="0" w:space="0" w:color="auto"/>
        <w:right w:val="none" w:sz="0" w:space="0" w:color="auto"/>
      </w:divBdr>
    </w:div>
    <w:div w:id="1717464335">
      <w:bodyDiv w:val="1"/>
      <w:marLeft w:val="0"/>
      <w:marRight w:val="0"/>
      <w:marTop w:val="0"/>
      <w:marBottom w:val="0"/>
      <w:divBdr>
        <w:top w:val="none" w:sz="0" w:space="0" w:color="auto"/>
        <w:left w:val="none" w:sz="0" w:space="0" w:color="auto"/>
        <w:bottom w:val="none" w:sz="0" w:space="0" w:color="auto"/>
        <w:right w:val="none" w:sz="0" w:space="0" w:color="auto"/>
      </w:divBdr>
    </w:div>
    <w:div w:id="1720517859">
      <w:bodyDiv w:val="1"/>
      <w:marLeft w:val="0"/>
      <w:marRight w:val="0"/>
      <w:marTop w:val="0"/>
      <w:marBottom w:val="0"/>
      <w:divBdr>
        <w:top w:val="none" w:sz="0" w:space="0" w:color="auto"/>
        <w:left w:val="none" w:sz="0" w:space="0" w:color="auto"/>
        <w:bottom w:val="none" w:sz="0" w:space="0" w:color="auto"/>
        <w:right w:val="none" w:sz="0" w:space="0" w:color="auto"/>
      </w:divBdr>
    </w:div>
    <w:div w:id="1726484922">
      <w:bodyDiv w:val="1"/>
      <w:marLeft w:val="0"/>
      <w:marRight w:val="0"/>
      <w:marTop w:val="0"/>
      <w:marBottom w:val="0"/>
      <w:divBdr>
        <w:top w:val="none" w:sz="0" w:space="0" w:color="auto"/>
        <w:left w:val="none" w:sz="0" w:space="0" w:color="auto"/>
        <w:bottom w:val="none" w:sz="0" w:space="0" w:color="auto"/>
        <w:right w:val="none" w:sz="0" w:space="0" w:color="auto"/>
      </w:divBdr>
    </w:div>
    <w:div w:id="1731491392">
      <w:bodyDiv w:val="1"/>
      <w:marLeft w:val="0"/>
      <w:marRight w:val="0"/>
      <w:marTop w:val="0"/>
      <w:marBottom w:val="0"/>
      <w:divBdr>
        <w:top w:val="none" w:sz="0" w:space="0" w:color="auto"/>
        <w:left w:val="none" w:sz="0" w:space="0" w:color="auto"/>
        <w:bottom w:val="none" w:sz="0" w:space="0" w:color="auto"/>
        <w:right w:val="none" w:sz="0" w:space="0" w:color="auto"/>
      </w:divBdr>
    </w:div>
    <w:div w:id="1736901170">
      <w:bodyDiv w:val="1"/>
      <w:marLeft w:val="0"/>
      <w:marRight w:val="0"/>
      <w:marTop w:val="0"/>
      <w:marBottom w:val="0"/>
      <w:divBdr>
        <w:top w:val="none" w:sz="0" w:space="0" w:color="auto"/>
        <w:left w:val="none" w:sz="0" w:space="0" w:color="auto"/>
        <w:bottom w:val="none" w:sz="0" w:space="0" w:color="auto"/>
        <w:right w:val="none" w:sz="0" w:space="0" w:color="auto"/>
      </w:divBdr>
    </w:div>
    <w:div w:id="1744062788">
      <w:bodyDiv w:val="1"/>
      <w:marLeft w:val="0"/>
      <w:marRight w:val="0"/>
      <w:marTop w:val="0"/>
      <w:marBottom w:val="0"/>
      <w:divBdr>
        <w:top w:val="none" w:sz="0" w:space="0" w:color="auto"/>
        <w:left w:val="none" w:sz="0" w:space="0" w:color="auto"/>
        <w:bottom w:val="none" w:sz="0" w:space="0" w:color="auto"/>
        <w:right w:val="none" w:sz="0" w:space="0" w:color="auto"/>
      </w:divBdr>
    </w:div>
    <w:div w:id="1753357933">
      <w:bodyDiv w:val="1"/>
      <w:marLeft w:val="0"/>
      <w:marRight w:val="0"/>
      <w:marTop w:val="0"/>
      <w:marBottom w:val="0"/>
      <w:divBdr>
        <w:top w:val="none" w:sz="0" w:space="0" w:color="auto"/>
        <w:left w:val="none" w:sz="0" w:space="0" w:color="auto"/>
        <w:bottom w:val="none" w:sz="0" w:space="0" w:color="auto"/>
        <w:right w:val="none" w:sz="0" w:space="0" w:color="auto"/>
      </w:divBdr>
    </w:div>
    <w:div w:id="1757701905">
      <w:bodyDiv w:val="1"/>
      <w:marLeft w:val="0"/>
      <w:marRight w:val="0"/>
      <w:marTop w:val="0"/>
      <w:marBottom w:val="0"/>
      <w:divBdr>
        <w:top w:val="none" w:sz="0" w:space="0" w:color="auto"/>
        <w:left w:val="none" w:sz="0" w:space="0" w:color="auto"/>
        <w:bottom w:val="none" w:sz="0" w:space="0" w:color="auto"/>
        <w:right w:val="none" w:sz="0" w:space="0" w:color="auto"/>
      </w:divBdr>
    </w:div>
    <w:div w:id="1773738465">
      <w:bodyDiv w:val="1"/>
      <w:marLeft w:val="0"/>
      <w:marRight w:val="0"/>
      <w:marTop w:val="0"/>
      <w:marBottom w:val="0"/>
      <w:divBdr>
        <w:top w:val="none" w:sz="0" w:space="0" w:color="auto"/>
        <w:left w:val="none" w:sz="0" w:space="0" w:color="auto"/>
        <w:bottom w:val="none" w:sz="0" w:space="0" w:color="auto"/>
        <w:right w:val="none" w:sz="0" w:space="0" w:color="auto"/>
      </w:divBdr>
    </w:div>
    <w:div w:id="180296588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0785218">
      <w:bodyDiv w:val="1"/>
      <w:marLeft w:val="0"/>
      <w:marRight w:val="0"/>
      <w:marTop w:val="0"/>
      <w:marBottom w:val="0"/>
      <w:divBdr>
        <w:top w:val="none" w:sz="0" w:space="0" w:color="auto"/>
        <w:left w:val="none" w:sz="0" w:space="0" w:color="auto"/>
        <w:bottom w:val="none" w:sz="0" w:space="0" w:color="auto"/>
        <w:right w:val="none" w:sz="0" w:space="0" w:color="auto"/>
      </w:divBdr>
    </w:div>
    <w:div w:id="181398767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14952">
      <w:bodyDiv w:val="1"/>
      <w:marLeft w:val="0"/>
      <w:marRight w:val="0"/>
      <w:marTop w:val="0"/>
      <w:marBottom w:val="0"/>
      <w:divBdr>
        <w:top w:val="none" w:sz="0" w:space="0" w:color="auto"/>
        <w:left w:val="none" w:sz="0" w:space="0" w:color="auto"/>
        <w:bottom w:val="none" w:sz="0" w:space="0" w:color="auto"/>
        <w:right w:val="none" w:sz="0" w:space="0" w:color="auto"/>
      </w:divBdr>
    </w:div>
    <w:div w:id="1828784133">
      <w:bodyDiv w:val="1"/>
      <w:marLeft w:val="0"/>
      <w:marRight w:val="0"/>
      <w:marTop w:val="0"/>
      <w:marBottom w:val="0"/>
      <w:divBdr>
        <w:top w:val="none" w:sz="0" w:space="0" w:color="auto"/>
        <w:left w:val="none" w:sz="0" w:space="0" w:color="auto"/>
        <w:bottom w:val="none" w:sz="0" w:space="0" w:color="auto"/>
        <w:right w:val="none" w:sz="0" w:space="0" w:color="auto"/>
      </w:divBdr>
    </w:div>
    <w:div w:id="1834418179">
      <w:bodyDiv w:val="1"/>
      <w:marLeft w:val="0"/>
      <w:marRight w:val="0"/>
      <w:marTop w:val="0"/>
      <w:marBottom w:val="0"/>
      <w:divBdr>
        <w:top w:val="none" w:sz="0" w:space="0" w:color="auto"/>
        <w:left w:val="none" w:sz="0" w:space="0" w:color="auto"/>
        <w:bottom w:val="none" w:sz="0" w:space="0" w:color="auto"/>
        <w:right w:val="none" w:sz="0" w:space="0" w:color="auto"/>
      </w:divBdr>
    </w:div>
    <w:div w:id="1837921729">
      <w:bodyDiv w:val="1"/>
      <w:marLeft w:val="0"/>
      <w:marRight w:val="0"/>
      <w:marTop w:val="0"/>
      <w:marBottom w:val="0"/>
      <w:divBdr>
        <w:top w:val="none" w:sz="0" w:space="0" w:color="auto"/>
        <w:left w:val="none" w:sz="0" w:space="0" w:color="auto"/>
        <w:bottom w:val="none" w:sz="0" w:space="0" w:color="auto"/>
        <w:right w:val="none" w:sz="0" w:space="0" w:color="auto"/>
      </w:divBdr>
    </w:div>
    <w:div w:id="1843278633">
      <w:bodyDiv w:val="1"/>
      <w:marLeft w:val="0"/>
      <w:marRight w:val="0"/>
      <w:marTop w:val="0"/>
      <w:marBottom w:val="0"/>
      <w:divBdr>
        <w:top w:val="none" w:sz="0" w:space="0" w:color="auto"/>
        <w:left w:val="none" w:sz="0" w:space="0" w:color="auto"/>
        <w:bottom w:val="none" w:sz="0" w:space="0" w:color="auto"/>
        <w:right w:val="none" w:sz="0" w:space="0" w:color="auto"/>
      </w:divBdr>
    </w:div>
    <w:div w:id="1856726333">
      <w:bodyDiv w:val="1"/>
      <w:marLeft w:val="0"/>
      <w:marRight w:val="0"/>
      <w:marTop w:val="0"/>
      <w:marBottom w:val="0"/>
      <w:divBdr>
        <w:top w:val="none" w:sz="0" w:space="0" w:color="auto"/>
        <w:left w:val="none" w:sz="0" w:space="0" w:color="auto"/>
        <w:bottom w:val="none" w:sz="0" w:space="0" w:color="auto"/>
        <w:right w:val="none" w:sz="0" w:space="0" w:color="auto"/>
      </w:divBdr>
    </w:div>
    <w:div w:id="1868523454">
      <w:bodyDiv w:val="1"/>
      <w:marLeft w:val="0"/>
      <w:marRight w:val="0"/>
      <w:marTop w:val="0"/>
      <w:marBottom w:val="0"/>
      <w:divBdr>
        <w:top w:val="none" w:sz="0" w:space="0" w:color="auto"/>
        <w:left w:val="none" w:sz="0" w:space="0" w:color="auto"/>
        <w:bottom w:val="none" w:sz="0" w:space="0" w:color="auto"/>
        <w:right w:val="none" w:sz="0" w:space="0" w:color="auto"/>
      </w:divBdr>
    </w:div>
    <w:div w:id="1869905043">
      <w:bodyDiv w:val="1"/>
      <w:marLeft w:val="0"/>
      <w:marRight w:val="0"/>
      <w:marTop w:val="0"/>
      <w:marBottom w:val="0"/>
      <w:divBdr>
        <w:top w:val="none" w:sz="0" w:space="0" w:color="auto"/>
        <w:left w:val="none" w:sz="0" w:space="0" w:color="auto"/>
        <w:bottom w:val="none" w:sz="0" w:space="0" w:color="auto"/>
        <w:right w:val="none" w:sz="0" w:space="0" w:color="auto"/>
      </w:divBdr>
    </w:div>
    <w:div w:id="1870727458">
      <w:bodyDiv w:val="1"/>
      <w:marLeft w:val="0"/>
      <w:marRight w:val="0"/>
      <w:marTop w:val="0"/>
      <w:marBottom w:val="0"/>
      <w:divBdr>
        <w:top w:val="none" w:sz="0" w:space="0" w:color="auto"/>
        <w:left w:val="none" w:sz="0" w:space="0" w:color="auto"/>
        <w:bottom w:val="none" w:sz="0" w:space="0" w:color="auto"/>
        <w:right w:val="none" w:sz="0" w:space="0" w:color="auto"/>
      </w:divBdr>
    </w:div>
    <w:div w:id="1874078963">
      <w:bodyDiv w:val="1"/>
      <w:marLeft w:val="0"/>
      <w:marRight w:val="0"/>
      <w:marTop w:val="0"/>
      <w:marBottom w:val="0"/>
      <w:divBdr>
        <w:top w:val="none" w:sz="0" w:space="0" w:color="auto"/>
        <w:left w:val="none" w:sz="0" w:space="0" w:color="auto"/>
        <w:bottom w:val="none" w:sz="0" w:space="0" w:color="auto"/>
        <w:right w:val="none" w:sz="0" w:space="0" w:color="auto"/>
      </w:divBdr>
    </w:div>
    <w:div w:id="1885171803">
      <w:bodyDiv w:val="1"/>
      <w:marLeft w:val="0"/>
      <w:marRight w:val="0"/>
      <w:marTop w:val="0"/>
      <w:marBottom w:val="0"/>
      <w:divBdr>
        <w:top w:val="none" w:sz="0" w:space="0" w:color="auto"/>
        <w:left w:val="none" w:sz="0" w:space="0" w:color="auto"/>
        <w:bottom w:val="none" w:sz="0" w:space="0" w:color="auto"/>
        <w:right w:val="none" w:sz="0" w:space="0" w:color="auto"/>
      </w:divBdr>
    </w:div>
    <w:div w:id="1887451627">
      <w:bodyDiv w:val="1"/>
      <w:marLeft w:val="0"/>
      <w:marRight w:val="0"/>
      <w:marTop w:val="0"/>
      <w:marBottom w:val="0"/>
      <w:divBdr>
        <w:top w:val="none" w:sz="0" w:space="0" w:color="auto"/>
        <w:left w:val="none" w:sz="0" w:space="0" w:color="auto"/>
        <w:bottom w:val="none" w:sz="0" w:space="0" w:color="auto"/>
        <w:right w:val="none" w:sz="0" w:space="0" w:color="auto"/>
      </w:divBdr>
    </w:div>
    <w:div w:id="1902016369">
      <w:bodyDiv w:val="1"/>
      <w:marLeft w:val="0"/>
      <w:marRight w:val="0"/>
      <w:marTop w:val="0"/>
      <w:marBottom w:val="0"/>
      <w:divBdr>
        <w:top w:val="none" w:sz="0" w:space="0" w:color="auto"/>
        <w:left w:val="none" w:sz="0" w:space="0" w:color="auto"/>
        <w:bottom w:val="none" w:sz="0" w:space="0" w:color="auto"/>
        <w:right w:val="none" w:sz="0" w:space="0" w:color="auto"/>
      </w:divBdr>
    </w:div>
    <w:div w:id="1904832981">
      <w:bodyDiv w:val="1"/>
      <w:marLeft w:val="0"/>
      <w:marRight w:val="0"/>
      <w:marTop w:val="0"/>
      <w:marBottom w:val="0"/>
      <w:divBdr>
        <w:top w:val="none" w:sz="0" w:space="0" w:color="auto"/>
        <w:left w:val="none" w:sz="0" w:space="0" w:color="auto"/>
        <w:bottom w:val="none" w:sz="0" w:space="0" w:color="auto"/>
        <w:right w:val="none" w:sz="0" w:space="0" w:color="auto"/>
      </w:divBdr>
    </w:div>
    <w:div w:id="1909806781">
      <w:bodyDiv w:val="1"/>
      <w:marLeft w:val="0"/>
      <w:marRight w:val="0"/>
      <w:marTop w:val="0"/>
      <w:marBottom w:val="0"/>
      <w:divBdr>
        <w:top w:val="none" w:sz="0" w:space="0" w:color="auto"/>
        <w:left w:val="none" w:sz="0" w:space="0" w:color="auto"/>
        <w:bottom w:val="none" w:sz="0" w:space="0" w:color="auto"/>
        <w:right w:val="none" w:sz="0" w:space="0" w:color="auto"/>
      </w:divBdr>
    </w:div>
    <w:div w:id="1914584226">
      <w:bodyDiv w:val="1"/>
      <w:marLeft w:val="0"/>
      <w:marRight w:val="0"/>
      <w:marTop w:val="0"/>
      <w:marBottom w:val="0"/>
      <w:divBdr>
        <w:top w:val="none" w:sz="0" w:space="0" w:color="auto"/>
        <w:left w:val="none" w:sz="0" w:space="0" w:color="auto"/>
        <w:bottom w:val="none" w:sz="0" w:space="0" w:color="auto"/>
        <w:right w:val="none" w:sz="0" w:space="0" w:color="auto"/>
      </w:divBdr>
    </w:div>
    <w:div w:id="1919287332">
      <w:bodyDiv w:val="1"/>
      <w:marLeft w:val="0"/>
      <w:marRight w:val="0"/>
      <w:marTop w:val="0"/>
      <w:marBottom w:val="0"/>
      <w:divBdr>
        <w:top w:val="none" w:sz="0" w:space="0" w:color="auto"/>
        <w:left w:val="none" w:sz="0" w:space="0" w:color="auto"/>
        <w:bottom w:val="none" w:sz="0" w:space="0" w:color="auto"/>
        <w:right w:val="none" w:sz="0" w:space="0" w:color="auto"/>
      </w:divBdr>
    </w:div>
    <w:div w:id="1925454491">
      <w:bodyDiv w:val="1"/>
      <w:marLeft w:val="0"/>
      <w:marRight w:val="0"/>
      <w:marTop w:val="0"/>
      <w:marBottom w:val="0"/>
      <w:divBdr>
        <w:top w:val="none" w:sz="0" w:space="0" w:color="auto"/>
        <w:left w:val="none" w:sz="0" w:space="0" w:color="auto"/>
        <w:bottom w:val="none" w:sz="0" w:space="0" w:color="auto"/>
        <w:right w:val="none" w:sz="0" w:space="0" w:color="auto"/>
      </w:divBdr>
    </w:div>
    <w:div w:id="1925987717">
      <w:bodyDiv w:val="1"/>
      <w:marLeft w:val="0"/>
      <w:marRight w:val="0"/>
      <w:marTop w:val="0"/>
      <w:marBottom w:val="0"/>
      <w:divBdr>
        <w:top w:val="none" w:sz="0" w:space="0" w:color="auto"/>
        <w:left w:val="none" w:sz="0" w:space="0" w:color="auto"/>
        <w:bottom w:val="none" w:sz="0" w:space="0" w:color="auto"/>
        <w:right w:val="none" w:sz="0" w:space="0" w:color="auto"/>
      </w:divBdr>
    </w:div>
    <w:div w:id="1945108824">
      <w:bodyDiv w:val="1"/>
      <w:marLeft w:val="0"/>
      <w:marRight w:val="0"/>
      <w:marTop w:val="0"/>
      <w:marBottom w:val="0"/>
      <w:divBdr>
        <w:top w:val="none" w:sz="0" w:space="0" w:color="auto"/>
        <w:left w:val="none" w:sz="0" w:space="0" w:color="auto"/>
        <w:bottom w:val="none" w:sz="0" w:space="0" w:color="auto"/>
        <w:right w:val="none" w:sz="0" w:space="0" w:color="auto"/>
      </w:divBdr>
    </w:div>
    <w:div w:id="1949703228">
      <w:bodyDiv w:val="1"/>
      <w:marLeft w:val="0"/>
      <w:marRight w:val="0"/>
      <w:marTop w:val="0"/>
      <w:marBottom w:val="0"/>
      <w:divBdr>
        <w:top w:val="none" w:sz="0" w:space="0" w:color="auto"/>
        <w:left w:val="none" w:sz="0" w:space="0" w:color="auto"/>
        <w:bottom w:val="none" w:sz="0" w:space="0" w:color="auto"/>
        <w:right w:val="none" w:sz="0" w:space="0" w:color="auto"/>
      </w:divBdr>
    </w:div>
    <w:div w:id="1955819168">
      <w:bodyDiv w:val="1"/>
      <w:marLeft w:val="0"/>
      <w:marRight w:val="0"/>
      <w:marTop w:val="0"/>
      <w:marBottom w:val="0"/>
      <w:divBdr>
        <w:top w:val="none" w:sz="0" w:space="0" w:color="auto"/>
        <w:left w:val="none" w:sz="0" w:space="0" w:color="auto"/>
        <w:bottom w:val="none" w:sz="0" w:space="0" w:color="auto"/>
        <w:right w:val="none" w:sz="0" w:space="0" w:color="auto"/>
      </w:divBdr>
    </w:div>
    <w:div w:id="1958561789">
      <w:bodyDiv w:val="1"/>
      <w:marLeft w:val="0"/>
      <w:marRight w:val="0"/>
      <w:marTop w:val="0"/>
      <w:marBottom w:val="0"/>
      <w:divBdr>
        <w:top w:val="none" w:sz="0" w:space="0" w:color="auto"/>
        <w:left w:val="none" w:sz="0" w:space="0" w:color="auto"/>
        <w:bottom w:val="none" w:sz="0" w:space="0" w:color="auto"/>
        <w:right w:val="none" w:sz="0" w:space="0" w:color="auto"/>
      </w:divBdr>
    </w:div>
    <w:div w:id="1971932716">
      <w:bodyDiv w:val="1"/>
      <w:marLeft w:val="0"/>
      <w:marRight w:val="0"/>
      <w:marTop w:val="0"/>
      <w:marBottom w:val="0"/>
      <w:divBdr>
        <w:top w:val="none" w:sz="0" w:space="0" w:color="auto"/>
        <w:left w:val="none" w:sz="0" w:space="0" w:color="auto"/>
        <w:bottom w:val="none" w:sz="0" w:space="0" w:color="auto"/>
        <w:right w:val="none" w:sz="0" w:space="0" w:color="auto"/>
      </w:divBdr>
    </w:div>
    <w:div w:id="1972321755">
      <w:bodyDiv w:val="1"/>
      <w:marLeft w:val="0"/>
      <w:marRight w:val="0"/>
      <w:marTop w:val="0"/>
      <w:marBottom w:val="0"/>
      <w:divBdr>
        <w:top w:val="none" w:sz="0" w:space="0" w:color="auto"/>
        <w:left w:val="none" w:sz="0" w:space="0" w:color="auto"/>
        <w:bottom w:val="none" w:sz="0" w:space="0" w:color="auto"/>
        <w:right w:val="none" w:sz="0" w:space="0" w:color="auto"/>
      </w:divBdr>
    </w:div>
    <w:div w:id="1983343972">
      <w:bodyDiv w:val="1"/>
      <w:marLeft w:val="0"/>
      <w:marRight w:val="0"/>
      <w:marTop w:val="0"/>
      <w:marBottom w:val="0"/>
      <w:divBdr>
        <w:top w:val="none" w:sz="0" w:space="0" w:color="auto"/>
        <w:left w:val="none" w:sz="0" w:space="0" w:color="auto"/>
        <w:bottom w:val="none" w:sz="0" w:space="0" w:color="auto"/>
        <w:right w:val="none" w:sz="0" w:space="0" w:color="auto"/>
      </w:divBdr>
    </w:div>
    <w:div w:id="1983459497">
      <w:bodyDiv w:val="1"/>
      <w:marLeft w:val="0"/>
      <w:marRight w:val="0"/>
      <w:marTop w:val="0"/>
      <w:marBottom w:val="0"/>
      <w:divBdr>
        <w:top w:val="none" w:sz="0" w:space="0" w:color="auto"/>
        <w:left w:val="none" w:sz="0" w:space="0" w:color="auto"/>
        <w:bottom w:val="none" w:sz="0" w:space="0" w:color="auto"/>
        <w:right w:val="none" w:sz="0" w:space="0" w:color="auto"/>
      </w:divBdr>
    </w:div>
    <w:div w:id="1994866482">
      <w:bodyDiv w:val="1"/>
      <w:marLeft w:val="0"/>
      <w:marRight w:val="0"/>
      <w:marTop w:val="0"/>
      <w:marBottom w:val="0"/>
      <w:divBdr>
        <w:top w:val="none" w:sz="0" w:space="0" w:color="auto"/>
        <w:left w:val="none" w:sz="0" w:space="0" w:color="auto"/>
        <w:bottom w:val="none" w:sz="0" w:space="0" w:color="auto"/>
        <w:right w:val="none" w:sz="0" w:space="0" w:color="auto"/>
      </w:divBdr>
    </w:div>
    <w:div w:id="2012758890">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51682834">
      <w:bodyDiv w:val="1"/>
      <w:marLeft w:val="0"/>
      <w:marRight w:val="0"/>
      <w:marTop w:val="0"/>
      <w:marBottom w:val="0"/>
      <w:divBdr>
        <w:top w:val="none" w:sz="0" w:space="0" w:color="auto"/>
        <w:left w:val="none" w:sz="0" w:space="0" w:color="auto"/>
        <w:bottom w:val="none" w:sz="0" w:space="0" w:color="auto"/>
        <w:right w:val="none" w:sz="0" w:space="0" w:color="auto"/>
      </w:divBdr>
    </w:div>
    <w:div w:id="2061395509">
      <w:bodyDiv w:val="1"/>
      <w:marLeft w:val="0"/>
      <w:marRight w:val="0"/>
      <w:marTop w:val="0"/>
      <w:marBottom w:val="0"/>
      <w:divBdr>
        <w:top w:val="none" w:sz="0" w:space="0" w:color="auto"/>
        <w:left w:val="none" w:sz="0" w:space="0" w:color="auto"/>
        <w:bottom w:val="none" w:sz="0" w:space="0" w:color="auto"/>
        <w:right w:val="none" w:sz="0" w:space="0" w:color="auto"/>
      </w:divBdr>
    </w:div>
    <w:div w:id="2061705464">
      <w:bodyDiv w:val="1"/>
      <w:marLeft w:val="0"/>
      <w:marRight w:val="0"/>
      <w:marTop w:val="0"/>
      <w:marBottom w:val="0"/>
      <w:divBdr>
        <w:top w:val="none" w:sz="0" w:space="0" w:color="auto"/>
        <w:left w:val="none" w:sz="0" w:space="0" w:color="auto"/>
        <w:bottom w:val="none" w:sz="0" w:space="0" w:color="auto"/>
        <w:right w:val="none" w:sz="0" w:space="0" w:color="auto"/>
      </w:divBdr>
    </w:div>
    <w:div w:id="2064404586">
      <w:bodyDiv w:val="1"/>
      <w:marLeft w:val="0"/>
      <w:marRight w:val="0"/>
      <w:marTop w:val="0"/>
      <w:marBottom w:val="0"/>
      <w:divBdr>
        <w:top w:val="none" w:sz="0" w:space="0" w:color="auto"/>
        <w:left w:val="none" w:sz="0" w:space="0" w:color="auto"/>
        <w:bottom w:val="none" w:sz="0" w:space="0" w:color="auto"/>
        <w:right w:val="none" w:sz="0" w:space="0" w:color="auto"/>
      </w:divBdr>
    </w:div>
    <w:div w:id="2065788722">
      <w:bodyDiv w:val="1"/>
      <w:marLeft w:val="0"/>
      <w:marRight w:val="0"/>
      <w:marTop w:val="0"/>
      <w:marBottom w:val="0"/>
      <w:divBdr>
        <w:top w:val="none" w:sz="0" w:space="0" w:color="auto"/>
        <w:left w:val="none" w:sz="0" w:space="0" w:color="auto"/>
        <w:bottom w:val="none" w:sz="0" w:space="0" w:color="auto"/>
        <w:right w:val="none" w:sz="0" w:space="0" w:color="auto"/>
      </w:divBdr>
    </w:div>
    <w:div w:id="207496588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9377023">
      <w:bodyDiv w:val="1"/>
      <w:marLeft w:val="0"/>
      <w:marRight w:val="0"/>
      <w:marTop w:val="0"/>
      <w:marBottom w:val="0"/>
      <w:divBdr>
        <w:top w:val="none" w:sz="0" w:space="0" w:color="auto"/>
        <w:left w:val="none" w:sz="0" w:space="0" w:color="auto"/>
        <w:bottom w:val="none" w:sz="0" w:space="0" w:color="auto"/>
        <w:right w:val="none" w:sz="0" w:space="0" w:color="auto"/>
      </w:divBdr>
    </w:div>
    <w:div w:id="2091461637">
      <w:bodyDiv w:val="1"/>
      <w:marLeft w:val="0"/>
      <w:marRight w:val="0"/>
      <w:marTop w:val="0"/>
      <w:marBottom w:val="0"/>
      <w:divBdr>
        <w:top w:val="none" w:sz="0" w:space="0" w:color="auto"/>
        <w:left w:val="none" w:sz="0" w:space="0" w:color="auto"/>
        <w:bottom w:val="none" w:sz="0" w:space="0" w:color="auto"/>
        <w:right w:val="none" w:sz="0" w:space="0" w:color="auto"/>
      </w:divBdr>
    </w:div>
    <w:div w:id="2102330712">
      <w:bodyDiv w:val="1"/>
      <w:marLeft w:val="0"/>
      <w:marRight w:val="0"/>
      <w:marTop w:val="0"/>
      <w:marBottom w:val="0"/>
      <w:divBdr>
        <w:top w:val="none" w:sz="0" w:space="0" w:color="auto"/>
        <w:left w:val="none" w:sz="0" w:space="0" w:color="auto"/>
        <w:bottom w:val="none" w:sz="0" w:space="0" w:color="auto"/>
        <w:right w:val="none" w:sz="0" w:space="0" w:color="auto"/>
      </w:divBdr>
    </w:div>
    <w:div w:id="210884665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5009168">
      <w:bodyDiv w:val="1"/>
      <w:marLeft w:val="0"/>
      <w:marRight w:val="0"/>
      <w:marTop w:val="0"/>
      <w:marBottom w:val="0"/>
      <w:divBdr>
        <w:top w:val="none" w:sz="0" w:space="0" w:color="auto"/>
        <w:left w:val="none" w:sz="0" w:space="0" w:color="auto"/>
        <w:bottom w:val="none" w:sz="0" w:space="0" w:color="auto"/>
        <w:right w:val="none" w:sz="0" w:space="0" w:color="auto"/>
      </w:divBdr>
    </w:div>
    <w:div w:id="2137674962">
      <w:bodyDiv w:val="1"/>
      <w:marLeft w:val="0"/>
      <w:marRight w:val="0"/>
      <w:marTop w:val="0"/>
      <w:marBottom w:val="0"/>
      <w:divBdr>
        <w:top w:val="none" w:sz="0" w:space="0" w:color="auto"/>
        <w:left w:val="none" w:sz="0" w:space="0" w:color="auto"/>
        <w:bottom w:val="none" w:sz="0" w:space="0" w:color="auto"/>
        <w:right w:val="none" w:sz="0" w:space="0" w:color="auto"/>
      </w:divBdr>
    </w:div>
    <w:div w:id="2146046258">
      <w:bodyDiv w:val="1"/>
      <w:marLeft w:val="0"/>
      <w:marRight w:val="0"/>
      <w:marTop w:val="0"/>
      <w:marBottom w:val="0"/>
      <w:divBdr>
        <w:top w:val="none" w:sz="0" w:space="0" w:color="auto"/>
        <w:left w:val="none" w:sz="0" w:space="0" w:color="auto"/>
        <w:bottom w:val="none" w:sz="0" w:space="0" w:color="auto"/>
        <w:right w:val="none" w:sz="0" w:space="0" w:color="auto"/>
      </w:divBdr>
    </w:div>
    <w:div w:id="214646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en.wikipedia.org/wiki/Demolition"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r w:rsidRPr="00561874">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r w:rsidRPr="00D1240B">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B66E99BD5E66496AB31952EBA55B9CD2"/>
        <w:category>
          <w:name w:val="General"/>
          <w:gallery w:val="placeholder"/>
        </w:category>
        <w:types>
          <w:type w:val="bbPlcHdr"/>
        </w:types>
        <w:behaviors>
          <w:behavior w:val="content"/>
        </w:behaviors>
        <w:guid w:val="{0524DDEA-2566-495D-AF49-3AB038B3C16B}"/>
      </w:docPartPr>
      <w:docPartBody>
        <w:p w:rsidR="00384FC7" w:rsidRDefault="00927F99" w:rsidP="00927F99">
          <w:pPr>
            <w:pStyle w:val="B66E99BD5E66496AB31952EBA55B9CD2"/>
          </w:pPr>
          <w:r w:rsidRPr="00812B14">
            <w:t>[Status]</w:t>
          </w:r>
        </w:p>
      </w:docPartBody>
    </w:docPart>
    <w:docPart>
      <w:docPartPr>
        <w:name w:val="7DFB72C6C71C4027892D8EC1D9F6591C"/>
        <w:category>
          <w:name w:val="General"/>
          <w:gallery w:val="placeholder"/>
        </w:category>
        <w:types>
          <w:type w:val="bbPlcHdr"/>
        </w:types>
        <w:behaviors>
          <w:behavior w:val="content"/>
        </w:behaviors>
        <w:guid w:val="{A6B8525F-FA9A-4265-AB06-08421F2C91DE}"/>
      </w:docPartPr>
      <w:docPartBody>
        <w:p w:rsidR="00384FC7" w:rsidRDefault="00927F99" w:rsidP="00927F99">
          <w:pPr>
            <w:pStyle w:val="7DFB72C6C71C4027892D8EC1D9F6591C"/>
          </w:pPr>
          <w:r w:rsidRPr="00812B14">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67F8"/>
    <w:rsid w:val="000A0C3B"/>
    <w:rsid w:val="000A52C0"/>
    <w:rsid w:val="000E14E7"/>
    <w:rsid w:val="00105972"/>
    <w:rsid w:val="00116E5C"/>
    <w:rsid w:val="001476C7"/>
    <w:rsid w:val="00164B5A"/>
    <w:rsid w:val="00192908"/>
    <w:rsid w:val="00252452"/>
    <w:rsid w:val="002550FD"/>
    <w:rsid w:val="002D5663"/>
    <w:rsid w:val="00350199"/>
    <w:rsid w:val="00357127"/>
    <w:rsid w:val="00384FC7"/>
    <w:rsid w:val="003A04DC"/>
    <w:rsid w:val="00402273"/>
    <w:rsid w:val="00485FB7"/>
    <w:rsid w:val="004A1D2C"/>
    <w:rsid w:val="00511494"/>
    <w:rsid w:val="005349DF"/>
    <w:rsid w:val="00576F78"/>
    <w:rsid w:val="00623523"/>
    <w:rsid w:val="00662470"/>
    <w:rsid w:val="00682070"/>
    <w:rsid w:val="006A0540"/>
    <w:rsid w:val="007154C5"/>
    <w:rsid w:val="00742E33"/>
    <w:rsid w:val="007470F2"/>
    <w:rsid w:val="00780C80"/>
    <w:rsid w:val="007865E0"/>
    <w:rsid w:val="007A4A68"/>
    <w:rsid w:val="00835E07"/>
    <w:rsid w:val="0087134D"/>
    <w:rsid w:val="00883EB5"/>
    <w:rsid w:val="00884D64"/>
    <w:rsid w:val="00886503"/>
    <w:rsid w:val="008E6E67"/>
    <w:rsid w:val="00920DF1"/>
    <w:rsid w:val="00927F99"/>
    <w:rsid w:val="009475A8"/>
    <w:rsid w:val="00972B41"/>
    <w:rsid w:val="00A0311D"/>
    <w:rsid w:val="00A8142B"/>
    <w:rsid w:val="00AA2439"/>
    <w:rsid w:val="00BB2BAA"/>
    <w:rsid w:val="00BE5884"/>
    <w:rsid w:val="00C03CD7"/>
    <w:rsid w:val="00C477C6"/>
    <w:rsid w:val="00CA10A9"/>
    <w:rsid w:val="00CA123F"/>
    <w:rsid w:val="00CD10A9"/>
    <w:rsid w:val="00CF0687"/>
    <w:rsid w:val="00D04EF0"/>
    <w:rsid w:val="00D24285"/>
    <w:rsid w:val="00D75606"/>
    <w:rsid w:val="00DB4022"/>
    <w:rsid w:val="00DC4D3C"/>
    <w:rsid w:val="00DC572F"/>
    <w:rsid w:val="00DD7BA4"/>
    <w:rsid w:val="00DF1CFE"/>
    <w:rsid w:val="00E24D23"/>
    <w:rsid w:val="00E318CE"/>
    <w:rsid w:val="00E37F7B"/>
    <w:rsid w:val="00E646E1"/>
    <w:rsid w:val="00F72710"/>
    <w:rsid w:val="00FA219F"/>
    <w:rsid w:val="00FB2A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C80"/>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 w:type="paragraph" w:customStyle="1" w:styleId="7B9BDFF14BD54958B10F73A803ABCB8B">
    <w:name w:val="7B9BDFF14BD54958B10F73A803ABCB8B"/>
    <w:rsid w:val="00972B41"/>
  </w:style>
  <w:style w:type="paragraph" w:customStyle="1" w:styleId="B66E99BD5E66496AB31952EBA55B9CD2">
    <w:name w:val="B66E99BD5E66496AB31952EBA55B9CD2"/>
    <w:rsid w:val="00927F99"/>
    <w:pPr>
      <w:spacing w:line="278" w:lineRule="auto"/>
    </w:pPr>
    <w:rPr>
      <w:kern w:val="2"/>
      <w:sz w:val="24"/>
      <w:szCs w:val="24"/>
      <w14:ligatures w14:val="standardContextual"/>
    </w:rPr>
  </w:style>
  <w:style w:type="paragraph" w:customStyle="1" w:styleId="7DFB72C6C71C4027892D8EC1D9F6591C">
    <w:name w:val="7DFB72C6C71C4027892D8EC1D9F6591C"/>
    <w:rsid w:val="00927F9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7.xml><?xml version="1.0" encoding="utf-8"?>
<b:Sources xmlns:b="http://schemas.openxmlformats.org/officeDocument/2006/bibliography" xmlns="http://schemas.openxmlformats.org/officeDocument/2006/bibliography" SelectedStyle="\IEEE2006OfficeOnline.xsl" StyleName="IEEE" Version="2006">
  <b:Source>
    <b:Tag>ONRSAPs</b:Tag>
    <b:SourceType>Book</b:SourceType>
    <b:Guid>{5917DBE2-99A6-4A7E-A95A-BC86D5CE2ACF}</b:Guid>
    <b:Author>
      <b:Author>
        <b:Corporate>ONR</b:Corporate>
      </b:Author>
    </b:Author>
    <b:Title>Safety Assessment Principles for Nuclear Facilities’, 2014 Edition, Rev 1, January 2020, www.onr.org.uk/saps/saps2014.pdf</b:Title>
    <b:RefOrder>2</b:RefOrder>
  </b:Source>
  <b:Source>
    <b:Tag>NST1</b:Tag>
    <b:SourceType>DocumentFromInternetSite</b:SourceType>
    <b:Guid>{309C78BD-86A5-4C80-8997-9AAC22CBD57C}</b:Guid>
    <b:Title>NS-TAST-GD-017 - Civil Engineering</b:Title>
    <b:Author>
      <b:Author>
        <b:Corporate>ONR</b:Corporate>
      </b:Author>
    </b:Author>
    <b:URL>ONR website</b:URL>
    <b:RefOrder>1</b:RefOrder>
  </b:Source>
  <b:Source>
    <b:Tag>TAG26</b:Tag>
    <b:SourceType>Book</b:SourceType>
    <b:Guid>{4CC910A3-1AC6-4EB0-A980-11C6DFF332C9}</b:Guid>
    <b:Title>NS-TAST-GD-026 - Decommissioning</b:Title>
    <b:Author>
      <b:Author>
        <b:Corporate>ONR</b:Corporate>
      </b:Author>
    </b:Author>
    <b:RefOrder>3</b:RefOrder>
  </b:Source>
  <b:Source>
    <b:Tag>WEN</b:Tag>
    <b:SourceType>Book</b:SourceType>
    <b:Guid>{02E06A74-39B2-4414-86E6-9E6473958585}</b:Guid>
    <b:Title>Decommissioning Safety Reference Levels</b:Title>
    <b:Author>
      <b:Author>
        <b:Corporate>WENRA</b:Corporate>
      </b:Author>
    </b:Author>
    <b:RefOrder>6</b:RefOrder>
  </b:Source>
  <b:Source>
    <b:Tag>DECIAEASSG47</b:Tag>
    <b:SourceType>Book</b:SourceType>
    <b:Guid>{DEC869B0-66C0-465A-B7F3-E2E613AED7D5}</b:Guid>
    <b:Title>SSG-47 ‘Decommissioning of Nuclear Power Plants, Research Reactors and other Nuclear Fuel Cycle Facilities’</b:Title>
    <b:Year>2018</b:Year>
    <b:Author>
      <b:Author>
        <b:Corporate>IAEA</b:Corporate>
      </b:Author>
    </b:Author>
    <b:RefOrder>4</b:RefOrder>
  </b:Source>
  <b:Source>
    <b:Tag>DECIAEAGSRPart6</b:Tag>
    <b:SourceType>Book</b:SourceType>
    <b:Guid>{A5213928-2E3B-4301-8DB2-453E97654A64}</b:Guid>
    <b:Title>General Safety Requirements No. GSR Part 6 ‘Decommissioning of Facilities'</b:Title>
    <b:Year>2014</b:Year>
    <b:Author>
      <b:Author>
        <b:Corporate>IAEA</b:Corporate>
      </b:Author>
    </b:Author>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AB3E82-1BA3-41DB-BA2D-6AB0C7363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251C3-FACB-4E3C-9C2F-6470C223CDC0}">
  <ds:schemaRefs>
    <ds:schemaRef ds:uri="Microsoft.SharePoint.Taxonomy.ContentTypeSync"/>
  </ds:schemaRefs>
</ds:datastoreItem>
</file>

<file path=customXml/itemProps4.xml><?xml version="1.0" encoding="utf-8"?>
<ds:datastoreItem xmlns:ds="http://schemas.openxmlformats.org/officeDocument/2006/customXml" ds:itemID="{CE91E1A0-129D-4437-8270-68B1AD35A434}">
  <ds:schemaRefs>
    <ds:schemaRef ds:uri="http://schemas.microsoft.com/sharepoint/events"/>
  </ds:schemaRefs>
</ds:datastoreItem>
</file>

<file path=customXml/itemProps5.xml><?xml version="1.0" encoding="utf-8"?>
<ds:datastoreItem xmlns:ds="http://schemas.openxmlformats.org/officeDocument/2006/customXml" ds:itemID="{76721485-3AE6-40DC-82A3-B2DE07AFC2B5}">
  <ds:schemaRefs>
    <ds:schemaRef ds:uri="http://schemas.microsoft.com/sharepoint/v3/contenttype/forms"/>
  </ds:schemaRefs>
</ds:datastoreItem>
</file>

<file path=customXml/itemProps6.xml><?xml version="1.0" encoding="utf-8"?>
<ds:datastoreItem xmlns:ds="http://schemas.openxmlformats.org/officeDocument/2006/customXml" ds:itemID="{8F4E5516-73D3-400C-AC31-9B07653F18E1}">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7.xml><?xml version="1.0" encoding="utf-8"?>
<ds:datastoreItem xmlns:ds="http://schemas.openxmlformats.org/officeDocument/2006/customXml" ds:itemID="{61B7063A-1405-4B53-B1A6-87C7E3BBE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22</Pages>
  <Words>5417</Words>
  <Characters>32019</Characters>
  <Application>Microsoft Office Word</Application>
  <DocSecurity>0</DocSecurity>
  <Lines>681</Lines>
  <Paragraphs>290</Paragraphs>
  <ScaleCrop>false</ScaleCrop>
  <HeadingPairs>
    <vt:vector size="2" baseType="variant">
      <vt:variant>
        <vt:lpstr>Title</vt:lpstr>
      </vt:variant>
      <vt:variant>
        <vt:i4>1</vt:i4>
      </vt:variant>
    </vt:vector>
  </HeadingPairs>
  <TitlesOfParts>
    <vt:vector size="1" baseType="lpstr">
      <vt:lpstr>NS-TAST-GD-017 Annex 6 – Post Operation</vt:lpstr>
    </vt:vector>
  </TitlesOfParts>
  <Manager>Office for Nuclear Regulation</Manager>
  <Company>Office for Nuclear Regulation</Company>
  <LinksUpToDate>false</LinksUpToDate>
  <CharactersWithSpaces>37146</CharactersWithSpaces>
  <SharedDoc>false</SharedDoc>
  <HLinks>
    <vt:vector size="42" baseType="variant">
      <vt:variant>
        <vt:i4>4784138</vt:i4>
      </vt:variant>
      <vt:variant>
        <vt:i4>63</vt:i4>
      </vt:variant>
      <vt:variant>
        <vt:i4>0</vt:i4>
      </vt:variant>
      <vt:variant>
        <vt:i4>5</vt:i4>
      </vt:variant>
      <vt:variant>
        <vt:lpwstr>https://en.wikipedia.org/wiki/Demolition</vt:lpwstr>
      </vt:variant>
      <vt:variant>
        <vt:lpwstr/>
      </vt:variant>
      <vt:variant>
        <vt:i4>1310780</vt:i4>
      </vt:variant>
      <vt:variant>
        <vt:i4>32</vt:i4>
      </vt:variant>
      <vt:variant>
        <vt:i4>0</vt:i4>
      </vt:variant>
      <vt:variant>
        <vt:i4>5</vt:i4>
      </vt:variant>
      <vt:variant>
        <vt:lpwstr/>
      </vt:variant>
      <vt:variant>
        <vt:lpwstr>_Toc233199481</vt:lpwstr>
      </vt:variant>
      <vt:variant>
        <vt:i4>1310780</vt:i4>
      </vt:variant>
      <vt:variant>
        <vt:i4>26</vt:i4>
      </vt:variant>
      <vt:variant>
        <vt:i4>0</vt:i4>
      </vt:variant>
      <vt:variant>
        <vt:i4>5</vt:i4>
      </vt:variant>
      <vt:variant>
        <vt:lpwstr/>
      </vt:variant>
      <vt:variant>
        <vt:lpwstr>_Toc233199480</vt:lpwstr>
      </vt:variant>
      <vt:variant>
        <vt:i4>1769532</vt:i4>
      </vt:variant>
      <vt:variant>
        <vt:i4>20</vt:i4>
      </vt:variant>
      <vt:variant>
        <vt:i4>0</vt:i4>
      </vt:variant>
      <vt:variant>
        <vt:i4>5</vt:i4>
      </vt:variant>
      <vt:variant>
        <vt:lpwstr/>
      </vt:variant>
      <vt:variant>
        <vt:lpwstr>_Toc233199479</vt:lpwstr>
      </vt:variant>
      <vt:variant>
        <vt:i4>1769532</vt:i4>
      </vt:variant>
      <vt:variant>
        <vt:i4>14</vt:i4>
      </vt:variant>
      <vt:variant>
        <vt:i4>0</vt:i4>
      </vt:variant>
      <vt:variant>
        <vt:i4>5</vt:i4>
      </vt:variant>
      <vt:variant>
        <vt:lpwstr/>
      </vt:variant>
      <vt:variant>
        <vt:lpwstr>_Toc233199478</vt:lpwstr>
      </vt:variant>
      <vt:variant>
        <vt:i4>1769532</vt:i4>
      </vt:variant>
      <vt:variant>
        <vt:i4>8</vt:i4>
      </vt:variant>
      <vt:variant>
        <vt:i4>0</vt:i4>
      </vt:variant>
      <vt:variant>
        <vt:i4>5</vt:i4>
      </vt:variant>
      <vt:variant>
        <vt:lpwstr/>
      </vt:variant>
      <vt:variant>
        <vt:lpwstr>_Toc233199477</vt:lpwstr>
      </vt:variant>
      <vt:variant>
        <vt:i4>1769532</vt:i4>
      </vt:variant>
      <vt:variant>
        <vt:i4>2</vt:i4>
      </vt:variant>
      <vt:variant>
        <vt:i4>0</vt:i4>
      </vt:variant>
      <vt:variant>
        <vt:i4>5</vt:i4>
      </vt:variant>
      <vt:variant>
        <vt:lpwstr/>
      </vt:variant>
      <vt:variant>
        <vt:lpwstr>_Toc233199476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(Annex 6) – Post operational sites</dc:title>
  <dc:subject>[Subtitle or description]</dc:subject>
  <cp:keywords>[Key words separated by commas]</cp:keywords>
  <dc:description/>
  <cp:revision>4</cp:revision>
  <cp:lastPrinted>2016-11-28T11:35:00Z</cp:lastPrinted>
  <dcterms:created xsi:type="dcterms:W3CDTF">2026-07-13T11:38:00Z</dcterms:created>
  <dcterms:modified xsi:type="dcterms:W3CDTF">2026-07-13T11:55:00Z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