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A9BB7FC" w:rsidR="00D0226A" w:rsidRPr="001E03E1" w:rsidRDefault="00D353BC" w:rsidP="001E03E1">
            <w:pPr>
              <w:pStyle w:val="CoverTitle"/>
              <w:rPr>
                <w:szCs w:val="90"/>
              </w:rPr>
            </w:pPr>
            <w:sdt>
              <w:sdtPr>
                <w:rPr>
                  <w:sz w:val="96"/>
                  <w:szCs w:val="96"/>
                </w:rPr>
                <w:id w:val="1228188510"/>
                <w:placeholder>
                  <w:docPart w:val="DefaultPlaceholder_-1854013440"/>
                </w:placeholder>
              </w:sdtPr>
              <w:sdtEndPr>
                <w:rPr>
                  <w:sz w:val="160"/>
                  <w:szCs w:val="160"/>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852B8" w:rsidRPr="006C3489">
                      <w:rPr>
                        <w:sz w:val="96"/>
                        <w:szCs w:val="96"/>
                      </w:rPr>
                      <w:t>Criticality Safety</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DB9594C" w:rsidR="00004C16" w:rsidRPr="00F63AA5" w:rsidRDefault="00D353BC"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3852B8">
            <w:rPr>
              <w:rStyle w:val="Style2"/>
              <w:sz w:val="36"/>
              <w:szCs w:val="16"/>
            </w:rPr>
            <w:t>Criticality Safety</w:t>
          </w:r>
        </w:sdtContent>
      </w:sdt>
    </w:p>
    <w:p w14:paraId="10432EBB" w14:textId="2BF1FC6C" w:rsidR="002D5F2E" w:rsidRDefault="002D5F2E" w:rsidP="002D5F2E">
      <w:pPr>
        <w:rPr>
          <w:sz w:val="28"/>
          <w:szCs w:val="28"/>
        </w:rPr>
      </w:pPr>
      <w:r w:rsidRPr="002D5F2E">
        <w:rPr>
          <w:b/>
          <w:bCs/>
          <w:sz w:val="28"/>
          <w:szCs w:val="28"/>
        </w:rPr>
        <w:t>Professional Lead</w:t>
      </w:r>
      <w:r>
        <w:rPr>
          <w:sz w:val="28"/>
          <w:szCs w:val="28"/>
        </w:rPr>
        <w:t xml:space="preserve">: Professional Lead – </w:t>
      </w:r>
      <w:r w:rsidR="006C192C">
        <w:rPr>
          <w:sz w:val="28"/>
          <w:szCs w:val="28"/>
        </w:rPr>
        <w:t>Radiological Protection and Criticality</w:t>
      </w:r>
    </w:p>
    <w:p w14:paraId="61A25C0F" w14:textId="77777777" w:rsidR="00004C16" w:rsidRDefault="00004C16" w:rsidP="00004C16">
      <w:pPr>
        <w:rPr>
          <w:sz w:val="28"/>
          <w:szCs w:val="28"/>
        </w:rPr>
      </w:pPr>
    </w:p>
    <w:p w14:paraId="4C7A948F" w14:textId="09D765D6"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6C192C">
        <w:rPr>
          <w:szCs w:val="24"/>
        </w:rPr>
        <w:t>Inspector</w:t>
      </w:r>
      <w:r w:rsidR="001B51B4">
        <w:rPr>
          <w:szCs w:val="24"/>
        </w:rPr>
        <w:t xml:space="preserve"> – </w:t>
      </w:r>
      <w:r w:rsidR="00977B34">
        <w:rPr>
          <w:szCs w:val="24"/>
        </w:rPr>
        <w:t>Radiological Protection and Criticali</w:t>
      </w:r>
      <w:r w:rsidR="001B51B4">
        <w:rPr>
          <w:szCs w:val="24"/>
        </w:rPr>
        <w:t>ty</w:t>
      </w:r>
    </w:p>
    <w:p w14:paraId="15A21CF3" w14:textId="724E9F8F"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977B34">
        <w:rPr>
          <w:szCs w:val="24"/>
        </w:rPr>
        <w:t>Professional Lead – Radiological Protection and Criticality</w:t>
      </w:r>
    </w:p>
    <w:p w14:paraId="247E3769" w14:textId="12E740CC" w:rsidR="00004C16" w:rsidRPr="002D5F2E" w:rsidRDefault="00004C16" w:rsidP="00004C16">
      <w:pPr>
        <w:rPr>
          <w:szCs w:val="24"/>
        </w:rPr>
      </w:pPr>
      <w:r w:rsidRPr="002D5F2E">
        <w:rPr>
          <w:b/>
          <w:bCs/>
          <w:szCs w:val="24"/>
        </w:rPr>
        <w:t>Issue No</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4509">
            <w:rPr>
              <w:szCs w:val="24"/>
            </w:rPr>
            <w:t>8</w:t>
          </w:r>
        </w:sdtContent>
      </w:sdt>
    </w:p>
    <w:p w14:paraId="19206F45" w14:textId="5F61C32E" w:rsidR="00004C16" w:rsidRPr="002D5F2E" w:rsidRDefault="00004C16" w:rsidP="00004C16">
      <w:pPr>
        <w:rPr>
          <w:szCs w:val="24"/>
        </w:rPr>
      </w:pPr>
      <w:r w:rsidRPr="002D5F2E">
        <w:rPr>
          <w:b/>
          <w:bCs/>
          <w:szCs w:val="24"/>
        </w:rPr>
        <w:t>Publication Date</w:t>
      </w:r>
      <w:r w:rsidRPr="002D5F2E">
        <w:rPr>
          <w:szCs w:val="24"/>
        </w:rPr>
        <w:t xml:space="preserve">: </w:t>
      </w:r>
      <w:r w:rsidR="004855D4">
        <w:rPr>
          <w:szCs w:val="24"/>
        </w:rPr>
        <w:t xml:space="preserve">January </w:t>
      </w:r>
      <w:r w:rsidR="005F4509">
        <w:rPr>
          <w:szCs w:val="24"/>
        </w:rPr>
        <w:t>202</w:t>
      </w:r>
      <w:r w:rsidR="004855D4">
        <w:rPr>
          <w:szCs w:val="24"/>
        </w:rPr>
        <w:t>4</w:t>
      </w:r>
    </w:p>
    <w:p w14:paraId="06A6B3A5" w14:textId="083A969D" w:rsidR="00E57DB9" w:rsidRPr="002D5F2E" w:rsidRDefault="00E57DB9" w:rsidP="00E57DB9">
      <w:pPr>
        <w:rPr>
          <w:szCs w:val="24"/>
        </w:rPr>
      </w:pPr>
      <w:r w:rsidRPr="002D5F2E">
        <w:rPr>
          <w:b/>
          <w:bCs/>
          <w:szCs w:val="24"/>
        </w:rPr>
        <w:t>Next Major Review Date</w:t>
      </w:r>
      <w:r w:rsidRPr="002D5F2E">
        <w:rPr>
          <w:szCs w:val="24"/>
        </w:rPr>
        <w:t>:</w:t>
      </w:r>
      <w:r w:rsidR="00AE4F54" w:rsidRPr="002D5F2E">
        <w:rPr>
          <w:szCs w:val="24"/>
        </w:rPr>
        <w:t xml:space="preserve"> </w:t>
      </w:r>
      <w:r w:rsidR="004855D4">
        <w:rPr>
          <w:szCs w:val="24"/>
        </w:rPr>
        <w:t>January</w:t>
      </w:r>
      <w:r w:rsidR="008A523A">
        <w:rPr>
          <w:szCs w:val="24"/>
        </w:rPr>
        <w:t xml:space="preserve"> 202</w:t>
      </w:r>
      <w:r w:rsidR="004855D4">
        <w:rPr>
          <w:szCs w:val="24"/>
        </w:rPr>
        <w:t>9</w:t>
      </w:r>
    </w:p>
    <w:p w14:paraId="6DA341A1" w14:textId="58CB7740" w:rsidR="00347CA8" w:rsidRPr="002D5F2E" w:rsidRDefault="00347CA8" w:rsidP="00E57DB9">
      <w:pPr>
        <w:rPr>
          <w:szCs w:val="24"/>
        </w:rPr>
      </w:pPr>
      <w:r w:rsidRPr="002D5F2E">
        <w:rPr>
          <w:b/>
          <w:bCs/>
          <w:szCs w:val="24"/>
        </w:rPr>
        <w:t>Doc. Ref</w:t>
      </w:r>
      <w:r w:rsidRPr="002D5F2E">
        <w:rPr>
          <w:szCs w:val="24"/>
        </w:rPr>
        <w:t xml:space="preserve">.: </w:t>
      </w:r>
      <w:r w:rsidR="006E12D9">
        <w:rPr>
          <w:szCs w:val="24"/>
        </w:rPr>
        <w:t>NS-TAST</w:t>
      </w:r>
      <w:r w:rsidR="00A82890">
        <w:rPr>
          <w:szCs w:val="24"/>
        </w:rPr>
        <w:t>-GD-041</w:t>
      </w:r>
    </w:p>
    <w:p w14:paraId="55057C62" w14:textId="0286B963" w:rsidR="00004C16" w:rsidRPr="002D5F2E" w:rsidRDefault="00004C16" w:rsidP="00004C16">
      <w:pPr>
        <w:rPr>
          <w:szCs w:val="24"/>
        </w:rPr>
      </w:pPr>
      <w:r w:rsidRPr="002D5F2E">
        <w:rPr>
          <w:b/>
          <w:bCs/>
          <w:szCs w:val="24"/>
        </w:rPr>
        <w:t>Record Ref. No</w:t>
      </w:r>
      <w:r w:rsidRPr="002D5F2E">
        <w:rPr>
          <w:szCs w:val="24"/>
        </w:rPr>
        <w:t xml:space="preserve">.: </w:t>
      </w:r>
      <w:r w:rsidR="00D714EA">
        <w:rPr>
          <w:szCs w:val="24"/>
        </w:rPr>
        <w:t>2023/5853</w:t>
      </w:r>
      <w:r w:rsidR="001343DF">
        <w:rPr>
          <w:szCs w:val="24"/>
        </w:rPr>
        <w:t>8</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595C8C" w:rsidRPr="002D5F2E" w14:paraId="0B4E4E42" w14:textId="77777777" w:rsidTr="00E20B32">
        <w:tc>
          <w:tcPr>
            <w:tcW w:w="1550" w:type="dxa"/>
          </w:tcPr>
          <w:p w14:paraId="65482A03" w14:textId="713C32EB" w:rsidR="00595C8C" w:rsidRPr="002D5F2E" w:rsidRDefault="00812B5E" w:rsidP="00595C8C">
            <w:pPr>
              <w:spacing w:before="60" w:after="60"/>
              <w:rPr>
                <w:szCs w:val="24"/>
              </w:rPr>
            </w:pPr>
            <w:r>
              <w:rPr>
                <w:szCs w:val="24"/>
              </w:rPr>
              <w:t>6</w:t>
            </w:r>
          </w:p>
        </w:tc>
        <w:tc>
          <w:tcPr>
            <w:tcW w:w="7466" w:type="dxa"/>
          </w:tcPr>
          <w:p w14:paraId="1C80912E" w14:textId="5587BFB7" w:rsidR="00595C8C" w:rsidRPr="002D5F2E" w:rsidRDefault="00812B5E" w:rsidP="00595C8C">
            <w:pPr>
              <w:spacing w:before="60" w:after="60"/>
              <w:rPr>
                <w:szCs w:val="24"/>
              </w:rPr>
            </w:pPr>
            <w:r>
              <w:rPr>
                <w:szCs w:val="24"/>
              </w:rPr>
              <w:t>Routine update</w:t>
            </w:r>
            <w:r w:rsidR="0031154C">
              <w:rPr>
                <w:szCs w:val="24"/>
              </w:rPr>
              <w:t xml:space="preserve"> (June 2019)</w:t>
            </w:r>
          </w:p>
        </w:tc>
      </w:tr>
      <w:tr w:rsidR="00812B5E" w:rsidRPr="002D5F2E" w14:paraId="29242C25" w14:textId="77777777" w:rsidTr="00E20B32">
        <w:tc>
          <w:tcPr>
            <w:tcW w:w="1550" w:type="dxa"/>
          </w:tcPr>
          <w:p w14:paraId="6A952A4A" w14:textId="24FB9573" w:rsidR="00812B5E" w:rsidRDefault="00812B5E" w:rsidP="00595C8C">
            <w:pPr>
              <w:spacing w:before="60" w:after="60"/>
              <w:rPr>
                <w:szCs w:val="24"/>
              </w:rPr>
            </w:pPr>
            <w:r>
              <w:rPr>
                <w:szCs w:val="24"/>
              </w:rPr>
              <w:t>7</w:t>
            </w:r>
          </w:p>
        </w:tc>
        <w:tc>
          <w:tcPr>
            <w:tcW w:w="7466" w:type="dxa"/>
          </w:tcPr>
          <w:p w14:paraId="77844A52" w14:textId="653DE1A5" w:rsidR="00812B5E" w:rsidRDefault="008E4DAB" w:rsidP="00595C8C">
            <w:pPr>
              <w:spacing w:before="60" w:after="60"/>
              <w:rPr>
                <w:szCs w:val="24"/>
              </w:rPr>
            </w:pPr>
            <w:r>
              <w:rPr>
                <w:szCs w:val="24"/>
              </w:rPr>
              <w:t>Updated review period</w:t>
            </w:r>
            <w:r w:rsidR="00133639">
              <w:t xml:space="preserve"> from </w:t>
            </w:r>
            <w:r w:rsidR="00133639" w:rsidRPr="00133639">
              <w:rPr>
                <w:szCs w:val="24"/>
              </w:rPr>
              <w:t>Jun</w:t>
            </w:r>
            <w:r w:rsidR="00627EAF">
              <w:rPr>
                <w:szCs w:val="24"/>
              </w:rPr>
              <w:t>e</w:t>
            </w:r>
            <w:r w:rsidR="00133639">
              <w:rPr>
                <w:szCs w:val="24"/>
              </w:rPr>
              <w:t xml:space="preserve"> 20</w:t>
            </w:r>
            <w:r w:rsidR="00133639" w:rsidRPr="00133639">
              <w:rPr>
                <w:szCs w:val="24"/>
              </w:rPr>
              <w:t xml:space="preserve">22 </w:t>
            </w:r>
            <w:r w:rsidR="00133639">
              <w:rPr>
                <w:szCs w:val="24"/>
              </w:rPr>
              <w:t>to</w:t>
            </w:r>
            <w:r w:rsidR="00133639" w:rsidRPr="00133639">
              <w:rPr>
                <w:szCs w:val="24"/>
              </w:rPr>
              <w:t xml:space="preserve"> Jan</w:t>
            </w:r>
            <w:r w:rsidR="00133639">
              <w:rPr>
                <w:szCs w:val="24"/>
              </w:rPr>
              <w:t xml:space="preserve">uary </w:t>
            </w:r>
            <w:r w:rsidR="00133639" w:rsidRPr="00133639">
              <w:rPr>
                <w:szCs w:val="24"/>
              </w:rPr>
              <w:t>2</w:t>
            </w:r>
            <w:r w:rsidR="00133639">
              <w:rPr>
                <w:szCs w:val="24"/>
              </w:rPr>
              <w:t>02</w:t>
            </w:r>
            <w:r w:rsidR="00133639" w:rsidRPr="00133639">
              <w:rPr>
                <w:szCs w:val="24"/>
              </w:rPr>
              <w:t>4</w:t>
            </w:r>
            <w:r w:rsidR="00B22DF1">
              <w:rPr>
                <w:szCs w:val="24"/>
              </w:rPr>
              <w:t xml:space="preserve"> (</w:t>
            </w:r>
            <w:r w:rsidR="003E5C74">
              <w:rPr>
                <w:szCs w:val="24"/>
              </w:rPr>
              <w:t>September</w:t>
            </w:r>
            <w:r w:rsidR="00B22DF1">
              <w:rPr>
                <w:szCs w:val="24"/>
              </w:rPr>
              <w:t xml:space="preserve"> 20</w:t>
            </w:r>
            <w:r w:rsidR="0031154C">
              <w:rPr>
                <w:szCs w:val="24"/>
              </w:rPr>
              <w:t>2</w:t>
            </w:r>
            <w:r w:rsidR="003E5C74">
              <w:rPr>
                <w:szCs w:val="24"/>
              </w:rPr>
              <w:t>0</w:t>
            </w:r>
            <w:r w:rsidR="00B22DF1">
              <w:rPr>
                <w:szCs w:val="24"/>
              </w:rPr>
              <w:t>)</w:t>
            </w:r>
          </w:p>
        </w:tc>
      </w:tr>
      <w:tr w:rsidR="00812B5E" w:rsidRPr="002D5F2E" w14:paraId="003B7436" w14:textId="77777777" w:rsidTr="00E20B32">
        <w:tc>
          <w:tcPr>
            <w:tcW w:w="1550" w:type="dxa"/>
          </w:tcPr>
          <w:p w14:paraId="057991DC" w14:textId="6054F6F3" w:rsidR="00812B5E" w:rsidRDefault="004B4B4F" w:rsidP="00595C8C">
            <w:pPr>
              <w:spacing w:before="60" w:after="60"/>
              <w:rPr>
                <w:szCs w:val="24"/>
              </w:rPr>
            </w:pPr>
            <w:r>
              <w:rPr>
                <w:szCs w:val="24"/>
              </w:rPr>
              <w:t>8</w:t>
            </w:r>
          </w:p>
        </w:tc>
        <w:tc>
          <w:tcPr>
            <w:tcW w:w="7466" w:type="dxa"/>
          </w:tcPr>
          <w:p w14:paraId="23DD6A15" w14:textId="4E03A8CD" w:rsidR="00812B5E" w:rsidRDefault="004B4B4F" w:rsidP="00595C8C">
            <w:pPr>
              <w:spacing w:before="60" w:after="60"/>
              <w:rPr>
                <w:szCs w:val="24"/>
              </w:rPr>
            </w:pPr>
            <w:r>
              <w:rPr>
                <w:szCs w:val="24"/>
              </w:rPr>
              <w:t xml:space="preserve">Minor amendments from </w:t>
            </w:r>
            <w:r w:rsidR="00E30CCB">
              <w:rPr>
                <w:szCs w:val="24"/>
              </w:rPr>
              <w:t xml:space="preserve">routine </w:t>
            </w:r>
            <w:r>
              <w:rPr>
                <w:szCs w:val="24"/>
              </w:rPr>
              <w:t>review</w:t>
            </w:r>
            <w:r w:rsidR="008558BF">
              <w:rPr>
                <w:szCs w:val="24"/>
              </w:rPr>
              <w:t>,</w:t>
            </w:r>
            <w:r w:rsidR="000022BE">
              <w:rPr>
                <w:szCs w:val="24"/>
              </w:rPr>
              <w:t xml:space="preserve"> </w:t>
            </w:r>
            <w:r w:rsidR="006661F1">
              <w:rPr>
                <w:szCs w:val="24"/>
              </w:rPr>
              <w:t xml:space="preserve">including </w:t>
            </w:r>
            <w:r w:rsidR="006661F1" w:rsidRPr="006661F1">
              <w:rPr>
                <w:szCs w:val="24"/>
              </w:rPr>
              <w:t>update reference</w:t>
            </w:r>
            <w:r w:rsidR="006661F1">
              <w:rPr>
                <w:szCs w:val="24"/>
              </w:rPr>
              <w:t>s</w:t>
            </w:r>
            <w:r w:rsidR="00981AC6">
              <w:rPr>
                <w:szCs w:val="24"/>
              </w:rPr>
              <w:t xml:space="preserve"> and document format</w:t>
            </w:r>
            <w:r w:rsidR="006661F1" w:rsidRPr="006661F1">
              <w:rPr>
                <w:szCs w:val="24"/>
              </w:rPr>
              <w:t xml:space="preserve"> </w:t>
            </w:r>
            <w:r w:rsidR="00D71A4D">
              <w:rPr>
                <w:szCs w:val="24"/>
              </w:rPr>
              <w:t>(January 2024)</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AE1624E" w14:textId="2D4A270C" w:rsidR="005E0DAB"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6293666" w:history="1">
        <w:r w:rsidR="005E0DAB" w:rsidRPr="00AB4209">
          <w:rPr>
            <w:rStyle w:val="Hyperlink"/>
          </w:rPr>
          <w:t>1.</w:t>
        </w:r>
        <w:r w:rsidR="005E0DAB">
          <w:rPr>
            <w:rFonts w:asciiTheme="minorHAnsi" w:eastAsiaTheme="minorEastAsia" w:hAnsiTheme="minorHAnsi" w:cstheme="minorBidi"/>
            <w:sz w:val="22"/>
            <w:lang w:eastAsia="en-GB" w:bidi="ar-SA"/>
          </w:rPr>
          <w:tab/>
        </w:r>
        <w:r w:rsidR="005E0DAB" w:rsidRPr="00AB4209">
          <w:rPr>
            <w:rStyle w:val="Hyperlink"/>
          </w:rPr>
          <w:t>Introduction</w:t>
        </w:r>
        <w:r w:rsidR="005E0DAB">
          <w:rPr>
            <w:webHidden/>
          </w:rPr>
          <w:tab/>
        </w:r>
        <w:r w:rsidR="005E0DAB">
          <w:rPr>
            <w:webHidden/>
          </w:rPr>
          <w:fldChar w:fldCharType="begin"/>
        </w:r>
        <w:r w:rsidR="005E0DAB">
          <w:rPr>
            <w:webHidden/>
          </w:rPr>
          <w:instrText xml:space="preserve"> PAGEREF _Toc156293666 \h </w:instrText>
        </w:r>
        <w:r w:rsidR="005E0DAB">
          <w:rPr>
            <w:webHidden/>
          </w:rPr>
        </w:r>
        <w:r w:rsidR="005E0DAB">
          <w:rPr>
            <w:webHidden/>
          </w:rPr>
          <w:fldChar w:fldCharType="separate"/>
        </w:r>
        <w:r w:rsidR="005E0DAB">
          <w:rPr>
            <w:webHidden/>
          </w:rPr>
          <w:t>4</w:t>
        </w:r>
        <w:r w:rsidR="005E0DAB">
          <w:rPr>
            <w:webHidden/>
          </w:rPr>
          <w:fldChar w:fldCharType="end"/>
        </w:r>
      </w:hyperlink>
    </w:p>
    <w:p w14:paraId="5384F7F7" w14:textId="58960548" w:rsidR="005E0DAB" w:rsidRDefault="00D353BC">
      <w:pPr>
        <w:pStyle w:val="TOC1"/>
        <w:tabs>
          <w:tab w:val="left" w:pos="720"/>
        </w:tabs>
        <w:rPr>
          <w:rFonts w:asciiTheme="minorHAnsi" w:eastAsiaTheme="minorEastAsia" w:hAnsiTheme="minorHAnsi" w:cstheme="minorBidi"/>
          <w:sz w:val="22"/>
          <w:lang w:eastAsia="en-GB" w:bidi="ar-SA"/>
        </w:rPr>
      </w:pPr>
      <w:hyperlink w:anchor="_Toc156293667" w:history="1">
        <w:r w:rsidR="005E0DAB" w:rsidRPr="00AB4209">
          <w:rPr>
            <w:rStyle w:val="Hyperlink"/>
          </w:rPr>
          <w:t>2.</w:t>
        </w:r>
        <w:r w:rsidR="005E0DAB">
          <w:rPr>
            <w:rFonts w:asciiTheme="minorHAnsi" w:eastAsiaTheme="minorEastAsia" w:hAnsiTheme="minorHAnsi" w:cstheme="minorBidi"/>
            <w:sz w:val="22"/>
            <w:lang w:eastAsia="en-GB" w:bidi="ar-SA"/>
          </w:rPr>
          <w:tab/>
        </w:r>
        <w:r w:rsidR="005E0DAB" w:rsidRPr="00AB4209">
          <w:rPr>
            <w:rStyle w:val="Hyperlink"/>
          </w:rPr>
          <w:t>Purpose and Scope</w:t>
        </w:r>
        <w:r w:rsidR="005E0DAB">
          <w:rPr>
            <w:webHidden/>
          </w:rPr>
          <w:tab/>
        </w:r>
        <w:r w:rsidR="005E0DAB">
          <w:rPr>
            <w:webHidden/>
          </w:rPr>
          <w:fldChar w:fldCharType="begin"/>
        </w:r>
        <w:r w:rsidR="005E0DAB">
          <w:rPr>
            <w:webHidden/>
          </w:rPr>
          <w:instrText xml:space="preserve"> PAGEREF _Toc156293667 \h </w:instrText>
        </w:r>
        <w:r w:rsidR="005E0DAB">
          <w:rPr>
            <w:webHidden/>
          </w:rPr>
        </w:r>
        <w:r w:rsidR="005E0DAB">
          <w:rPr>
            <w:webHidden/>
          </w:rPr>
          <w:fldChar w:fldCharType="separate"/>
        </w:r>
        <w:r w:rsidR="005E0DAB">
          <w:rPr>
            <w:webHidden/>
          </w:rPr>
          <w:t>4</w:t>
        </w:r>
        <w:r w:rsidR="005E0DAB">
          <w:rPr>
            <w:webHidden/>
          </w:rPr>
          <w:fldChar w:fldCharType="end"/>
        </w:r>
      </w:hyperlink>
    </w:p>
    <w:p w14:paraId="2F29B053" w14:textId="3C9A22CE" w:rsidR="005E0DAB" w:rsidRDefault="00D353BC">
      <w:pPr>
        <w:pStyle w:val="TOC1"/>
        <w:tabs>
          <w:tab w:val="left" w:pos="720"/>
        </w:tabs>
        <w:rPr>
          <w:rFonts w:asciiTheme="minorHAnsi" w:eastAsiaTheme="minorEastAsia" w:hAnsiTheme="minorHAnsi" w:cstheme="minorBidi"/>
          <w:sz w:val="22"/>
          <w:lang w:eastAsia="en-GB" w:bidi="ar-SA"/>
        </w:rPr>
      </w:pPr>
      <w:hyperlink w:anchor="_Toc156293668" w:history="1">
        <w:r w:rsidR="005E0DAB" w:rsidRPr="00AB4209">
          <w:rPr>
            <w:rStyle w:val="Hyperlink"/>
          </w:rPr>
          <w:t>3.</w:t>
        </w:r>
        <w:r w:rsidR="005E0DAB">
          <w:rPr>
            <w:rFonts w:asciiTheme="minorHAnsi" w:eastAsiaTheme="minorEastAsia" w:hAnsiTheme="minorHAnsi" w:cstheme="minorBidi"/>
            <w:sz w:val="22"/>
            <w:lang w:eastAsia="en-GB" w:bidi="ar-SA"/>
          </w:rPr>
          <w:tab/>
        </w:r>
        <w:r w:rsidR="005E0DAB" w:rsidRPr="00AB4209">
          <w:rPr>
            <w:rStyle w:val="Hyperlink"/>
          </w:rPr>
          <w:t>Relationship to Licence and other Relevant Legislation</w:t>
        </w:r>
        <w:r w:rsidR="005E0DAB">
          <w:rPr>
            <w:webHidden/>
          </w:rPr>
          <w:tab/>
        </w:r>
        <w:r w:rsidR="005E0DAB">
          <w:rPr>
            <w:webHidden/>
          </w:rPr>
          <w:fldChar w:fldCharType="begin"/>
        </w:r>
        <w:r w:rsidR="005E0DAB">
          <w:rPr>
            <w:webHidden/>
          </w:rPr>
          <w:instrText xml:space="preserve"> PAGEREF _Toc156293668 \h </w:instrText>
        </w:r>
        <w:r w:rsidR="005E0DAB">
          <w:rPr>
            <w:webHidden/>
          </w:rPr>
        </w:r>
        <w:r w:rsidR="005E0DAB">
          <w:rPr>
            <w:webHidden/>
          </w:rPr>
          <w:fldChar w:fldCharType="separate"/>
        </w:r>
        <w:r w:rsidR="005E0DAB">
          <w:rPr>
            <w:webHidden/>
          </w:rPr>
          <w:t>5</w:t>
        </w:r>
        <w:r w:rsidR="005E0DAB">
          <w:rPr>
            <w:webHidden/>
          </w:rPr>
          <w:fldChar w:fldCharType="end"/>
        </w:r>
      </w:hyperlink>
    </w:p>
    <w:p w14:paraId="6D5E21B6" w14:textId="5FD75623" w:rsidR="005E0DAB" w:rsidRDefault="00D353BC">
      <w:pPr>
        <w:pStyle w:val="TOC1"/>
        <w:tabs>
          <w:tab w:val="left" w:pos="720"/>
        </w:tabs>
        <w:rPr>
          <w:rFonts w:asciiTheme="minorHAnsi" w:eastAsiaTheme="minorEastAsia" w:hAnsiTheme="minorHAnsi" w:cstheme="minorBidi"/>
          <w:sz w:val="22"/>
          <w:lang w:eastAsia="en-GB" w:bidi="ar-SA"/>
        </w:rPr>
      </w:pPr>
      <w:hyperlink w:anchor="_Toc156293669" w:history="1">
        <w:r w:rsidR="005E0DAB" w:rsidRPr="00AB4209">
          <w:rPr>
            <w:rStyle w:val="Hyperlink"/>
          </w:rPr>
          <w:t>4.</w:t>
        </w:r>
        <w:r w:rsidR="005E0DAB">
          <w:rPr>
            <w:rFonts w:asciiTheme="minorHAnsi" w:eastAsiaTheme="minorEastAsia" w:hAnsiTheme="minorHAnsi" w:cstheme="minorBidi"/>
            <w:sz w:val="22"/>
            <w:lang w:eastAsia="en-GB" w:bidi="ar-SA"/>
          </w:rPr>
          <w:tab/>
        </w:r>
        <w:r w:rsidR="005E0DAB" w:rsidRPr="00AB4209">
          <w:rPr>
            <w:rStyle w:val="Hyperlink"/>
          </w:rPr>
          <w:t>Relationship to Safety Assessment Principles, WENRA Reference Levels, and IAEA Safety Standards and Guides</w:t>
        </w:r>
        <w:r w:rsidR="005E0DAB">
          <w:rPr>
            <w:webHidden/>
          </w:rPr>
          <w:tab/>
        </w:r>
        <w:r w:rsidR="005E0DAB">
          <w:rPr>
            <w:webHidden/>
          </w:rPr>
          <w:fldChar w:fldCharType="begin"/>
        </w:r>
        <w:r w:rsidR="005E0DAB">
          <w:rPr>
            <w:webHidden/>
          </w:rPr>
          <w:instrText xml:space="preserve"> PAGEREF _Toc156293669 \h </w:instrText>
        </w:r>
        <w:r w:rsidR="005E0DAB">
          <w:rPr>
            <w:webHidden/>
          </w:rPr>
        </w:r>
        <w:r w:rsidR="005E0DAB">
          <w:rPr>
            <w:webHidden/>
          </w:rPr>
          <w:fldChar w:fldCharType="separate"/>
        </w:r>
        <w:r w:rsidR="005E0DAB">
          <w:rPr>
            <w:webHidden/>
          </w:rPr>
          <w:t>7</w:t>
        </w:r>
        <w:r w:rsidR="005E0DAB">
          <w:rPr>
            <w:webHidden/>
          </w:rPr>
          <w:fldChar w:fldCharType="end"/>
        </w:r>
      </w:hyperlink>
    </w:p>
    <w:p w14:paraId="4F4040D9" w14:textId="43CD3686" w:rsidR="005E0DAB" w:rsidRDefault="00D353BC">
      <w:pPr>
        <w:pStyle w:val="TOC1"/>
        <w:tabs>
          <w:tab w:val="left" w:pos="720"/>
        </w:tabs>
        <w:rPr>
          <w:rFonts w:asciiTheme="minorHAnsi" w:eastAsiaTheme="minorEastAsia" w:hAnsiTheme="minorHAnsi" w:cstheme="minorBidi"/>
          <w:sz w:val="22"/>
          <w:lang w:eastAsia="en-GB" w:bidi="ar-SA"/>
        </w:rPr>
      </w:pPr>
      <w:hyperlink w:anchor="_Toc156293670" w:history="1">
        <w:r w:rsidR="005E0DAB" w:rsidRPr="00AB4209">
          <w:rPr>
            <w:rStyle w:val="Hyperlink"/>
          </w:rPr>
          <w:t>5.</w:t>
        </w:r>
        <w:r w:rsidR="005E0DAB">
          <w:rPr>
            <w:rFonts w:asciiTheme="minorHAnsi" w:eastAsiaTheme="minorEastAsia" w:hAnsiTheme="minorHAnsi" w:cstheme="minorBidi"/>
            <w:sz w:val="22"/>
            <w:lang w:eastAsia="en-GB" w:bidi="ar-SA"/>
          </w:rPr>
          <w:tab/>
        </w:r>
        <w:r w:rsidR="005E0DAB" w:rsidRPr="00AB4209">
          <w:rPr>
            <w:rStyle w:val="Hyperlink"/>
          </w:rPr>
          <w:t>Advice to Inspectors</w:t>
        </w:r>
        <w:r w:rsidR="005E0DAB">
          <w:rPr>
            <w:webHidden/>
          </w:rPr>
          <w:tab/>
        </w:r>
        <w:r w:rsidR="005E0DAB">
          <w:rPr>
            <w:webHidden/>
          </w:rPr>
          <w:fldChar w:fldCharType="begin"/>
        </w:r>
        <w:r w:rsidR="005E0DAB">
          <w:rPr>
            <w:webHidden/>
          </w:rPr>
          <w:instrText xml:space="preserve"> PAGEREF _Toc156293670 \h </w:instrText>
        </w:r>
        <w:r w:rsidR="005E0DAB">
          <w:rPr>
            <w:webHidden/>
          </w:rPr>
        </w:r>
        <w:r w:rsidR="005E0DAB">
          <w:rPr>
            <w:webHidden/>
          </w:rPr>
          <w:fldChar w:fldCharType="separate"/>
        </w:r>
        <w:r w:rsidR="005E0DAB">
          <w:rPr>
            <w:webHidden/>
          </w:rPr>
          <w:t>16</w:t>
        </w:r>
        <w:r w:rsidR="005E0DAB">
          <w:rPr>
            <w:webHidden/>
          </w:rPr>
          <w:fldChar w:fldCharType="end"/>
        </w:r>
      </w:hyperlink>
    </w:p>
    <w:p w14:paraId="6F0496E0" w14:textId="5DBF2BF2" w:rsidR="005E0DAB" w:rsidRDefault="00D353BC">
      <w:pPr>
        <w:pStyle w:val="TOC1"/>
        <w:rPr>
          <w:rFonts w:asciiTheme="minorHAnsi" w:eastAsiaTheme="minorEastAsia" w:hAnsiTheme="minorHAnsi" w:cstheme="minorBidi"/>
          <w:sz w:val="22"/>
          <w:lang w:eastAsia="en-GB" w:bidi="ar-SA"/>
        </w:rPr>
      </w:pPr>
      <w:hyperlink w:anchor="_Toc156293671" w:history="1">
        <w:r w:rsidR="005E0DAB" w:rsidRPr="00AB4209">
          <w:rPr>
            <w:rStyle w:val="Hyperlink"/>
          </w:rPr>
          <w:t>References</w:t>
        </w:r>
        <w:r w:rsidR="005E0DAB">
          <w:rPr>
            <w:webHidden/>
          </w:rPr>
          <w:tab/>
        </w:r>
        <w:r w:rsidR="005E0DAB">
          <w:rPr>
            <w:webHidden/>
          </w:rPr>
          <w:fldChar w:fldCharType="begin"/>
        </w:r>
        <w:r w:rsidR="005E0DAB">
          <w:rPr>
            <w:webHidden/>
          </w:rPr>
          <w:instrText xml:space="preserve"> PAGEREF _Toc156293671 \h </w:instrText>
        </w:r>
        <w:r w:rsidR="005E0DAB">
          <w:rPr>
            <w:webHidden/>
          </w:rPr>
        </w:r>
        <w:r w:rsidR="005E0DAB">
          <w:rPr>
            <w:webHidden/>
          </w:rPr>
          <w:fldChar w:fldCharType="separate"/>
        </w:r>
        <w:r w:rsidR="005E0DAB">
          <w:rPr>
            <w:webHidden/>
          </w:rPr>
          <w:t>27</w:t>
        </w:r>
        <w:r w:rsidR="005E0DAB">
          <w:rPr>
            <w:webHidden/>
          </w:rPr>
          <w:fldChar w:fldCharType="end"/>
        </w:r>
      </w:hyperlink>
    </w:p>
    <w:p w14:paraId="1E1D0B9C" w14:textId="773AF8A8" w:rsidR="005E0DAB" w:rsidRDefault="00D353BC">
      <w:pPr>
        <w:pStyle w:val="TOC1"/>
        <w:rPr>
          <w:rFonts w:asciiTheme="minorHAnsi" w:eastAsiaTheme="minorEastAsia" w:hAnsiTheme="minorHAnsi" w:cstheme="minorBidi"/>
          <w:sz w:val="22"/>
          <w:lang w:eastAsia="en-GB" w:bidi="ar-SA"/>
        </w:rPr>
      </w:pPr>
      <w:hyperlink w:anchor="_Toc156293672" w:history="1">
        <w:r w:rsidR="005E0DAB" w:rsidRPr="00AB4209">
          <w:rPr>
            <w:rStyle w:val="Hyperlink"/>
          </w:rPr>
          <w:t>Glossary and Abbreviations</w:t>
        </w:r>
        <w:r w:rsidR="005E0DAB">
          <w:rPr>
            <w:webHidden/>
          </w:rPr>
          <w:tab/>
        </w:r>
        <w:r w:rsidR="005E0DAB">
          <w:rPr>
            <w:webHidden/>
          </w:rPr>
          <w:fldChar w:fldCharType="begin"/>
        </w:r>
        <w:r w:rsidR="005E0DAB">
          <w:rPr>
            <w:webHidden/>
          </w:rPr>
          <w:instrText xml:space="preserve"> PAGEREF _Toc156293672 \h </w:instrText>
        </w:r>
        <w:r w:rsidR="005E0DAB">
          <w:rPr>
            <w:webHidden/>
          </w:rPr>
        </w:r>
        <w:r w:rsidR="005E0DAB">
          <w:rPr>
            <w:webHidden/>
          </w:rPr>
          <w:fldChar w:fldCharType="separate"/>
        </w:r>
        <w:r w:rsidR="005E0DAB">
          <w:rPr>
            <w:webHidden/>
          </w:rPr>
          <w:t>31</w:t>
        </w:r>
        <w:r w:rsidR="005E0DAB">
          <w:rPr>
            <w:webHidden/>
          </w:rPr>
          <w:fldChar w:fldCharType="end"/>
        </w:r>
      </w:hyperlink>
    </w:p>
    <w:p w14:paraId="0CC4B54A" w14:textId="5B531971"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56293666"/>
      <w:bookmarkEnd w:id="0"/>
      <w:r w:rsidRPr="00E90780">
        <w:lastRenderedPageBreak/>
        <w:t>Introduction</w:t>
      </w:r>
      <w:bookmarkEnd w:id="1"/>
    </w:p>
    <w:p w14:paraId="56D71E00" w14:textId="1324B51A" w:rsidR="000950B3" w:rsidRDefault="000950B3" w:rsidP="000A51C3">
      <w:pPr>
        <w:pStyle w:val="F9-Paragraph"/>
        <w:numPr>
          <w:ilvl w:val="0"/>
          <w:numId w:val="29"/>
        </w:numPr>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rsidR="00E14B51">
            <w:instrText xml:space="preserve">CITATION ONR_SAPs \l 2057 </w:instrText>
          </w:r>
          <w:r>
            <w:fldChar w:fldCharType="separate"/>
          </w:r>
          <w:r w:rsidR="006B2EEA">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4E59A815" w14:textId="77777777" w:rsidR="005E0DAB" w:rsidRPr="00712FD1" w:rsidRDefault="005E0DAB" w:rsidP="005E0DAB">
      <w:pPr>
        <w:pStyle w:val="F9-Paragraph"/>
        <w:numPr>
          <w:ilvl w:val="0"/>
          <w:numId w:val="0"/>
        </w:numPr>
        <w:ind w:left="851"/>
      </w:pPr>
    </w:p>
    <w:p w14:paraId="05AAE39A" w14:textId="6D4A609A" w:rsidR="008D49A5" w:rsidRDefault="000950B3" w:rsidP="004243C2">
      <w:pPr>
        <w:pStyle w:val="Heading1"/>
        <w:spacing w:before="480"/>
      </w:pPr>
      <w:bookmarkStart w:id="3" w:name="_Toc156293667"/>
      <w:bookmarkEnd w:id="2"/>
      <w:r>
        <w:t>Purpose and Scope</w:t>
      </w:r>
      <w:bookmarkEnd w:id="3"/>
    </w:p>
    <w:p w14:paraId="33288510" w14:textId="2C6232A7" w:rsidR="00F245C7" w:rsidRDefault="00F245C7" w:rsidP="000A37E3">
      <w:pPr>
        <w:pStyle w:val="F9-Paragraph"/>
      </w:pPr>
      <w:r>
        <w:t>This TAG contains guidance to advise and inform ONR staff in the exercise of their regulatory judgement, in respect of the assessment of criticality safety, as described in outline in ONR Safety Assessment Principles</w:t>
      </w:r>
      <w:r w:rsidR="00D34D39">
        <w:t xml:space="preserve"> </w:t>
      </w:r>
      <w:sdt>
        <w:sdtPr>
          <w:id w:val="343291150"/>
          <w:citation/>
        </w:sdtPr>
        <w:sdtEndPr/>
        <w:sdtContent>
          <w:r w:rsidR="00C11DA5">
            <w:fldChar w:fldCharType="begin"/>
          </w:r>
          <w:r w:rsidR="00E14B51">
            <w:instrText xml:space="preserve">CITATION ONR_SAPs \l 2057 </w:instrText>
          </w:r>
          <w:r w:rsidR="00C11DA5">
            <w:fldChar w:fldCharType="separate"/>
          </w:r>
          <w:r w:rsidR="006B2EEA">
            <w:rPr>
              <w:noProof/>
            </w:rPr>
            <w:t>[1]</w:t>
          </w:r>
          <w:r w:rsidR="00C11DA5">
            <w:fldChar w:fldCharType="end"/>
          </w:r>
        </w:sdtContent>
      </w:sdt>
      <w:r>
        <w:t xml:space="preserve">. </w:t>
      </w:r>
      <w:r w:rsidR="005E0DAB">
        <w:br/>
      </w:r>
      <w:r>
        <w:t>As with all guidance, inspectors should use their judgement and discretion in the depth and scope to which they employ this guidance.</w:t>
      </w:r>
    </w:p>
    <w:p w14:paraId="6428319F" w14:textId="3BAA7FF8" w:rsidR="00864394" w:rsidRDefault="002A780F" w:rsidP="008B3F3C">
      <w:pPr>
        <w:pStyle w:val="F9-Paragraph"/>
      </w:pPr>
      <w:r>
        <w:t>This guidance is aimed at all applications, i.e. new and existing facilities, including modifications and decommissioning activities. For facilities that were designed and constructed to standards that are different from current standards, the issue of whether sufficient measures are available to satisfy the ALARP</w:t>
      </w:r>
      <w:r w:rsidR="003B6954">
        <w:rPr>
          <w:rStyle w:val="FootnoteReference"/>
        </w:rPr>
        <w:footnoteReference w:id="2"/>
      </w:r>
      <w:r>
        <w:t xml:space="preserve"> principle should be judged on a case-by-case basis. </w:t>
      </w:r>
      <w:r w:rsidR="005E0DAB">
        <w:br/>
      </w:r>
      <w:r>
        <w:t xml:space="preserve">Further generic guidance on assessment of ALARP is given in </w:t>
      </w:r>
      <w:sdt>
        <w:sdtPr>
          <w:id w:val="1446583390"/>
          <w:citation/>
        </w:sdtPr>
        <w:sdtEndPr/>
        <w:sdtContent>
          <w:r w:rsidR="000858D4">
            <w:fldChar w:fldCharType="begin"/>
          </w:r>
          <w:r w:rsidR="00E14B51">
            <w:instrText xml:space="preserve">CITATION NS_TAST_GD_005 \l 2057 </w:instrText>
          </w:r>
          <w:r w:rsidR="000858D4">
            <w:fldChar w:fldCharType="separate"/>
          </w:r>
          <w:r w:rsidR="006B2EEA">
            <w:rPr>
              <w:noProof/>
            </w:rPr>
            <w:t>[2]</w:t>
          </w:r>
          <w:r w:rsidR="000858D4">
            <w:fldChar w:fldCharType="end"/>
          </w:r>
        </w:sdtContent>
      </w:sdt>
      <w:r>
        <w:t xml:space="preserve">. </w:t>
      </w:r>
      <w:r w:rsidR="005E0DAB">
        <w:br/>
      </w:r>
      <w:r>
        <w:t xml:space="preserve">The related principle of As Low As Reasonably Achievable (ALARA) is discussed in </w:t>
      </w:r>
      <w:sdt>
        <w:sdtPr>
          <w:id w:val="-735241484"/>
          <w:citation/>
        </w:sdtPr>
        <w:sdtEndPr/>
        <w:sdtContent>
          <w:r w:rsidR="000D1B05">
            <w:fldChar w:fldCharType="begin"/>
          </w:r>
          <w:r w:rsidR="000D1B05">
            <w:instrText xml:space="preserve"> CITATION WENRA_RRSLs \l 2057 </w:instrText>
          </w:r>
          <w:r w:rsidR="000D1B05">
            <w:fldChar w:fldCharType="separate"/>
          </w:r>
          <w:r w:rsidR="006B2EEA">
            <w:rPr>
              <w:noProof/>
            </w:rPr>
            <w:t>[3]</w:t>
          </w:r>
          <w:r w:rsidR="000D1B05">
            <w:fldChar w:fldCharType="end"/>
          </w:r>
        </w:sdtContent>
      </w:sdt>
      <w:r>
        <w:t>.</w:t>
      </w:r>
    </w:p>
    <w:p w14:paraId="7260BB0F" w14:textId="70EEC6FA" w:rsidR="00AB1B19" w:rsidRDefault="00AB1B19" w:rsidP="00046936">
      <w:pPr>
        <w:pStyle w:val="F9-Paragraph"/>
      </w:pPr>
      <w:r>
        <w:t xml:space="preserve">Note that a separate TAG exists covering guidance to ONR inspectors assessing the criticality safety of transport package designs </w:t>
      </w:r>
      <w:sdt>
        <w:sdtPr>
          <w:id w:val="1697124448"/>
          <w:citation/>
        </w:sdtPr>
        <w:sdtEndPr/>
        <w:sdtContent>
          <w:r>
            <w:fldChar w:fldCharType="begin"/>
          </w:r>
          <w:r w:rsidR="009D5B4C">
            <w:instrText xml:space="preserve">CITATION NS_TAST_GD_097 \l 2057 </w:instrText>
          </w:r>
          <w:r>
            <w:fldChar w:fldCharType="separate"/>
          </w:r>
          <w:r w:rsidR="006B2EEA">
            <w:rPr>
              <w:noProof/>
            </w:rPr>
            <w:t>[4]</w:t>
          </w:r>
          <w:r>
            <w:fldChar w:fldCharType="end"/>
          </w:r>
        </w:sdtContent>
      </w:sdt>
      <w:r>
        <w:t>.</w:t>
      </w:r>
    </w:p>
    <w:p w14:paraId="78BDFB2D" w14:textId="495B3CE3" w:rsidR="00170739" w:rsidRDefault="00170739" w:rsidP="00046936">
      <w:pPr>
        <w:pStyle w:val="F9-Paragraph"/>
      </w:pPr>
      <w:r>
        <w:t xml:space="preserve">This guidance applies to all forms of surface facility that deal with fissile materials, including the operational phase of a future Geological Disposal Facility (GDF). The issue of post-closure criticality in a future GDF is covered in joint ‘Guidance on Requirements for Authorisation’ provided by the Environment Agency (EA) and other agencies </w:t>
      </w:r>
      <w:sdt>
        <w:sdtPr>
          <w:id w:val="75095026"/>
          <w:citation/>
        </w:sdtPr>
        <w:sdtEndPr/>
        <w:sdtContent>
          <w:r w:rsidR="00EC31B4">
            <w:fldChar w:fldCharType="begin"/>
          </w:r>
          <w:r w:rsidR="00EC31B4">
            <w:instrText xml:space="preserve"> CITATION EA_GDF_RA \l 2057 </w:instrText>
          </w:r>
          <w:r w:rsidR="00EC31B4">
            <w:fldChar w:fldCharType="separate"/>
          </w:r>
          <w:r w:rsidR="006B2EEA">
            <w:rPr>
              <w:noProof/>
            </w:rPr>
            <w:t>[5]</w:t>
          </w:r>
          <w:r w:rsidR="00EC31B4">
            <w:fldChar w:fldCharType="end"/>
          </w:r>
        </w:sdtContent>
      </w:sdt>
      <w:r>
        <w:t>.</w:t>
      </w:r>
    </w:p>
    <w:p w14:paraId="6E712D03" w14:textId="3C3DAE84" w:rsidR="009E0E52" w:rsidRDefault="000950B3" w:rsidP="001455BF">
      <w:pPr>
        <w:pStyle w:val="Heading1"/>
        <w:pageBreakBefore/>
      </w:pPr>
      <w:bookmarkStart w:id="4" w:name="_Toc156293668"/>
      <w:r>
        <w:lastRenderedPageBreak/>
        <w:t>Relationship to Licence and other Relevant Legislation</w:t>
      </w:r>
      <w:bookmarkEnd w:id="4"/>
      <w:r>
        <w:t xml:space="preserve"> </w:t>
      </w:r>
    </w:p>
    <w:p w14:paraId="36FBC84A" w14:textId="32BEAEF1" w:rsidR="00FF4421" w:rsidRDefault="00FF4421" w:rsidP="000A51C3">
      <w:pPr>
        <w:pStyle w:val="F9-Paragraph"/>
      </w:pPr>
      <w:r>
        <w:t xml:space="preserve">There are no nuclear site licence conditions (LCs) which directly refer to criticality safety, but a number are of relevance. The following licence conditions are highlighted here as particularly relevant to this guide, but the list is not exhaustive. Licence conditions are listed in full in </w:t>
      </w:r>
      <w:sdt>
        <w:sdtPr>
          <w:id w:val="-1097948938"/>
          <w:citation/>
        </w:sdtPr>
        <w:sdtEndPr/>
        <w:sdtContent>
          <w:r w:rsidR="00755738">
            <w:fldChar w:fldCharType="begin"/>
          </w:r>
          <w:r w:rsidR="00755738">
            <w:instrText xml:space="preserve"> CITATION ONR_LCs \l 2057 </w:instrText>
          </w:r>
          <w:r w:rsidR="00755738">
            <w:fldChar w:fldCharType="separate"/>
          </w:r>
          <w:r w:rsidR="006B2EEA">
            <w:rPr>
              <w:noProof/>
            </w:rPr>
            <w:t>[6]</w:t>
          </w:r>
          <w:r w:rsidR="00755738">
            <w:fldChar w:fldCharType="end"/>
          </w:r>
        </w:sdtContent>
      </w:sdt>
      <w:r>
        <w:t>.</w:t>
      </w:r>
    </w:p>
    <w:p w14:paraId="555A5B3B" w14:textId="77777777" w:rsidR="00965C46" w:rsidRDefault="0082025F" w:rsidP="000A51C3">
      <w:pPr>
        <w:pStyle w:val="F9-Paragraph"/>
      </w:pPr>
      <w:r>
        <w:t>LC 4: Restrictions on Nuclear Matter on the Site</w:t>
      </w:r>
    </w:p>
    <w:p w14:paraId="2252F3E9" w14:textId="79F20943" w:rsidR="0082025F" w:rsidRDefault="0082025F" w:rsidP="00965C46">
      <w:pPr>
        <w:pStyle w:val="F9-Paragraph"/>
        <w:numPr>
          <w:ilvl w:val="0"/>
          <w:numId w:val="0"/>
        </w:numPr>
        <w:ind w:left="851"/>
      </w:pPr>
      <w:r>
        <w:t>This licence condition ensures that the licensee implements arrangements to control the introduction and storage of nuclear matter, including fissile material.</w:t>
      </w:r>
    </w:p>
    <w:p w14:paraId="713FB9F1" w14:textId="77777777" w:rsidR="00965C46" w:rsidRDefault="00241825" w:rsidP="00F47938">
      <w:pPr>
        <w:pStyle w:val="F9-Paragraph"/>
      </w:pPr>
      <w:r>
        <w:t>LC14: Safety Documentation</w:t>
      </w:r>
    </w:p>
    <w:p w14:paraId="160ABA3E" w14:textId="136DAAD7" w:rsidR="00241825" w:rsidRDefault="00241825" w:rsidP="00965C46">
      <w:pPr>
        <w:pStyle w:val="F9-Paragraph"/>
        <w:numPr>
          <w:ilvl w:val="0"/>
          <w:numId w:val="0"/>
        </w:numPr>
        <w:ind w:left="851"/>
      </w:pPr>
      <w:r>
        <w:t xml:space="preserve">The licensee shall make and implement adequate arrangements for the production and assessment of safety cases to justify safety through the lifecycle of the facility. The licensee’s arrangements should set out the methodology for criticality safety analysis, including the identification and categorisation of SSCs and controls underpinning the assessment in the safety case. </w:t>
      </w:r>
    </w:p>
    <w:p w14:paraId="5D39321E" w14:textId="77777777" w:rsidR="00965C46" w:rsidRDefault="00241825" w:rsidP="009D3F52">
      <w:pPr>
        <w:pStyle w:val="F9-Paragraph"/>
      </w:pPr>
      <w:r>
        <w:t>LC 15: Periodic Review</w:t>
      </w:r>
    </w:p>
    <w:p w14:paraId="75128CF6" w14:textId="7A0998D6" w:rsidR="00241825" w:rsidRDefault="00241825" w:rsidP="00965C46">
      <w:pPr>
        <w:pStyle w:val="F9-Paragraph"/>
        <w:numPr>
          <w:ilvl w:val="0"/>
          <w:numId w:val="0"/>
        </w:numPr>
        <w:ind w:left="851"/>
      </w:pPr>
      <w:r>
        <w:t xml:space="preserve">The adequacy of the safety case, including criticality aspects and the control of nuclear matter, should be reviewed at regular intervals against the current operating conditions, emergent operational experience, current good practice and statutory requirements to ensure that adequate safety provisions are in place for current and future operations. </w:t>
      </w:r>
    </w:p>
    <w:p w14:paraId="779AD421" w14:textId="77777777" w:rsidR="00965C46" w:rsidRDefault="00241825" w:rsidP="00496476">
      <w:pPr>
        <w:pStyle w:val="F9-Paragraph"/>
      </w:pPr>
      <w:r>
        <w:t>LC 19: Construction or Installation of New Plant</w:t>
      </w:r>
    </w:p>
    <w:p w14:paraId="6C54C067" w14:textId="09C8DD2B" w:rsidR="00241825" w:rsidRDefault="00241825" w:rsidP="00965C46">
      <w:pPr>
        <w:pStyle w:val="F9-Paragraph"/>
        <w:numPr>
          <w:ilvl w:val="0"/>
          <w:numId w:val="0"/>
        </w:numPr>
        <w:ind w:left="851"/>
      </w:pPr>
      <w:r>
        <w:t xml:space="preserve">The design of new facilities should be considered at an early stage in order to minimise the likelihood of criticality and installation must be carefully controlled, e.g. to ensure that materials and construction meet the design specification. </w:t>
      </w:r>
    </w:p>
    <w:p w14:paraId="05FE904A" w14:textId="77777777" w:rsidR="003F2C1D" w:rsidRDefault="00241825" w:rsidP="00E16BB5">
      <w:pPr>
        <w:pStyle w:val="F9-Paragraph"/>
      </w:pPr>
      <w:r>
        <w:t>LC 20: Modification to Design of Plant Under Construction</w:t>
      </w:r>
    </w:p>
    <w:p w14:paraId="7CB6770D" w14:textId="11F20A8D" w:rsidR="00241825" w:rsidRDefault="00241825" w:rsidP="003F2C1D">
      <w:pPr>
        <w:pStyle w:val="F9-Paragraph"/>
        <w:numPr>
          <w:ilvl w:val="0"/>
          <w:numId w:val="0"/>
        </w:numPr>
        <w:ind w:left="851"/>
      </w:pPr>
      <w:r>
        <w:t xml:space="preserve">Modifications should be assessed to ensure that the impact of the change is considered in respect of the control of nuclear matter and criticality safety of the facility (e.g. by changing the size or shape of vessels or specification of materials, introduction of new faults or initiators). </w:t>
      </w:r>
    </w:p>
    <w:p w14:paraId="528554F3" w14:textId="77777777" w:rsidR="003F2C1D" w:rsidRDefault="00241825" w:rsidP="003C343F">
      <w:pPr>
        <w:pStyle w:val="F9-Paragraph"/>
      </w:pPr>
      <w:r>
        <w:t>LC 21: Commissioning</w:t>
      </w:r>
    </w:p>
    <w:p w14:paraId="0D9FCB0E" w14:textId="266D849D" w:rsidR="00241825" w:rsidRDefault="00241825" w:rsidP="003F2C1D">
      <w:pPr>
        <w:pStyle w:val="F9-Paragraph"/>
        <w:numPr>
          <w:ilvl w:val="0"/>
          <w:numId w:val="0"/>
        </w:numPr>
        <w:ind w:left="851"/>
      </w:pPr>
      <w:r>
        <w:t xml:space="preserve">Inactive and, where appropriate, active commissioning tests should be carried out to ensure, for example, that design criteria have been met and that engineered protection is in place and operating effectively. </w:t>
      </w:r>
    </w:p>
    <w:p w14:paraId="36F590F1" w14:textId="77777777" w:rsidR="003F2C1D" w:rsidRDefault="00241825" w:rsidP="00B71294">
      <w:pPr>
        <w:pStyle w:val="F9-Paragraph"/>
      </w:pPr>
      <w:r>
        <w:lastRenderedPageBreak/>
        <w:t>LC 22: Modification or Experiment on Existing Plant</w:t>
      </w:r>
    </w:p>
    <w:p w14:paraId="100D9507" w14:textId="75199286" w:rsidR="00241825" w:rsidRDefault="00241825" w:rsidP="003F2C1D">
      <w:pPr>
        <w:pStyle w:val="F9-Paragraph"/>
        <w:numPr>
          <w:ilvl w:val="0"/>
          <w:numId w:val="0"/>
        </w:numPr>
        <w:ind w:left="851"/>
      </w:pPr>
      <w:r>
        <w:t xml:space="preserve">Modifications should be assessed to ensure that the impact of the change is considered in respect of the control of nuclear matter and criticality safety of the facility (e.g. by changing the size or shape of vessels or specification of materials, introduction of new faults or initiators). </w:t>
      </w:r>
    </w:p>
    <w:p w14:paraId="0DBF0B1A" w14:textId="77777777" w:rsidR="003F2C1D" w:rsidRDefault="00241825" w:rsidP="003D7A66">
      <w:pPr>
        <w:pStyle w:val="F9-Paragraph"/>
      </w:pPr>
      <w:r>
        <w:t>LC 23: Operating Rules</w:t>
      </w:r>
    </w:p>
    <w:p w14:paraId="3FC89250" w14:textId="065BEFC4" w:rsidR="00241825" w:rsidRDefault="00241825" w:rsidP="003F2C1D">
      <w:pPr>
        <w:pStyle w:val="F9-Paragraph"/>
        <w:numPr>
          <w:ilvl w:val="0"/>
          <w:numId w:val="0"/>
        </w:numPr>
        <w:ind w:left="851"/>
      </w:pPr>
      <w:r>
        <w:t xml:space="preserve">The limits and conditions necessary in the interests of criticality safety should be clearly specified in the safety case. Control within and compliance with these limits and conditions, which are known as operating rules, should be demonstrable at all times. Further guidance on limits and conditions can be found in </w:t>
      </w:r>
      <w:sdt>
        <w:sdtPr>
          <w:id w:val="-939062755"/>
          <w:citation/>
        </w:sdtPr>
        <w:sdtEndPr/>
        <w:sdtContent>
          <w:r w:rsidR="009C1967">
            <w:fldChar w:fldCharType="begin"/>
          </w:r>
          <w:r w:rsidR="009C1967">
            <w:instrText xml:space="preserve"> CITATION NS_TAST_GD_035 \l 2057 </w:instrText>
          </w:r>
          <w:r w:rsidR="00702CDB">
            <w:instrText xml:space="preserve"> \m ICNC2011_ONR_ORs</w:instrText>
          </w:r>
          <w:r w:rsidR="009C1967">
            <w:fldChar w:fldCharType="separate"/>
          </w:r>
          <w:r w:rsidR="006B2EEA">
            <w:rPr>
              <w:noProof/>
            </w:rPr>
            <w:t>[7, 8]</w:t>
          </w:r>
          <w:r w:rsidR="009C1967">
            <w:fldChar w:fldCharType="end"/>
          </w:r>
        </w:sdtContent>
      </w:sdt>
      <w:r>
        <w:t xml:space="preserve">. </w:t>
      </w:r>
    </w:p>
    <w:p w14:paraId="2403DE90" w14:textId="77777777" w:rsidR="00BA139E" w:rsidRDefault="00241825" w:rsidP="008D24C1">
      <w:pPr>
        <w:pStyle w:val="F9-Paragraph"/>
      </w:pPr>
      <w:r>
        <w:t>LC 24: Operating Instructions</w:t>
      </w:r>
    </w:p>
    <w:p w14:paraId="002DA781" w14:textId="72A44BFB" w:rsidR="00241825" w:rsidRDefault="00241825" w:rsidP="00BA139E">
      <w:pPr>
        <w:pStyle w:val="F9-Paragraph"/>
        <w:numPr>
          <w:ilvl w:val="0"/>
          <w:numId w:val="0"/>
        </w:numPr>
        <w:ind w:left="851"/>
      </w:pPr>
      <w:r>
        <w:t xml:space="preserve">Operations with fissile material which may affect safety must be carried out in accordance with written operating instructions. These operating instructions also ensure that operating rules are implemented. </w:t>
      </w:r>
    </w:p>
    <w:p w14:paraId="5B3F7639" w14:textId="77777777" w:rsidR="00BA139E" w:rsidRDefault="00241825" w:rsidP="00D74201">
      <w:pPr>
        <w:pStyle w:val="F9-Paragraph"/>
      </w:pPr>
      <w:r>
        <w:t>LC 25: Operational Records</w:t>
      </w:r>
    </w:p>
    <w:p w14:paraId="068DC3DA" w14:textId="37ABF76A" w:rsidR="00241825" w:rsidRDefault="00241825" w:rsidP="00BA139E">
      <w:pPr>
        <w:pStyle w:val="F9-Paragraph"/>
        <w:numPr>
          <w:ilvl w:val="0"/>
          <w:numId w:val="0"/>
        </w:numPr>
        <w:ind w:left="851"/>
      </w:pPr>
      <w:r>
        <w:t xml:space="preserve">These may include, for example, records of fissile inventories and moderators in specific locations in the facility, sampling and analysis results, and dimensional checks. </w:t>
      </w:r>
    </w:p>
    <w:p w14:paraId="345CEED3" w14:textId="77777777" w:rsidR="00BA139E" w:rsidRDefault="00241825" w:rsidP="00084677">
      <w:pPr>
        <w:pStyle w:val="F9-Paragraph"/>
      </w:pPr>
      <w:r>
        <w:t>LC 27: Safety Mechanisms, Devices and Circuits</w:t>
      </w:r>
    </w:p>
    <w:p w14:paraId="051A7647" w14:textId="0C8A654D" w:rsidR="00241825" w:rsidRDefault="00241825" w:rsidP="00BA139E">
      <w:pPr>
        <w:pStyle w:val="F9-Paragraph"/>
        <w:numPr>
          <w:ilvl w:val="0"/>
          <w:numId w:val="0"/>
        </w:numPr>
        <w:ind w:left="851"/>
      </w:pPr>
      <w:r>
        <w:t xml:space="preserve">The licensee should identify safety mechanisms, devices and circuits that are important to criticality safety and ensure that they are adequately maintained in accordance with LC 28. </w:t>
      </w:r>
    </w:p>
    <w:p w14:paraId="352D342C" w14:textId="77777777" w:rsidR="00BA139E" w:rsidRDefault="00241825" w:rsidP="00BB3C34">
      <w:pPr>
        <w:pStyle w:val="F9-Paragraph"/>
      </w:pPr>
      <w:r>
        <w:t>LC 28: Examination, Inspection, Maintenance and Testing</w:t>
      </w:r>
    </w:p>
    <w:p w14:paraId="70B8039A" w14:textId="4B4956CF" w:rsidR="00241825" w:rsidRDefault="00241825" w:rsidP="00BA139E">
      <w:pPr>
        <w:pStyle w:val="F9-Paragraph"/>
        <w:numPr>
          <w:ilvl w:val="0"/>
          <w:numId w:val="0"/>
        </w:numPr>
        <w:ind w:left="851"/>
      </w:pPr>
      <w:r>
        <w:t xml:space="preserve">It is expected that any structure, system or component associated with ensuring criticality safety, such as neutron counters, enrichment monitors and weighing scales, would form part of the licensee's site-wide arrangements under this licence condition. Note that Ionising Radiations Regulations 2017 (IRR17) </w:t>
      </w:r>
      <w:sdt>
        <w:sdtPr>
          <w:id w:val="-157386614"/>
          <w:citation/>
        </w:sdtPr>
        <w:sdtEndPr/>
        <w:sdtContent>
          <w:r w:rsidR="009C1967">
            <w:fldChar w:fldCharType="begin"/>
          </w:r>
          <w:r w:rsidR="009C1967">
            <w:instrText xml:space="preserve"> CITATION IRR17 \l 2057 </w:instrText>
          </w:r>
          <w:r w:rsidR="009C1967">
            <w:fldChar w:fldCharType="separate"/>
          </w:r>
          <w:r w:rsidR="006B2EEA">
            <w:rPr>
              <w:noProof/>
            </w:rPr>
            <w:t>[9]</w:t>
          </w:r>
          <w:r w:rsidR="009C1967">
            <w:fldChar w:fldCharType="end"/>
          </w:r>
        </w:sdtContent>
      </w:sdt>
      <w:r>
        <w:t xml:space="preserve"> </w:t>
      </w:r>
      <w:r w:rsidR="00BA139E">
        <w:t>R</w:t>
      </w:r>
      <w:r>
        <w:t xml:space="preserve">egulation 11 on ‘maintenance and examination of engineering controls etc. and personal protective equipment’ also defines similar expectations to LC 28. </w:t>
      </w:r>
    </w:p>
    <w:p w14:paraId="3599C5DE" w14:textId="77777777" w:rsidR="009C1967" w:rsidRDefault="00241825" w:rsidP="00CD074B">
      <w:pPr>
        <w:pStyle w:val="F9-Paragraph"/>
      </w:pPr>
      <w:r>
        <w:t>IRR17 Regulation 8: Radiation Risk Assessments</w:t>
      </w:r>
    </w:p>
    <w:p w14:paraId="0CD80EAA" w14:textId="21A0EC66" w:rsidR="006C7E2E" w:rsidRDefault="00241825" w:rsidP="009C1967">
      <w:pPr>
        <w:pStyle w:val="F9-Paragraph"/>
        <w:numPr>
          <w:ilvl w:val="0"/>
          <w:numId w:val="0"/>
        </w:numPr>
        <w:ind w:left="851"/>
      </w:pPr>
      <w:r>
        <w:t>The licensee should carry out a risk assessment in order to identify the measures required to restrict the exposures of workers and the public to ionising radiation. In cases where fissile material will be present, such measures should include the provision of safety systems, in order to take all reasonably practicable steps to prevent criticality accidents and, if they occur, to limit their consequences.</w:t>
      </w:r>
    </w:p>
    <w:p w14:paraId="61743AA0" w14:textId="77777777" w:rsidR="000950B3" w:rsidRDefault="000950B3" w:rsidP="00E90780">
      <w:pPr>
        <w:pStyle w:val="Heading3"/>
        <w:sectPr w:rsidR="000950B3" w:rsidSect="000B2BCD">
          <w:headerReference w:type="default" r:id="rId18"/>
          <w:footerReference w:type="default" r:id="rId19"/>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56293669"/>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09E25833" w14:textId="311B2182" w:rsidR="00AA59AA" w:rsidRPr="00C04D33" w:rsidRDefault="00DF05A8" w:rsidP="00DF05A8">
      <w:pPr>
        <w:pStyle w:val="F9-Paragraph"/>
        <w:numPr>
          <w:ilvl w:val="0"/>
          <w:numId w:val="0"/>
        </w:numPr>
        <w:ind w:left="851"/>
        <w:rPr>
          <w:b/>
          <w:bCs/>
        </w:rPr>
      </w:pPr>
      <w:r w:rsidRPr="00C04D33">
        <w:rPr>
          <w:b/>
          <w:bCs/>
        </w:rPr>
        <w:t>SAPs Addressed</w:t>
      </w:r>
    </w:p>
    <w:p w14:paraId="4C45CB95" w14:textId="12A486D1" w:rsidR="00F22EBE" w:rsidRDefault="00F22EBE" w:rsidP="00DC7E3F">
      <w:pPr>
        <w:pStyle w:val="F9-Paragraph"/>
      </w:pPr>
      <w:r>
        <w:t xml:space="preserve">This section reproduces the SAPs, and the associated supporting text, that refer explicitly to criticality safety. The SAPs form a complete document and should be taken as a whole. This is particularly true for matters relating to the assessment of criticality safety. It is not appropriate to base an assessment on a few selected principles, possibly taken out of context, without considering all other relevant principles. Indeed, many of the principles are relevant to criticality safety and the ONR assessor should constantly bear this in mind. Hence, in order to carry out a comprehensive assessment, it will generally be necessary to refer to several other Technical Assessment Guides (TAGs) in addition to this one. </w:t>
      </w:r>
    </w:p>
    <w:p w14:paraId="7E4D0F3B" w14:textId="4017CC11" w:rsidR="00F22EBE" w:rsidRDefault="00F22EBE" w:rsidP="002764D5">
      <w:pPr>
        <w:pStyle w:val="F9-Paragraph"/>
      </w:pPr>
      <w:r>
        <w:t xml:space="preserve">It should be noted that the SAPs call for fault studies to use a Design Basis Analysis (DBA) approach in the identification of all safety measures. This is a potential source of confusion alongside the application of the principle ECR.2 "Double Contingency Approach (DCA)", which is widely used both internationally and nationally in criticality safety assessment. Advice to inspectors on this issue is given below. The paragraph numbers in the extract below relate to numbering in the SAPs </w:t>
      </w:r>
      <w:sdt>
        <w:sdtPr>
          <w:id w:val="1528839843"/>
          <w:citation/>
        </w:sdtPr>
        <w:sdtEndPr/>
        <w:sdtContent>
          <w:r w:rsidR="00251158">
            <w:fldChar w:fldCharType="begin"/>
          </w:r>
          <w:r w:rsidR="00251158">
            <w:instrText xml:space="preserve"> CITATION ONR_SAPs \l 2057 </w:instrText>
          </w:r>
          <w:r w:rsidR="00251158">
            <w:fldChar w:fldCharType="separate"/>
          </w:r>
          <w:r w:rsidR="006B2EEA">
            <w:rPr>
              <w:noProof/>
            </w:rPr>
            <w:t>[1]</w:t>
          </w:r>
          <w:r w:rsidR="00251158">
            <w:fldChar w:fldCharType="end"/>
          </w:r>
        </w:sdtContent>
      </w:sdt>
      <w:r>
        <w:t xml:space="preserve">. </w:t>
      </w:r>
    </w:p>
    <w:p w14:paraId="7E940B05" w14:textId="76ACA6E6" w:rsidR="00F22EBE" w:rsidRPr="00B11E55" w:rsidRDefault="00F22EBE" w:rsidP="00B11E55">
      <w:pPr>
        <w:pStyle w:val="F9-Paragraph"/>
        <w:numPr>
          <w:ilvl w:val="0"/>
          <w:numId w:val="0"/>
        </w:numPr>
        <w:ind w:left="851"/>
        <w:rPr>
          <w:i/>
          <w:iCs/>
        </w:rPr>
      </w:pPr>
      <w:r w:rsidRPr="00B11E55">
        <w:rPr>
          <w:i/>
          <w:iCs/>
        </w:rPr>
        <w:t>570</w:t>
      </w:r>
      <w:r w:rsidR="00A50ACC">
        <w:rPr>
          <w:i/>
          <w:iCs/>
        </w:rPr>
        <w:t>.</w:t>
      </w:r>
      <w:r w:rsidRPr="00B11E55">
        <w:rPr>
          <w:i/>
          <w:iCs/>
        </w:rPr>
        <w:t xml:space="preserve"> Criticality safety principles apply to the processing, handling or storage of fissile materials in significant quantities with respect to the minimum critical mass, and in locations where criticality is not intended. The principles in this sub-section, which should be read in conjunction with the Fault Analysis section, are specific to criticality safety. </w:t>
      </w:r>
    </w:p>
    <w:p w14:paraId="5E3B254D" w14:textId="74981FAF" w:rsidR="00F22EBE" w:rsidRPr="00B11E55" w:rsidRDefault="00F22EBE" w:rsidP="00B11E55">
      <w:pPr>
        <w:pStyle w:val="F9-Paragraph"/>
        <w:numPr>
          <w:ilvl w:val="0"/>
          <w:numId w:val="0"/>
        </w:numPr>
        <w:ind w:left="851"/>
        <w:rPr>
          <w:b/>
          <w:bCs/>
          <w:i/>
          <w:iCs/>
        </w:rPr>
      </w:pPr>
      <w:r w:rsidRPr="00B11E55">
        <w:rPr>
          <w:b/>
          <w:bCs/>
          <w:i/>
          <w:iCs/>
        </w:rPr>
        <w:t xml:space="preserve">ECR.1 Wherever a significant amount of fissile material may be present, there should be safety measures to protect against unplanned criticality. </w:t>
      </w:r>
    </w:p>
    <w:p w14:paraId="07A5B804" w14:textId="588BAFF4" w:rsidR="00F22EBE" w:rsidRPr="00717316" w:rsidRDefault="00F22EBE" w:rsidP="00B11E55">
      <w:pPr>
        <w:pStyle w:val="F9-Paragraph"/>
        <w:numPr>
          <w:ilvl w:val="0"/>
          <w:numId w:val="0"/>
        </w:numPr>
        <w:ind w:left="851"/>
        <w:rPr>
          <w:i/>
          <w:iCs/>
        </w:rPr>
      </w:pPr>
      <w:r w:rsidRPr="00717316">
        <w:rPr>
          <w:i/>
          <w:iCs/>
        </w:rPr>
        <w:t>571</w:t>
      </w:r>
      <w:r w:rsidR="00A50ACC">
        <w:rPr>
          <w:i/>
          <w:iCs/>
        </w:rPr>
        <w:t>.</w:t>
      </w:r>
      <w:r w:rsidRPr="00717316">
        <w:rPr>
          <w:i/>
          <w:iCs/>
        </w:rPr>
        <w:t xml:space="preserve"> The hierarchy of controls set out in the Key engineering principles sub-section (paragraph 145ff.) is appropriate for criticality safety, and gives preference to minimising the amount of fissile material present, consistent with the process requirements. The principal means of passive engineering control of criticality should be geometrical constraint. Where sub-criticality cannot be maintained through geometrical constraint alone, additional engineered safety measures should be provided, such as fixed neutron absorbers. Reliance on neutron absorbers requires assurance of their continued presence and effectiveness. </w:t>
      </w:r>
    </w:p>
    <w:p w14:paraId="7B913616" w14:textId="01E9FAC9" w:rsidR="00F22EBE" w:rsidRPr="00775A44" w:rsidRDefault="00F22EBE" w:rsidP="00717316">
      <w:pPr>
        <w:pStyle w:val="F9-Paragraph"/>
        <w:pageBreakBefore/>
        <w:numPr>
          <w:ilvl w:val="0"/>
          <w:numId w:val="0"/>
        </w:numPr>
        <w:ind w:left="851"/>
        <w:rPr>
          <w:i/>
          <w:iCs/>
        </w:rPr>
      </w:pPr>
      <w:r w:rsidRPr="00775A44">
        <w:rPr>
          <w:i/>
          <w:iCs/>
        </w:rPr>
        <w:lastRenderedPageBreak/>
        <w:t>572</w:t>
      </w:r>
      <w:r w:rsidR="00A50ACC">
        <w:rPr>
          <w:i/>
          <w:iCs/>
        </w:rPr>
        <w:t>.</w:t>
      </w:r>
      <w:r w:rsidRPr="00775A44">
        <w:rPr>
          <w:i/>
          <w:iCs/>
        </w:rPr>
        <w:t xml:space="preserve"> Further safety measures may need to be provided, for example to: </w:t>
      </w:r>
    </w:p>
    <w:p w14:paraId="0CD4D285" w14:textId="23DDE850" w:rsidR="00F22EBE" w:rsidRPr="00775A44" w:rsidRDefault="00F22EBE" w:rsidP="00775A44">
      <w:pPr>
        <w:pStyle w:val="F9-Paragraph"/>
        <w:numPr>
          <w:ilvl w:val="0"/>
          <w:numId w:val="37"/>
        </w:numPr>
        <w:ind w:left="1701" w:hanging="283"/>
        <w:rPr>
          <w:i/>
          <w:iCs/>
        </w:rPr>
      </w:pPr>
      <w:r w:rsidRPr="00775A44">
        <w:rPr>
          <w:i/>
          <w:iCs/>
        </w:rPr>
        <w:t xml:space="preserve">control the mass and isotopic composition of the fissile material present; </w:t>
      </w:r>
    </w:p>
    <w:p w14:paraId="5B9CFAC7" w14:textId="6BE47F18" w:rsidR="00F22EBE" w:rsidRPr="00775A44" w:rsidRDefault="00F22EBE" w:rsidP="00775A44">
      <w:pPr>
        <w:pStyle w:val="F9-Paragraph"/>
        <w:numPr>
          <w:ilvl w:val="0"/>
          <w:numId w:val="37"/>
        </w:numPr>
        <w:ind w:left="1701" w:hanging="283"/>
        <w:rPr>
          <w:i/>
          <w:iCs/>
        </w:rPr>
      </w:pPr>
      <w:r w:rsidRPr="00775A44">
        <w:rPr>
          <w:i/>
          <w:iCs/>
        </w:rPr>
        <w:t xml:space="preserve">control the concentration of fissile material in solutions; and </w:t>
      </w:r>
    </w:p>
    <w:p w14:paraId="28964865" w14:textId="7F30D029" w:rsidR="00F22EBE" w:rsidRPr="00775A44" w:rsidRDefault="00F22EBE" w:rsidP="00775A44">
      <w:pPr>
        <w:pStyle w:val="F9-Paragraph"/>
        <w:numPr>
          <w:ilvl w:val="0"/>
          <w:numId w:val="37"/>
        </w:numPr>
        <w:ind w:left="1701" w:hanging="283"/>
        <w:rPr>
          <w:i/>
          <w:iCs/>
        </w:rPr>
      </w:pPr>
      <w:r w:rsidRPr="00775A44">
        <w:rPr>
          <w:i/>
          <w:iCs/>
        </w:rPr>
        <w:t xml:space="preserve">control the amount of neutron moderating and reflecting material associated with the fissile material. </w:t>
      </w:r>
    </w:p>
    <w:p w14:paraId="72FCF70C" w14:textId="0846AE04" w:rsidR="00DF05A8" w:rsidRPr="008A5A87" w:rsidRDefault="00F22EBE" w:rsidP="00775A44">
      <w:pPr>
        <w:pStyle w:val="F9-Paragraph"/>
        <w:numPr>
          <w:ilvl w:val="0"/>
          <w:numId w:val="0"/>
        </w:numPr>
        <w:ind w:left="851"/>
        <w:rPr>
          <w:i/>
          <w:iCs/>
        </w:rPr>
      </w:pPr>
      <w:r w:rsidRPr="008A5A87">
        <w:rPr>
          <w:i/>
          <w:iCs/>
        </w:rPr>
        <w:t>573</w:t>
      </w:r>
      <w:r w:rsidR="00A50ACC">
        <w:rPr>
          <w:i/>
          <w:iCs/>
        </w:rPr>
        <w:t>.</w:t>
      </w:r>
      <w:r w:rsidRPr="008A5A87">
        <w:rPr>
          <w:i/>
          <w:iCs/>
        </w:rPr>
        <w:t xml:space="preserve"> The design and operation of facilities and equipment dealing with fissile material should facilitate the termination of a criticality incident.</w:t>
      </w:r>
    </w:p>
    <w:p w14:paraId="6E00AAD8" w14:textId="77777777" w:rsidR="008A5A87" w:rsidRPr="008A5A87" w:rsidRDefault="008A5A87" w:rsidP="00775A44">
      <w:pPr>
        <w:pStyle w:val="F9-Paragraph"/>
        <w:numPr>
          <w:ilvl w:val="0"/>
          <w:numId w:val="0"/>
        </w:numPr>
        <w:ind w:left="851"/>
        <w:rPr>
          <w:b/>
          <w:bCs/>
          <w:i/>
          <w:iCs/>
        </w:rPr>
      </w:pPr>
      <w:r w:rsidRPr="008A5A87">
        <w:rPr>
          <w:b/>
          <w:bCs/>
          <w:i/>
          <w:iCs/>
        </w:rPr>
        <w:t xml:space="preserve">ECR.2 A criticality safety case should employ the double contingency approach. </w:t>
      </w:r>
    </w:p>
    <w:p w14:paraId="6F288A06" w14:textId="1A8E7D64" w:rsidR="008A5A87" w:rsidRDefault="008A5A87" w:rsidP="00775A44">
      <w:pPr>
        <w:pStyle w:val="F9-Paragraph"/>
        <w:numPr>
          <w:ilvl w:val="0"/>
          <w:numId w:val="0"/>
        </w:numPr>
        <w:ind w:left="851"/>
        <w:rPr>
          <w:i/>
          <w:iCs/>
        </w:rPr>
      </w:pPr>
      <w:r w:rsidRPr="008A5A87">
        <w:rPr>
          <w:i/>
          <w:iCs/>
        </w:rPr>
        <w:t>574</w:t>
      </w:r>
      <w:r w:rsidR="00A50ACC">
        <w:rPr>
          <w:i/>
          <w:iCs/>
        </w:rPr>
        <w:t>.</w:t>
      </w:r>
      <w:r w:rsidRPr="008A5A87">
        <w:rPr>
          <w:i/>
          <w:iCs/>
        </w:rPr>
        <w:t xml:space="preserve"> The double contingency approach requires a demonstration that unintended criticality cannot occur unless at least two unlikely, independent, concurrent changes in the conditions originally specified as essential to criticality safety have occurred.</w:t>
      </w:r>
    </w:p>
    <w:p w14:paraId="74E6B4E1" w14:textId="676D16B2" w:rsidR="00213438" w:rsidRPr="00900866" w:rsidRDefault="00900866" w:rsidP="00775A44">
      <w:pPr>
        <w:pStyle w:val="F9-Paragraph"/>
        <w:numPr>
          <w:ilvl w:val="0"/>
          <w:numId w:val="0"/>
        </w:numPr>
        <w:ind w:left="851"/>
        <w:rPr>
          <w:i/>
          <w:iCs/>
        </w:rPr>
      </w:pPr>
      <w:r w:rsidRPr="00900866">
        <w:rPr>
          <w:i/>
          <w:iCs/>
        </w:rPr>
        <w:t>575</w:t>
      </w:r>
      <w:r w:rsidR="00A50ACC">
        <w:rPr>
          <w:i/>
          <w:iCs/>
        </w:rPr>
        <w:t>.</w:t>
      </w:r>
      <w:r w:rsidRPr="00900866">
        <w:rPr>
          <w:i/>
          <w:iCs/>
        </w:rPr>
        <w:t xml:space="preserve"> For long-term storage of radioactive waste containing fissile materials, traditional deterministic criticality assessments can lead to very conservative limits on fissile materials. Consideration should be given to a risk-informed approach that balances the risks from an unplanned criticality against other factors, such as the dose accrued as a result of the preparation of waste packages.</w:t>
      </w:r>
    </w:p>
    <w:p w14:paraId="5DE6D2BD" w14:textId="09089BD5" w:rsidR="00C04D33" w:rsidRPr="00C04D33" w:rsidRDefault="00C04D33" w:rsidP="00C04D33">
      <w:pPr>
        <w:pStyle w:val="F9-Paragraph"/>
        <w:numPr>
          <w:ilvl w:val="0"/>
          <w:numId w:val="0"/>
        </w:numPr>
        <w:spacing w:before="360"/>
        <w:ind w:left="851"/>
        <w:rPr>
          <w:b/>
          <w:bCs/>
        </w:rPr>
      </w:pPr>
      <w:r w:rsidRPr="00C04D33">
        <w:rPr>
          <w:b/>
          <w:bCs/>
        </w:rPr>
        <w:t>Discussion of SAPs</w:t>
      </w:r>
    </w:p>
    <w:p w14:paraId="7E2E6A75" w14:textId="253E2F90" w:rsidR="00C04D33" w:rsidRPr="00C04D33" w:rsidRDefault="00C04D33" w:rsidP="00C04D33">
      <w:pPr>
        <w:pStyle w:val="F9-Paragraph"/>
        <w:numPr>
          <w:ilvl w:val="0"/>
          <w:numId w:val="0"/>
        </w:numPr>
        <w:ind w:left="851"/>
        <w:rPr>
          <w:b/>
          <w:bCs/>
        </w:rPr>
      </w:pPr>
      <w:r w:rsidRPr="00C04D33">
        <w:rPr>
          <w:b/>
          <w:bCs/>
        </w:rPr>
        <w:t>Paragraph 570</w:t>
      </w:r>
    </w:p>
    <w:p w14:paraId="37341871" w14:textId="3E69CDB5" w:rsidR="006211B2" w:rsidRDefault="006211B2" w:rsidP="00B73194">
      <w:pPr>
        <w:pStyle w:val="F9-Paragraph"/>
      </w:pPr>
      <w:r>
        <w:t>This paragraph points out that the scope of criticality safety is limited to processes intended to be subcritical. This covers essentially all facilities apart from reactors, which constitute a special case in that they are designed to achieve criticality in a controlled manner. Here, protection of the workforce is achieved by the provision of massive bulk shielding and multiple high-integrity containment systems. In general, in all other situations, including reactor fuel handling (e.g. on-site transport, storage, loading and unloading of fuel from reactors) the possibility of criticality requires consideration.</w:t>
      </w:r>
    </w:p>
    <w:p w14:paraId="7E81F7CB" w14:textId="77777777" w:rsidR="006211B2" w:rsidRDefault="006211B2" w:rsidP="00B73194">
      <w:pPr>
        <w:pStyle w:val="F9-Paragraph"/>
      </w:pPr>
      <w:r>
        <w:t>Formal criticality safety analysis may not be required for processes containing only a small fraction of the minimum critical mass of the relevant fissile isotope, where there is no reasonably foreseeable mechanism of significantly increasing the mass of fissile material present. An explicit demonstration of the lack of need for criticality safety measures should be provided.</w:t>
      </w:r>
    </w:p>
    <w:p w14:paraId="10ABEB76" w14:textId="77777777" w:rsidR="005E0DAB" w:rsidRDefault="005E0DAB" w:rsidP="00B73194">
      <w:pPr>
        <w:pStyle w:val="F9-Paragraph"/>
        <w:sectPr w:rsidR="005E0DAB" w:rsidSect="000B2BCD">
          <w:pgSz w:w="11906" w:h="16838" w:code="9"/>
          <w:pgMar w:top="1440" w:right="1440" w:bottom="1440" w:left="1440" w:header="397" w:footer="397" w:gutter="0"/>
          <w:cols w:space="312"/>
          <w:docGrid w:linePitch="360"/>
        </w:sectPr>
      </w:pPr>
    </w:p>
    <w:p w14:paraId="4CA4BA49" w14:textId="2989305C" w:rsidR="006211B2" w:rsidRDefault="006211B2" w:rsidP="00B73194">
      <w:pPr>
        <w:pStyle w:val="F9-Paragraph"/>
      </w:pPr>
      <w:r>
        <w:lastRenderedPageBreak/>
        <w:t>It should be pointed out that the Fault Analysis principles in the SAPs apply to all types of fault, including criticality, and hence the ONR assessor should also refer to these principles when carrying out an assessment.</w:t>
      </w:r>
    </w:p>
    <w:p w14:paraId="4BC423D5" w14:textId="25FF3D2E" w:rsidR="009A5B91" w:rsidRPr="009A5B91" w:rsidRDefault="009A5B91" w:rsidP="009A5B91">
      <w:pPr>
        <w:pStyle w:val="F9-Paragraph"/>
        <w:numPr>
          <w:ilvl w:val="0"/>
          <w:numId w:val="0"/>
        </w:numPr>
        <w:ind w:left="851"/>
        <w:rPr>
          <w:b/>
          <w:bCs/>
        </w:rPr>
      </w:pPr>
      <w:r w:rsidRPr="009A5B91">
        <w:rPr>
          <w:b/>
          <w:bCs/>
        </w:rPr>
        <w:t>Principle ECR.1</w:t>
      </w:r>
    </w:p>
    <w:p w14:paraId="136CA5CB" w14:textId="77777777" w:rsidR="00997852" w:rsidRDefault="00997852" w:rsidP="00B73194">
      <w:pPr>
        <w:pStyle w:val="F9-Paragraph"/>
      </w:pPr>
      <w:r>
        <w:t xml:space="preserve">ONR would expect the licensee’s safety case to identify a system of criticality safety measures, which should follow the accepted hierarchy of protection: </w:t>
      </w:r>
    </w:p>
    <w:p w14:paraId="0911DD8D" w14:textId="77777777" w:rsidR="00997852" w:rsidRDefault="00997852" w:rsidP="00615EC0">
      <w:pPr>
        <w:pStyle w:val="F9-Paragraph"/>
        <w:numPr>
          <w:ilvl w:val="0"/>
          <w:numId w:val="38"/>
        </w:numPr>
      </w:pPr>
      <w:r>
        <w:t>Passive engineered safety measures, i.e. measures that are continuously available and require no action by a safety system or an operator to achieve and maintain a safe state;</w:t>
      </w:r>
    </w:p>
    <w:p w14:paraId="01548A14" w14:textId="77777777" w:rsidR="00997852" w:rsidRDefault="00997852" w:rsidP="00615EC0">
      <w:pPr>
        <w:pStyle w:val="F9-Paragraph"/>
        <w:numPr>
          <w:ilvl w:val="0"/>
          <w:numId w:val="38"/>
        </w:numPr>
      </w:pPr>
      <w:r>
        <w:t>Active engineered safety measures, i.e. measures requiring action by a safety system to achieve and maintain a safe state; and</w:t>
      </w:r>
    </w:p>
    <w:p w14:paraId="73FA041C" w14:textId="0314DC6E" w:rsidR="00997852" w:rsidRDefault="00997852" w:rsidP="00615EC0">
      <w:pPr>
        <w:pStyle w:val="F9-Paragraph"/>
        <w:numPr>
          <w:ilvl w:val="0"/>
          <w:numId w:val="38"/>
        </w:numPr>
      </w:pPr>
      <w:r>
        <w:t>Administrative safety measures, i.e. measures requiring action by an operator to achieve and maintain a safe state.</w:t>
      </w:r>
    </w:p>
    <w:p w14:paraId="75DE7462" w14:textId="77777777" w:rsidR="00615EC0" w:rsidRDefault="00615EC0" w:rsidP="00615EC0">
      <w:pPr>
        <w:pStyle w:val="F9-Paragraph"/>
      </w:pPr>
      <w:r>
        <w:t>ONR would expect to see a robust justification where criticality safety is maintained by administrative safety measures alone.</w:t>
      </w:r>
    </w:p>
    <w:p w14:paraId="448D8748" w14:textId="48A59338" w:rsidR="00E448FF" w:rsidRPr="00E448FF" w:rsidRDefault="00E448FF" w:rsidP="00E448FF">
      <w:pPr>
        <w:pStyle w:val="F9-Paragraph"/>
        <w:numPr>
          <w:ilvl w:val="0"/>
          <w:numId w:val="0"/>
        </w:numPr>
        <w:ind w:left="851"/>
        <w:rPr>
          <w:b/>
          <w:bCs/>
        </w:rPr>
      </w:pPr>
      <w:r w:rsidRPr="00E448FF">
        <w:rPr>
          <w:b/>
          <w:bCs/>
        </w:rPr>
        <w:t>Paragraph 571</w:t>
      </w:r>
    </w:p>
    <w:p w14:paraId="0B1CC98E" w14:textId="43933525" w:rsidR="00E448FF" w:rsidRDefault="008C6FA5" w:rsidP="00CD3CAD">
      <w:pPr>
        <w:pStyle w:val="F9-Paragraph"/>
      </w:pPr>
      <w:r>
        <w:t>The preferred means of ensuring criticality safety is the introduction of geometrical constraints, e.g. limited volume vessels and limited diameter pipes. The geometrical constraints mean that the neutron leakage is sufficiently great to prevent a critical chain reaction. The safety case should show that the dimensions of components are such that criticality safety will be maintained for any reasonably foreseeable mass and concentration of fissile material, and any reasonably foreseeable change in geometry.</w:t>
      </w:r>
    </w:p>
    <w:p w14:paraId="6E9AABC4" w14:textId="187FA50D" w:rsidR="00862E42" w:rsidRDefault="00862E42" w:rsidP="00D90A96">
      <w:pPr>
        <w:pStyle w:val="F9-Paragraph"/>
      </w:pPr>
      <w:r>
        <w:t>Generally, in order to be effective, neutron absorbers rely on moderating materials to reduce the energy of the neutron spectrum. Hence, in cases where reliance is placed on neutron absorbers to maintain criticality safety, the licensee must provide assurance that sufficient neutron absorber and sufficient neutron moderating material will be present, and that their distribution within the system will ensure the effectiveness of the absorber under all reasonably foreseeable conditions. Strong preference should be given to the use of fixed absorbers rather than soluble absorbers, since the latter require continuous demonstration of their presence and appropriate concentration during operations. The continuing presence and</w:t>
      </w:r>
      <w:r w:rsidR="00AE20F1">
        <w:t xml:space="preserve"> </w:t>
      </w:r>
      <w:r>
        <w:t>effectiveness of fixed neutron absorbers also requires demonstration; however, such requirements are normally much less onerous than for soluble absorbers (e.g. through periodic testing or sampling). Reassurance of the effectiveness of neutron absorbers (and any associated moderator, where appropriate) is important both during</w:t>
      </w:r>
      <w:r w:rsidR="00AE20F1">
        <w:t xml:space="preserve"> </w:t>
      </w:r>
      <w:r>
        <w:t xml:space="preserve">operations, and also during and following any related maintenance operations. </w:t>
      </w:r>
    </w:p>
    <w:p w14:paraId="3EBC7EB5" w14:textId="73EB9F70" w:rsidR="00862E42" w:rsidRPr="00AE20F1" w:rsidRDefault="00862E42" w:rsidP="00AE20F1">
      <w:pPr>
        <w:pStyle w:val="F9-Paragraph"/>
        <w:pageBreakBefore/>
        <w:numPr>
          <w:ilvl w:val="0"/>
          <w:numId w:val="0"/>
        </w:numPr>
        <w:ind w:left="851"/>
        <w:rPr>
          <w:b/>
          <w:bCs/>
        </w:rPr>
      </w:pPr>
      <w:r w:rsidRPr="00AE20F1">
        <w:rPr>
          <w:b/>
          <w:bCs/>
        </w:rPr>
        <w:lastRenderedPageBreak/>
        <w:t>Paragraph 572</w:t>
      </w:r>
    </w:p>
    <w:p w14:paraId="51DB1BF6" w14:textId="13120868" w:rsidR="00862E42" w:rsidRDefault="00862E42" w:rsidP="00C15FAE">
      <w:pPr>
        <w:pStyle w:val="F9-Paragraph"/>
      </w:pPr>
      <w:r>
        <w:t xml:space="preserve">In addition to the use of geometrical constraints and neutron absorbers, there are several other parameters, control of which can be used to achieve criticality safety: </w:t>
      </w:r>
    </w:p>
    <w:p w14:paraId="2A590BFF" w14:textId="7E779BCB" w:rsidR="00862E42" w:rsidRDefault="00862E42" w:rsidP="00552DC1">
      <w:pPr>
        <w:pStyle w:val="F9-Paragraph"/>
        <w:numPr>
          <w:ilvl w:val="0"/>
          <w:numId w:val="39"/>
        </w:numPr>
      </w:pPr>
      <w:r w:rsidRPr="00552DC1">
        <w:rPr>
          <w:u w:val="single"/>
        </w:rPr>
        <w:t xml:space="preserve">Fissile </w:t>
      </w:r>
      <w:r w:rsidR="00552DC1">
        <w:rPr>
          <w:u w:val="single"/>
        </w:rPr>
        <w:t>M</w:t>
      </w:r>
      <w:r w:rsidRPr="00552DC1">
        <w:rPr>
          <w:u w:val="single"/>
        </w:rPr>
        <w:t>ass</w:t>
      </w:r>
      <w:r>
        <w:t xml:space="preserve">: Criticality safety can be achieved by restricting the mass of fissile material to below the minimum critical mass appropriate to the process conditions. If this approach is adopted, consideration must be given to fault sequences which could increase the neutron multiplication of a system, e.g. the introduction of excess fissile material. Robust safety measures must be put in place to prevent the accumulation of an unsafe mass. Inspectors should note that the accurate measurement of fissile mass can be difficult and it should be demonstrated that appropriately conservative methods have been used (further guidance is given in </w:t>
      </w:r>
      <w:r w:rsidR="00011E40">
        <w:t>p</w:t>
      </w:r>
      <w:r>
        <w:t>aragraphs</w:t>
      </w:r>
      <w:r w:rsidR="001833F6">
        <w:t xml:space="preserve"> </w:t>
      </w:r>
      <w:r w:rsidR="00314E71">
        <w:fldChar w:fldCharType="begin"/>
      </w:r>
      <w:r w:rsidR="00314E71">
        <w:instrText xml:space="preserve"> REF _Ref150254842 \r \h </w:instrText>
      </w:r>
      <w:r w:rsidR="00314E71">
        <w:fldChar w:fldCharType="separate"/>
      </w:r>
      <w:r w:rsidR="00314E71">
        <w:rPr>
          <w:cs/>
        </w:rPr>
        <w:t>‎</w:t>
      </w:r>
      <w:r w:rsidR="00314E71">
        <w:t>83</w:t>
      </w:r>
      <w:r w:rsidR="00314E71">
        <w:fldChar w:fldCharType="end"/>
      </w:r>
      <w:r w:rsidR="001833F6">
        <w:t xml:space="preserve"> to </w:t>
      </w:r>
      <w:r w:rsidR="00314E71">
        <w:fldChar w:fldCharType="begin"/>
      </w:r>
      <w:r w:rsidR="00314E71">
        <w:instrText xml:space="preserve"> REF _Ref150254851 \r \h </w:instrText>
      </w:r>
      <w:r w:rsidR="00314E71">
        <w:fldChar w:fldCharType="separate"/>
      </w:r>
      <w:r w:rsidR="00314E71">
        <w:rPr>
          <w:cs/>
        </w:rPr>
        <w:t>‎</w:t>
      </w:r>
      <w:r w:rsidR="00314E71">
        <w:t>87</w:t>
      </w:r>
      <w:r w:rsidR="00314E71">
        <w:fldChar w:fldCharType="end"/>
      </w:r>
      <w:r>
        <w:t xml:space="preserve"> below);</w:t>
      </w:r>
    </w:p>
    <w:p w14:paraId="14803AC3" w14:textId="64CDE4B1" w:rsidR="00862E42" w:rsidRDefault="00862E42" w:rsidP="00552DC1">
      <w:pPr>
        <w:pStyle w:val="F9-Paragraph"/>
        <w:numPr>
          <w:ilvl w:val="0"/>
          <w:numId w:val="39"/>
        </w:numPr>
      </w:pPr>
      <w:r w:rsidRPr="00552DC1">
        <w:rPr>
          <w:u w:val="single"/>
        </w:rPr>
        <w:t xml:space="preserve">Isotopic </w:t>
      </w:r>
      <w:r w:rsidR="00552DC1">
        <w:rPr>
          <w:u w:val="single"/>
        </w:rPr>
        <w:t>C</w:t>
      </w:r>
      <w:r w:rsidRPr="00552DC1">
        <w:rPr>
          <w:u w:val="single"/>
        </w:rPr>
        <w:t>omposition</w:t>
      </w:r>
      <w:r>
        <w:t>: The most common fissile isotopes in current nuclear industry applications are U-235 and Pu-239. Uranium normally comprises mostly U-235 and U</w:t>
      </w:r>
      <w:r w:rsidR="00CD3A05">
        <w:t>-</w:t>
      </w:r>
      <w:r>
        <w:t xml:space="preserve">238, and sometimes U-233. Plutonium normally comprises mostly Pu-239 and Pu-240 (with increasing proportions of other Pu isotopes for material produced at higher fuel burnup, e.g. Pu-241). These isotopes have varying relative importance to criticality safety (e.g. Pu-240 is </w:t>
      </w:r>
      <w:r w:rsidR="004B1A5C">
        <w:t xml:space="preserve">generally </w:t>
      </w:r>
      <w:r>
        <w:t>a neutron poison, and U-233/Pu-241 are usually more reactive than their respective other fissile counterparts U-235/Pu-239). ONR would expect the licensee’s safety case to identify safe limits and conditions with regard to isotopic composition, with any isotopic assumptions made demonstrated to be valid across the expected moderation range. The safety case should identify appropriate measures to ensure that these limits and conditions are satisfied;</w:t>
      </w:r>
    </w:p>
    <w:p w14:paraId="478A76D9" w14:textId="520D2AAC" w:rsidR="00862E42" w:rsidRDefault="00862E42" w:rsidP="00552DC1">
      <w:pPr>
        <w:pStyle w:val="F9-Paragraph"/>
        <w:numPr>
          <w:ilvl w:val="0"/>
          <w:numId w:val="39"/>
        </w:numPr>
      </w:pPr>
      <w:r w:rsidRPr="00552DC1">
        <w:rPr>
          <w:u w:val="single"/>
        </w:rPr>
        <w:t>Moderation</w:t>
      </w:r>
      <w:r>
        <w:t>: The critical mass of fissile material can be significantly reduced by the presence of moderating material. Ideally, the safety case should demonstrate that criticality safety would be maintained even with optimum moderation for the system type being considered. In choosing the moderating material in the safety assessment, all materials that may reasonably be present should be considered (including materials used in fire-fighting operations) and the most reactive configuration should be identified. This will often be optimum moderation by a hydrogenous material such as water, oil or plastics (including PVC, which may contain polythene as a plasticizer). It should be noted that licensees sometimes attempt to make criticality safety cases based on limited or zero moderation arguments. Here, it is argued that while some moderator may be present, there will be an insufficient quantity to form a critical system. Such arguments may be acceptable if adequately substantiated (e.g. by demonstration of adequate control of moderating materials in combination with adequate margin to safety for excess moderator);</w:t>
      </w:r>
    </w:p>
    <w:p w14:paraId="39EA81F2" w14:textId="5C80104C" w:rsidR="00862E42" w:rsidRDefault="00862E42" w:rsidP="00552DC1">
      <w:pPr>
        <w:pStyle w:val="F9-Paragraph"/>
        <w:numPr>
          <w:ilvl w:val="0"/>
          <w:numId w:val="39"/>
        </w:numPr>
      </w:pPr>
      <w:r w:rsidRPr="00552DC1">
        <w:rPr>
          <w:u w:val="single"/>
        </w:rPr>
        <w:lastRenderedPageBreak/>
        <w:t>Reflection</w:t>
      </w:r>
      <w:r>
        <w:t>: Similarly, the critical mass of fissile material can be significantly reduced by the presence of reflecting material. In general, a close-fitting thick reflector should be assumed. In choosing the reflecting material to consider in the safety assessment, all materials that may reasonably be present should be considered. In addition to materials within the process, the reflecting effects of other nearby materials and structures, including personnel, should also be addressed. It should be noted that licensees sometimes attempt to make criticality safety cases based on limited reflection arguments; licensees may justify that limited reflection conditions are bounding on conditions which could arise taking into account the potential form, quantity and location of reflecting materials. Such arguments based on limited reflection should be adequately substantiated for all foreseeable conditions;</w:t>
      </w:r>
    </w:p>
    <w:p w14:paraId="1BE6F6DE" w14:textId="68F78796" w:rsidR="00862E42" w:rsidRDefault="00862E42" w:rsidP="00552DC1">
      <w:pPr>
        <w:pStyle w:val="F9-Paragraph"/>
        <w:numPr>
          <w:ilvl w:val="0"/>
          <w:numId w:val="39"/>
        </w:numPr>
      </w:pPr>
      <w:r w:rsidRPr="00552DC1">
        <w:rPr>
          <w:u w:val="single"/>
        </w:rPr>
        <w:t>Density</w:t>
      </w:r>
      <w:r>
        <w:t xml:space="preserve">: For fissile material in solid form, there will generally be a range of possible densities up to the maximum theoretical density. It is well established that, for fissile material in solid form, the critical mass decreases with increasing density </w:t>
      </w:r>
      <w:sdt>
        <w:sdtPr>
          <w:id w:val="-1195846778"/>
          <w:citation/>
        </w:sdtPr>
        <w:sdtEndPr/>
        <w:sdtContent>
          <w:r w:rsidR="001A0640">
            <w:fldChar w:fldCharType="begin"/>
          </w:r>
          <w:r w:rsidR="001A0640">
            <w:instrText xml:space="preserve"> CITATION Knief \l 2057 </w:instrText>
          </w:r>
          <w:r w:rsidR="001A0640">
            <w:fldChar w:fldCharType="separate"/>
          </w:r>
          <w:r w:rsidR="006B2EEA">
            <w:rPr>
              <w:noProof/>
            </w:rPr>
            <w:t>[10]</w:t>
          </w:r>
          <w:r w:rsidR="001A0640">
            <w:fldChar w:fldCharType="end"/>
          </w:r>
        </w:sdtContent>
      </w:sdt>
      <w:r>
        <w:t xml:space="preserve">. Hence, safety cases should generally consider the maximum theoretical density unless it can be demonstrated deterministically that the process cannot give rise to this density, or should provide assurance that this density cannot be achieved. Despite this, </w:t>
      </w:r>
      <w:r w:rsidR="00014B2D">
        <w:t>i</w:t>
      </w:r>
      <w:r>
        <w:t>nspectors should be aware that in some systems a lower density may present the bounding case. For example, where multiple units are present (arrays), assuming a lower density for fixed masses of material may lead to increased interaction between units by virtue of an increased solid angle of interaction. For fissile powders, a lower density fissile material may present a bigger hazard because a greater moderator-to-fissile ratio can be obtained if moderators mingle with the fissile material. The neutron multiplication factor of low density powders can be very sensitive to the addition of moderator;</w:t>
      </w:r>
    </w:p>
    <w:p w14:paraId="7BE53748" w14:textId="4FD49A95" w:rsidR="00862E42" w:rsidRDefault="00862E42" w:rsidP="00552DC1">
      <w:pPr>
        <w:pStyle w:val="F9-Paragraph"/>
        <w:numPr>
          <w:ilvl w:val="0"/>
          <w:numId w:val="39"/>
        </w:numPr>
      </w:pPr>
      <w:r w:rsidRPr="00552DC1">
        <w:rPr>
          <w:u w:val="single"/>
        </w:rPr>
        <w:t>Concentration</w:t>
      </w:r>
      <w:r>
        <w:t>: The neutron multiplication of fissile material in solution or suspension will vary as a function of the concentration of the fissile material. This is largely due to the competing effects of dilution of the fissile material, i.e. reducing the density, and neutron moderation and absorption by the liquid. There will be a concentration at which the neutron multiplication is highest. This is known as the optimum concentration. The optimum concentration of a particular system can vary according to the geometry of a system, and so care should be used when applying an optimum concentration from one system to another of different geometry, even if the solution/suspension parameters are identical. Ideally, the safety case should demonstrate that criticality safety would be maintained even at optimum concentration. If this is not possible then assurance should be provided that the concentration can never achieve an unsafe value;</w:t>
      </w:r>
    </w:p>
    <w:p w14:paraId="1E459EFB" w14:textId="77777777" w:rsidR="005E0DAB" w:rsidRDefault="005E0DAB" w:rsidP="00552DC1">
      <w:pPr>
        <w:pStyle w:val="F9-Paragraph"/>
        <w:numPr>
          <w:ilvl w:val="0"/>
          <w:numId w:val="39"/>
        </w:numPr>
        <w:rPr>
          <w:u w:val="single"/>
        </w:rPr>
        <w:sectPr w:rsidR="005E0DAB" w:rsidSect="000B2BCD">
          <w:pgSz w:w="11906" w:h="16838" w:code="9"/>
          <w:pgMar w:top="1440" w:right="1440" w:bottom="1440" w:left="1440" w:header="397" w:footer="397" w:gutter="0"/>
          <w:cols w:space="312"/>
          <w:docGrid w:linePitch="360"/>
        </w:sectPr>
      </w:pPr>
    </w:p>
    <w:p w14:paraId="17603DEA" w14:textId="397ABA33" w:rsidR="00862E42" w:rsidRDefault="00862E42" w:rsidP="00552DC1">
      <w:pPr>
        <w:pStyle w:val="F9-Paragraph"/>
        <w:numPr>
          <w:ilvl w:val="0"/>
          <w:numId w:val="39"/>
        </w:numPr>
      </w:pPr>
      <w:r w:rsidRPr="00552DC1">
        <w:rPr>
          <w:u w:val="single"/>
        </w:rPr>
        <w:lastRenderedPageBreak/>
        <w:t>Interaction</w:t>
      </w:r>
      <w:r>
        <w:t>: This concerns multiple fissile units, each of which is subcritical in isolation. The combined system may be critical due to the interaction between the units, i.e. the transfer of neutrons between the units. In cases where interaction effects may be important, safety measures should be put in place to ensure criticality safety. Such measures may take the form of spacers to constrain the separation of the units, or absorbing material placed between the units;</w:t>
      </w:r>
    </w:p>
    <w:p w14:paraId="4438EE87" w14:textId="19A91441" w:rsidR="00862E42" w:rsidRDefault="00862E42" w:rsidP="00552DC1">
      <w:pPr>
        <w:pStyle w:val="F9-Paragraph"/>
        <w:numPr>
          <w:ilvl w:val="0"/>
          <w:numId w:val="39"/>
        </w:numPr>
      </w:pPr>
      <w:r w:rsidRPr="00552DC1">
        <w:rPr>
          <w:u w:val="single"/>
        </w:rPr>
        <w:t>Homogeneity/</w:t>
      </w:r>
      <w:r w:rsidR="00552DC1">
        <w:rPr>
          <w:u w:val="single"/>
        </w:rPr>
        <w:t>H</w:t>
      </w:r>
      <w:r w:rsidRPr="00552DC1">
        <w:rPr>
          <w:u w:val="single"/>
        </w:rPr>
        <w:t>eterogeneity</w:t>
      </w:r>
      <w:r>
        <w:t xml:space="preserve">: Care must be taken when making assumptions regarding homogeneity or heterogeneity of systems. Factors such as isotopic composition, concentration, particle size and geometry will affect whether critical parameters are greater for homogeneous or heterogeneous systems. For example, the dominance of heterogeneity effects are commonly pronounced when considering minimum critical masses for moderated systems containing a small proportion of fissile material (e.g. U-235 or Pu-239) embedded in fissionable material (e.g. U-238), such as low enriched uranium and MOX fuel rods, pellets and powders. However, the dominance of heterogeneity effects is also observed in minimum critical dimensions of systems with a higher fissile content </w:t>
      </w:r>
      <w:sdt>
        <w:sdtPr>
          <w:id w:val="-772633456"/>
          <w:citation/>
        </w:sdtPr>
        <w:sdtEndPr/>
        <w:sdtContent>
          <w:r w:rsidR="00C66C1C">
            <w:fldChar w:fldCharType="begin"/>
          </w:r>
          <w:r w:rsidR="00C66C1C">
            <w:instrText xml:space="preserve"> CITATION LA_10860_MS \l 2057  \m ICNC2011_DDW</w:instrText>
          </w:r>
          <w:r w:rsidR="00C66C1C">
            <w:fldChar w:fldCharType="separate"/>
          </w:r>
          <w:r w:rsidR="006B2EEA">
            <w:rPr>
              <w:noProof/>
            </w:rPr>
            <w:t>[11, 12]</w:t>
          </w:r>
          <w:r w:rsidR="00C66C1C">
            <w:fldChar w:fldCharType="end"/>
          </w:r>
        </w:sdtContent>
      </w:sdt>
      <w:r>
        <w:t>. Heterogeneity effects may also be a concern for neutron absorbers because neutron self-shielding in lumps of absorber can reduce the overall effectiveness. The size of the effect may not be immediately obvious, even to experienced specialists. Careful consideration must be given to ensure that heterogeneity has been properly considered;</w:t>
      </w:r>
    </w:p>
    <w:p w14:paraId="3B49AB45" w14:textId="67D44598" w:rsidR="00862E42" w:rsidRDefault="00862E42" w:rsidP="00552DC1">
      <w:pPr>
        <w:pStyle w:val="F9-Paragraph"/>
        <w:numPr>
          <w:ilvl w:val="0"/>
          <w:numId w:val="39"/>
        </w:numPr>
      </w:pPr>
      <w:r w:rsidRPr="00552DC1">
        <w:rPr>
          <w:u w:val="single"/>
        </w:rPr>
        <w:t>Volume</w:t>
      </w:r>
      <w:r>
        <w:t xml:space="preserve">: Criticality safety can be achieved by restricting the volume of fissile material to below the minimum critical volume appropriate to the process conditions. Volume of moderator within a process may also be controlled, commonly in conjunction with restrictions on fissile mass. For a fixed volume, the most reactive state may at a different concentration from the optimum used to derive the unconstrained minimum safe mass. Consideration must be given to fault sequences which could increase the neutron multiplication of a system, e.g. the introduction of additional liquid (fissile or non-fissile), dilution, concentration (through evaporation or precipitation and colloid formation). In some cases volume may be restricted by geometry and accountancy for number of containers. Robust safety measures must be put in place to prevent the accumulation of an unsafe volume; and </w:t>
      </w:r>
    </w:p>
    <w:p w14:paraId="52E2498E" w14:textId="365F8EA7" w:rsidR="00862E42" w:rsidRDefault="00862E42" w:rsidP="00552DC1">
      <w:pPr>
        <w:pStyle w:val="F9-Paragraph"/>
        <w:numPr>
          <w:ilvl w:val="0"/>
          <w:numId w:val="39"/>
        </w:numPr>
      </w:pPr>
      <w:r w:rsidRPr="00552DC1">
        <w:rPr>
          <w:u w:val="single"/>
        </w:rPr>
        <w:t>Temperature</w:t>
      </w:r>
      <w:r>
        <w:t xml:space="preserve">: Standard reactor physics theory shows that temperature variations could affect criticality safety margins. The neutron multiplication factor of a system may increase or decrease significantly with temperature depending on competing parameters </w:t>
      </w:r>
      <w:sdt>
        <w:sdtPr>
          <w:id w:val="1701200610"/>
          <w:citation/>
        </w:sdtPr>
        <w:sdtEndPr/>
        <w:sdtContent>
          <w:r w:rsidR="004B17F6">
            <w:fldChar w:fldCharType="begin"/>
          </w:r>
          <w:r w:rsidR="004B17F6">
            <w:instrText xml:space="preserve"> CITATION ONR_LowTemp_RR \l 2057 </w:instrText>
          </w:r>
          <w:r w:rsidR="004B17F6">
            <w:fldChar w:fldCharType="separate"/>
          </w:r>
          <w:r w:rsidR="006B2EEA">
            <w:rPr>
              <w:noProof/>
            </w:rPr>
            <w:t>[13]</w:t>
          </w:r>
          <w:r w:rsidR="004B17F6">
            <w:fldChar w:fldCharType="end"/>
          </w:r>
        </w:sdtContent>
      </w:sdt>
      <w:r>
        <w:t xml:space="preserve">; therefore, inferences drawn from one fissile system may not apply to another. Consideration must be given to the effect of temperature changes on the reactivity of the particular system in question. </w:t>
      </w:r>
    </w:p>
    <w:p w14:paraId="65639E96" w14:textId="1CDCF2DE" w:rsidR="00862E42" w:rsidRDefault="00862E42" w:rsidP="00006C3B">
      <w:pPr>
        <w:pStyle w:val="F9-Paragraph"/>
      </w:pPr>
      <w:r>
        <w:lastRenderedPageBreak/>
        <w:t xml:space="preserve">The interaction between these different factors can be complex in some systems. Inspectors should also have an awareness of the common ‘anomalies’ of criticality which can affect the parameters above </w:t>
      </w:r>
      <w:sdt>
        <w:sdtPr>
          <w:id w:val="552041817"/>
          <w:citation/>
        </w:sdtPr>
        <w:sdtEndPr/>
        <w:sdtContent>
          <w:r w:rsidR="00C35166">
            <w:fldChar w:fldCharType="begin"/>
          </w:r>
          <w:r w:rsidR="00BC04D4">
            <w:instrText xml:space="preserve">CITATION PNNL_19176_Anomalies \l 2057 </w:instrText>
          </w:r>
          <w:r w:rsidR="00C35166">
            <w:fldChar w:fldCharType="separate"/>
          </w:r>
          <w:r w:rsidR="006B2EEA">
            <w:rPr>
              <w:noProof/>
            </w:rPr>
            <w:t>[14]</w:t>
          </w:r>
          <w:r w:rsidR="00C35166">
            <w:fldChar w:fldCharType="end"/>
          </w:r>
        </w:sdtContent>
      </w:sdt>
      <w:r>
        <w:t>.</w:t>
      </w:r>
    </w:p>
    <w:p w14:paraId="00ED47D3" w14:textId="224A1713" w:rsidR="003C268B" w:rsidRPr="00DC117A" w:rsidRDefault="003C268B" w:rsidP="00DC117A">
      <w:pPr>
        <w:pStyle w:val="F9-Paragraph"/>
        <w:numPr>
          <w:ilvl w:val="0"/>
          <w:numId w:val="0"/>
        </w:numPr>
        <w:ind w:left="851"/>
        <w:rPr>
          <w:b/>
          <w:bCs/>
        </w:rPr>
      </w:pPr>
      <w:r w:rsidRPr="00DC117A">
        <w:rPr>
          <w:b/>
          <w:bCs/>
        </w:rPr>
        <w:t>Paragraph 57</w:t>
      </w:r>
      <w:r w:rsidR="00DC117A" w:rsidRPr="00DC117A">
        <w:rPr>
          <w:b/>
          <w:bCs/>
        </w:rPr>
        <w:t>3</w:t>
      </w:r>
    </w:p>
    <w:p w14:paraId="0825F51A" w14:textId="0034645C" w:rsidR="00DC117A" w:rsidRDefault="00493A86" w:rsidP="00F06F8D">
      <w:pPr>
        <w:pStyle w:val="F9-Paragraph"/>
      </w:pPr>
      <w:r>
        <w:t xml:space="preserve">The consequences of some criticality incidents, e.g. Tokai Mura in Japan in 1999, could have been reduced if there had been an effective means of terminating the incident rapidly. Hence, the licensee should give prior consideration to the provision of systems that can reduce the neutron multiplication of a critical system to a subcritical level whilst ensuring dose to workers is ALARP. An example of this might be a system that injects a neutron absorber such as boron into a critical solution, or can safely modify conditions in the facility from a safe location such as a shielded control room. Where a criticality accident cannot be fully engineered out, it may be appropriate to consider the provision of additional engineered hardware to facilitate termination at the design stage. Such equipment might be linked to the criticality warning system. Further guidance on Criticality Warning Systems is given in </w:t>
      </w:r>
      <w:sdt>
        <w:sdtPr>
          <w:id w:val="1311056904"/>
          <w:citation/>
        </w:sdtPr>
        <w:sdtEndPr/>
        <w:sdtContent>
          <w:r w:rsidR="00D07CA1">
            <w:fldChar w:fldCharType="begin"/>
          </w:r>
          <w:r w:rsidR="00D07CA1">
            <w:instrText xml:space="preserve"> CITATION NS_TAST_GD_018 \l 2057 </w:instrText>
          </w:r>
          <w:r w:rsidR="00D07CA1">
            <w:fldChar w:fldCharType="separate"/>
          </w:r>
          <w:r w:rsidR="006B2EEA">
            <w:rPr>
              <w:noProof/>
            </w:rPr>
            <w:t>[15]</w:t>
          </w:r>
          <w:r w:rsidR="00D07CA1">
            <w:fldChar w:fldCharType="end"/>
          </w:r>
        </w:sdtContent>
      </w:sdt>
      <w:r>
        <w:t>.</w:t>
      </w:r>
    </w:p>
    <w:p w14:paraId="7D9456FC" w14:textId="00A4C04A" w:rsidR="00414D40" w:rsidRPr="00414D40" w:rsidRDefault="00414D40" w:rsidP="00414D40">
      <w:pPr>
        <w:pStyle w:val="F9-Paragraph"/>
        <w:numPr>
          <w:ilvl w:val="0"/>
          <w:numId w:val="0"/>
        </w:numPr>
        <w:ind w:left="851"/>
        <w:rPr>
          <w:b/>
          <w:bCs/>
        </w:rPr>
      </w:pPr>
      <w:r w:rsidRPr="00414D40">
        <w:rPr>
          <w:b/>
          <w:bCs/>
        </w:rPr>
        <w:t>Principle ECR.2</w:t>
      </w:r>
    </w:p>
    <w:p w14:paraId="5FFDA443" w14:textId="626A07DB" w:rsidR="00414D40" w:rsidRDefault="003D0057" w:rsidP="00586846">
      <w:pPr>
        <w:pStyle w:val="F9-Paragraph"/>
      </w:pPr>
      <w:r>
        <w:t xml:space="preserve">The Double Contingency Approach (DCA) is well established in both UK and international standards </w:t>
      </w:r>
      <w:sdt>
        <w:sdtPr>
          <w:id w:val="-634797175"/>
          <w:citation/>
        </w:sdtPr>
        <w:sdtEndPr/>
        <w:sdtContent>
          <w:r w:rsidR="00156B04">
            <w:fldChar w:fldCharType="begin"/>
          </w:r>
          <w:r w:rsidR="00156B04">
            <w:instrText xml:space="preserve"> CITATION ONR_SAPs \l 2057  \m ISO_1709</w:instrText>
          </w:r>
          <w:r w:rsidR="00156B04">
            <w:fldChar w:fldCharType="separate"/>
          </w:r>
          <w:r w:rsidR="006B2EEA">
            <w:rPr>
              <w:noProof/>
            </w:rPr>
            <w:t>[1, 16]</w:t>
          </w:r>
          <w:r w:rsidR="00156B04">
            <w:fldChar w:fldCharType="end"/>
          </w:r>
        </w:sdtContent>
      </w:sdt>
      <w:r>
        <w:t xml:space="preserve"> (where the approach is also referred to as the Double Contingency Principle (DCP)). It represents a very important element in the demonstration of defence in depth and reinforces Key Engineering Principles EKP.1 to EKP.5 </w:t>
      </w:r>
      <w:sdt>
        <w:sdtPr>
          <w:id w:val="1544709503"/>
          <w:citation/>
        </w:sdtPr>
        <w:sdtEndPr/>
        <w:sdtContent>
          <w:r w:rsidR="00156B04">
            <w:fldChar w:fldCharType="begin"/>
          </w:r>
          <w:r w:rsidR="00156B04">
            <w:instrText xml:space="preserve"> CITATION ONR_SAPs \l 2057 </w:instrText>
          </w:r>
          <w:r w:rsidR="00156B04">
            <w:fldChar w:fldCharType="separate"/>
          </w:r>
          <w:r w:rsidR="006B2EEA">
            <w:rPr>
              <w:noProof/>
            </w:rPr>
            <w:t>[1]</w:t>
          </w:r>
          <w:r w:rsidR="00156B04">
            <w:fldChar w:fldCharType="end"/>
          </w:r>
        </w:sdtContent>
      </w:sdt>
      <w:r>
        <w:t xml:space="preserve">. ONR expects licensees to provide a clear demonstration of compliance where practicable. See </w:t>
      </w:r>
      <w:r w:rsidR="00327B53">
        <w:t>p</w:t>
      </w:r>
      <w:r>
        <w:t>aragraph</w:t>
      </w:r>
      <w:r w:rsidR="00056744">
        <w:t xml:space="preserve"> </w:t>
      </w:r>
      <w:r w:rsidR="00056744">
        <w:fldChar w:fldCharType="begin"/>
      </w:r>
      <w:r w:rsidR="00056744">
        <w:instrText xml:space="preserve"> REF _Ref150255035 \r \h </w:instrText>
      </w:r>
      <w:r w:rsidR="00056744">
        <w:fldChar w:fldCharType="separate"/>
      </w:r>
      <w:r w:rsidR="00056744">
        <w:rPr>
          <w:cs/>
        </w:rPr>
        <w:t>‎</w:t>
      </w:r>
      <w:r w:rsidR="00056744">
        <w:t>36</w:t>
      </w:r>
      <w:r w:rsidR="00056744">
        <w:fldChar w:fldCharType="end"/>
      </w:r>
      <w:r w:rsidR="00056744">
        <w:t xml:space="preserve"> below</w:t>
      </w:r>
      <w:r>
        <w:t xml:space="preserve"> for further explanation.</w:t>
      </w:r>
    </w:p>
    <w:p w14:paraId="07D6897E" w14:textId="5D15AA7D" w:rsidR="004B0617" w:rsidRPr="004B0617" w:rsidRDefault="004B0617" w:rsidP="004B0617">
      <w:pPr>
        <w:pStyle w:val="F9-Paragraph"/>
        <w:numPr>
          <w:ilvl w:val="0"/>
          <w:numId w:val="0"/>
        </w:numPr>
        <w:ind w:left="851"/>
        <w:rPr>
          <w:b/>
          <w:bCs/>
        </w:rPr>
      </w:pPr>
      <w:r w:rsidRPr="004B0617">
        <w:rPr>
          <w:b/>
          <w:bCs/>
        </w:rPr>
        <w:t>Paragraph 574</w:t>
      </w:r>
    </w:p>
    <w:p w14:paraId="61DCDD36" w14:textId="3F6925A4" w:rsidR="00D11028" w:rsidRDefault="00D11028" w:rsidP="00A34144">
      <w:pPr>
        <w:pStyle w:val="F9-Paragraph"/>
      </w:pPr>
      <w:bookmarkStart w:id="6" w:name="_Ref150255570"/>
      <w:r>
        <w:t>As mentioned above, DCA is well established in both UK and international standards and has been used successfully for many years. The Fault Analysis SAPs call for Design Basis Analysis (DBA)</w:t>
      </w:r>
      <w:r w:rsidR="00EB6CDE">
        <w:t xml:space="preserve"> as required </w:t>
      </w:r>
      <w:r>
        <w:t>and suitable and sufficient Probabilistic Safety Analysis (PSA) to be carried out for all credible initiating events, which includes those faults which could potentially result in a criticality accident. The purpose of this section is to explain how the DCA and DBA should be applied for criticality faults where reasonably practicable.</w:t>
      </w:r>
      <w:bookmarkEnd w:id="6"/>
      <w:r>
        <w:t xml:space="preserve"> </w:t>
      </w:r>
    </w:p>
    <w:p w14:paraId="157C9617" w14:textId="06326DC5" w:rsidR="00D11028" w:rsidRDefault="00D11028" w:rsidP="006E3E99">
      <w:pPr>
        <w:pStyle w:val="F9-Paragraph"/>
      </w:pPr>
      <w:r>
        <w:t xml:space="preserve">In general, there may be several initiating events that can lead to each contingency. For example, flooding may result from several initiators, e.g. operator error, pipe or vessel failure, firefighting, or extreme weather. </w:t>
      </w:r>
    </w:p>
    <w:p w14:paraId="58B40638" w14:textId="0E490181" w:rsidR="00D11028" w:rsidRDefault="00D11028" w:rsidP="00FE38C6">
      <w:pPr>
        <w:pStyle w:val="F9-Paragraph"/>
      </w:pPr>
      <w:r>
        <w:t xml:space="preserve">Based on the initiating event frequency and unmitigated consequences, DBA should be used to ensure suitable and sufficient safety measures are in place to provide robust protection against the contingency. </w:t>
      </w:r>
    </w:p>
    <w:p w14:paraId="3B4209C9" w14:textId="77777777" w:rsidR="005E0DAB" w:rsidRDefault="005E0DAB" w:rsidP="00F228BD">
      <w:pPr>
        <w:pStyle w:val="F9-Paragraph"/>
        <w:sectPr w:rsidR="005E0DAB" w:rsidSect="000B2BCD">
          <w:pgSz w:w="11906" w:h="16838" w:code="9"/>
          <w:pgMar w:top="1440" w:right="1440" w:bottom="1440" w:left="1440" w:header="397" w:footer="397" w:gutter="0"/>
          <w:cols w:space="312"/>
          <w:docGrid w:linePitch="360"/>
        </w:sectPr>
      </w:pPr>
      <w:bookmarkStart w:id="7" w:name="_Ref150255035"/>
    </w:p>
    <w:p w14:paraId="2F9AD778" w14:textId="346BFCBD" w:rsidR="00D11028" w:rsidRDefault="00D11028" w:rsidP="00F228BD">
      <w:pPr>
        <w:pStyle w:val="F9-Paragraph"/>
      </w:pPr>
      <w:r>
        <w:lastRenderedPageBreak/>
        <w:t>In addition, there may be several contingencies that could result in a criticality incident, e.g. flooding, over batching, increased reflection, or loss of absorber. It should be shown that for a criticality to occur at least two contingencies must occur concurrently where each contingency is unlikely and independent, i.e. is such that one contingency cannot cause another or both initiate from a common event. This does not necessarily imply that the changes are simultaneous; the first condition change may need to persist until the second change occurs, e.g. flooding following an unrevealed over</w:t>
      </w:r>
      <w:r w:rsidR="00F36C5F">
        <w:t xml:space="preserve"> </w:t>
      </w:r>
      <w:r>
        <w:t xml:space="preserve">batching, in order to present a criticality hazard. Care is required when defining contingencies that could be unrevealed for a long time period (e.g. double batching a container within a long-term store). It should then be shown that at least two unlikely, independent and concurrent contingencies are required to result in a criticality incident. Additionally, frequent operations (e.g. fissile material movement) may require several safety measures to ensure that a contingency limit is regarded as unlikely. Though risk targets may be considered separately from the double contingency approach, it is generally considered that contingencies are not unlikely if they could be foreseen to occur more than once in a plant lifetime (50 years </w:t>
      </w:r>
      <w:sdt>
        <w:sdtPr>
          <w:id w:val="590589198"/>
          <w:citation/>
        </w:sdtPr>
        <w:sdtEndPr/>
        <w:sdtContent>
          <w:r w:rsidR="009F2E4D">
            <w:fldChar w:fldCharType="begin"/>
          </w:r>
          <w:r w:rsidR="009F2E4D">
            <w:instrText xml:space="preserve"> CITATION NUREG_1520 \l 2057 </w:instrText>
          </w:r>
          <w:r w:rsidR="009F2E4D">
            <w:fldChar w:fldCharType="separate"/>
          </w:r>
          <w:r w:rsidR="006B2EEA">
            <w:rPr>
              <w:noProof/>
            </w:rPr>
            <w:t>[17]</w:t>
          </w:r>
          <w:r w:rsidR="009F2E4D">
            <w:fldChar w:fldCharType="end"/>
          </w:r>
        </w:sdtContent>
      </w:sdt>
      <w:r>
        <w:t>).</w:t>
      </w:r>
      <w:bookmarkEnd w:id="7"/>
      <w:r>
        <w:t xml:space="preserve"> </w:t>
      </w:r>
    </w:p>
    <w:p w14:paraId="4E0AB839" w14:textId="1943F008" w:rsidR="00D11028" w:rsidRDefault="00D11028" w:rsidP="00022359">
      <w:pPr>
        <w:pStyle w:val="F9-Paragraph"/>
      </w:pPr>
      <w:r>
        <w:t xml:space="preserve">In assessing a licensee’s arrangements, ONR inspectors should look for DCA, DBA and PSA to be used in a complementary manner in order to demonstrate robust defence in depth in the protective measures identified, that the relevant risk targets have been met, and to support a justification that overall health and safety risks are being managed to ALARP. </w:t>
      </w:r>
    </w:p>
    <w:p w14:paraId="04291593" w14:textId="62548F9B" w:rsidR="00D11028" w:rsidRDefault="00D11028" w:rsidP="00463255">
      <w:pPr>
        <w:pStyle w:val="F9-Paragraph"/>
      </w:pPr>
      <w:r>
        <w:t>It is recognised that it may not be reasonably practicable to apply a particular approach in all situations. Such situations will be considered on a case-by-case basis by ONR inspectors, without prejudice for a particular approach, in order to come to a judgement on whether the licensee has included all safety measures that are reasonably practicable, and that overall health and safety risks have been demonstrated to be reduced to ALARP</w:t>
      </w:r>
      <w:r w:rsidR="005B0EF8">
        <w:t xml:space="preserve"> </w:t>
      </w:r>
      <w:sdt>
        <w:sdtPr>
          <w:id w:val="436716576"/>
          <w:citation/>
        </w:sdtPr>
        <w:sdtEndPr/>
        <w:sdtContent>
          <w:r w:rsidR="005B0EF8">
            <w:fldChar w:fldCharType="begin"/>
          </w:r>
          <w:r w:rsidR="005B0EF8">
            <w:instrText xml:space="preserve"> CITATION ICNC2015_ONR_DCP \l 2057  \m WPC_P267</w:instrText>
          </w:r>
          <w:r w:rsidR="005B0EF8">
            <w:fldChar w:fldCharType="separate"/>
          </w:r>
          <w:r w:rsidR="006B2EEA">
            <w:rPr>
              <w:noProof/>
            </w:rPr>
            <w:t>[18, 19]</w:t>
          </w:r>
          <w:r w:rsidR="005B0EF8">
            <w:fldChar w:fldCharType="end"/>
          </w:r>
        </w:sdtContent>
      </w:sdt>
      <w:r>
        <w:t>.</w:t>
      </w:r>
    </w:p>
    <w:p w14:paraId="31E5005D" w14:textId="5E2F06FB" w:rsidR="005B0EF8" w:rsidRPr="005B0EF8" w:rsidRDefault="005B0EF8" w:rsidP="005B0EF8">
      <w:pPr>
        <w:pStyle w:val="F9-Paragraph"/>
        <w:numPr>
          <w:ilvl w:val="0"/>
          <w:numId w:val="0"/>
        </w:numPr>
        <w:ind w:left="851"/>
        <w:rPr>
          <w:b/>
          <w:bCs/>
        </w:rPr>
      </w:pPr>
      <w:r w:rsidRPr="005B0EF8">
        <w:rPr>
          <w:b/>
          <w:bCs/>
        </w:rPr>
        <w:t>Paragraph 575</w:t>
      </w:r>
    </w:p>
    <w:p w14:paraId="1F104139" w14:textId="4B6B5752" w:rsidR="005B0EF8" w:rsidRDefault="001B15A0" w:rsidP="005F2750">
      <w:pPr>
        <w:pStyle w:val="F9-Paragraph"/>
      </w:pPr>
      <w:r>
        <w:t>The balancing of risks is appropriate to all assessments. For example, traditional deterministic criticality assessments can lead to very conservative limits for fissile materials in waste packages, which may in turn lead to generation of a larger number of packages for onward storage/disposal, and/or operational dose uptake associated with handling. In these cases, a risk-based approach should be considered. This should balance the risks from unplanned criticality against other factors</w:t>
      </w:r>
      <w:r w:rsidR="0091797C">
        <w:t xml:space="preserve"> </w:t>
      </w:r>
      <w:sdt>
        <w:sdtPr>
          <w:id w:val="-643814097"/>
          <w:citation/>
        </w:sdtPr>
        <w:sdtEndPr/>
        <w:sdtContent>
          <w:r w:rsidR="0091797C">
            <w:fldChar w:fldCharType="begin"/>
          </w:r>
          <w:r w:rsidR="0091797C">
            <w:instrText xml:space="preserve"> CITATION ISO_22946 \l 2057 </w:instrText>
          </w:r>
          <w:r w:rsidR="0091797C">
            <w:fldChar w:fldCharType="separate"/>
          </w:r>
          <w:r w:rsidR="006B2EEA">
            <w:rPr>
              <w:noProof/>
            </w:rPr>
            <w:t>[20]</w:t>
          </w:r>
          <w:r w:rsidR="0091797C">
            <w:fldChar w:fldCharType="end"/>
          </w:r>
        </w:sdtContent>
      </w:sdt>
      <w:r>
        <w:t>.</w:t>
      </w:r>
    </w:p>
    <w:p w14:paraId="1502777E" w14:textId="2964E200" w:rsidR="001B15A0" w:rsidRPr="0010134F" w:rsidRDefault="0010134F" w:rsidP="0010134F">
      <w:pPr>
        <w:pStyle w:val="F9-Paragraph"/>
        <w:numPr>
          <w:ilvl w:val="0"/>
          <w:numId w:val="0"/>
        </w:numPr>
        <w:ind w:left="851"/>
        <w:rPr>
          <w:b/>
          <w:bCs/>
        </w:rPr>
      </w:pPr>
      <w:r w:rsidRPr="0010134F">
        <w:rPr>
          <w:b/>
          <w:bCs/>
        </w:rPr>
        <w:t xml:space="preserve">WENRA Reference Levels and IAEA </w:t>
      </w:r>
      <w:r w:rsidR="00B63DFA">
        <w:rPr>
          <w:b/>
          <w:bCs/>
        </w:rPr>
        <w:t xml:space="preserve">Safety </w:t>
      </w:r>
      <w:r w:rsidRPr="0010134F">
        <w:rPr>
          <w:b/>
          <w:bCs/>
        </w:rPr>
        <w:t>Standards</w:t>
      </w:r>
    </w:p>
    <w:p w14:paraId="27678798" w14:textId="3541F789" w:rsidR="008C038F" w:rsidRDefault="008C038F" w:rsidP="00E3418F">
      <w:pPr>
        <w:pStyle w:val="F9-Paragraph"/>
      </w:pPr>
      <w:r>
        <w:t xml:space="preserve">Part of the specification for the update of the Safety Assessment Principles was to consider the Reactor, Decommissioning and Storage Safety Reference Levels published by the Western European Nuclear Regulators’ Association (WENRA); and IAEA Standards, Guidance and Documents. The update of this Technical Assessment Guide also considers the WENRA and IAEA publications for specific applicability. </w:t>
      </w:r>
    </w:p>
    <w:p w14:paraId="49C9919C" w14:textId="5763AB7D" w:rsidR="008C038F" w:rsidRDefault="008C038F" w:rsidP="008C038F">
      <w:pPr>
        <w:pStyle w:val="F9-Paragraph"/>
      </w:pPr>
      <w:r>
        <w:lastRenderedPageBreak/>
        <w:t xml:space="preserve">There are no WENRA reference levels referring explicitly to criticality safety </w:t>
      </w:r>
      <w:sdt>
        <w:sdtPr>
          <w:id w:val="-542984307"/>
          <w:citation/>
        </w:sdtPr>
        <w:sdtEndPr/>
        <w:sdtContent>
          <w:r>
            <w:fldChar w:fldCharType="begin"/>
          </w:r>
          <w:r>
            <w:instrText xml:space="preserve"> CITATION WENRA_RRSLs \l 2057 </w:instrText>
          </w:r>
          <w:r>
            <w:fldChar w:fldCharType="separate"/>
          </w:r>
          <w:r w:rsidR="006B2EEA">
            <w:rPr>
              <w:noProof/>
            </w:rPr>
            <w:t>[3]</w:t>
          </w:r>
          <w:r>
            <w:fldChar w:fldCharType="end"/>
          </w:r>
        </w:sdtContent>
      </w:sdt>
      <w:r>
        <w:t xml:space="preserve">. </w:t>
      </w:r>
    </w:p>
    <w:p w14:paraId="422D142F" w14:textId="2B0350A5" w:rsidR="0010134F" w:rsidRDefault="008C038F" w:rsidP="008436A5">
      <w:pPr>
        <w:pStyle w:val="F9-Paragraph"/>
      </w:pPr>
      <w:r>
        <w:t xml:space="preserve">The need for safety measures to minimise the probability of unintended criticality is mentioned in many IAEA publications. </w:t>
      </w:r>
      <w:r w:rsidR="00CD17FB">
        <w:t>C</w:t>
      </w:r>
      <w:r>
        <w:t>riticality safety in handling of fissile material</w:t>
      </w:r>
      <w:r w:rsidR="00CD17FB">
        <w:t xml:space="preserve"> is specifically </w:t>
      </w:r>
      <w:r w:rsidR="006852BC">
        <w:t>addressed in</w:t>
      </w:r>
      <w:r w:rsidR="008069E2">
        <w:t xml:space="preserve"> </w:t>
      </w:r>
      <w:sdt>
        <w:sdtPr>
          <w:id w:val="-1121462429"/>
          <w:citation/>
        </w:sdtPr>
        <w:sdtEndPr/>
        <w:sdtContent>
          <w:r w:rsidR="008069E2">
            <w:fldChar w:fldCharType="begin"/>
          </w:r>
          <w:r w:rsidR="008069E2">
            <w:instrText xml:space="preserve"> CITATION SSG27_2022 \l 2057 </w:instrText>
          </w:r>
          <w:r w:rsidR="008069E2">
            <w:fldChar w:fldCharType="separate"/>
          </w:r>
          <w:r w:rsidR="006B2EEA">
            <w:rPr>
              <w:noProof/>
            </w:rPr>
            <w:t>[21]</w:t>
          </w:r>
          <w:r w:rsidR="008069E2">
            <w:fldChar w:fldCharType="end"/>
          </w:r>
        </w:sdtContent>
      </w:sdt>
      <w:r>
        <w:t>, but other IAEA publications contain further application</w:t>
      </w:r>
      <w:r w:rsidR="00CD17FB">
        <w:t>-</w:t>
      </w:r>
      <w:r>
        <w:t xml:space="preserve">specific guidance which includes criticality safety guidance (e.g. </w:t>
      </w:r>
      <w:sdt>
        <w:sdtPr>
          <w:id w:val="1070162980"/>
          <w:citation/>
        </w:sdtPr>
        <w:sdtEndPr/>
        <w:sdtContent>
          <w:r w:rsidR="0046443B">
            <w:fldChar w:fldCharType="begin"/>
          </w:r>
          <w:r w:rsidR="0046443B">
            <w:instrText xml:space="preserve"> CITATION SSG15_Rev1 \l 2057 </w:instrText>
          </w:r>
          <w:r w:rsidR="0046443B">
            <w:fldChar w:fldCharType="separate"/>
          </w:r>
          <w:r w:rsidR="006B2EEA">
            <w:rPr>
              <w:noProof/>
            </w:rPr>
            <w:t>[22]</w:t>
          </w:r>
          <w:r w:rsidR="0046443B">
            <w:fldChar w:fldCharType="end"/>
          </w:r>
        </w:sdtContent>
      </w:sdt>
      <w:r>
        <w:t>).</w:t>
      </w:r>
    </w:p>
    <w:p w14:paraId="477EFD0A" w14:textId="77777777" w:rsidR="005E0DAB" w:rsidRDefault="005E0DAB" w:rsidP="0046443B">
      <w:pPr>
        <w:pStyle w:val="Heading1"/>
        <w:spacing w:before="480"/>
        <w:sectPr w:rsidR="005E0DAB" w:rsidSect="000B2BCD">
          <w:pgSz w:w="11906" w:h="16838" w:code="9"/>
          <w:pgMar w:top="1440" w:right="1440" w:bottom="1440" w:left="1440" w:header="397" w:footer="397" w:gutter="0"/>
          <w:cols w:space="312"/>
          <w:docGrid w:linePitch="360"/>
        </w:sectPr>
      </w:pPr>
    </w:p>
    <w:p w14:paraId="5255232C" w14:textId="0B114371" w:rsidR="00F7687C" w:rsidRDefault="00F7687C" w:rsidP="0046443B">
      <w:pPr>
        <w:pStyle w:val="Heading1"/>
        <w:spacing w:before="480"/>
      </w:pPr>
      <w:bookmarkStart w:id="8" w:name="_Toc156293670"/>
      <w:r>
        <w:lastRenderedPageBreak/>
        <w:t>Advice to Inspectors</w:t>
      </w:r>
      <w:bookmarkEnd w:id="8"/>
    </w:p>
    <w:p w14:paraId="66695C6A" w14:textId="64FD158F" w:rsidR="00062448" w:rsidRPr="00062448" w:rsidRDefault="00062448" w:rsidP="00062448">
      <w:pPr>
        <w:pStyle w:val="F9-Paragraph"/>
        <w:numPr>
          <w:ilvl w:val="0"/>
          <w:numId w:val="0"/>
        </w:numPr>
        <w:ind w:left="851"/>
        <w:rPr>
          <w:b/>
          <w:bCs/>
        </w:rPr>
      </w:pPr>
      <w:r w:rsidRPr="00062448">
        <w:rPr>
          <w:b/>
          <w:bCs/>
        </w:rPr>
        <w:t>Introduction</w:t>
      </w:r>
    </w:p>
    <w:p w14:paraId="38E3246D" w14:textId="3DC4C9C3" w:rsidR="00D00100" w:rsidRDefault="00D00100" w:rsidP="00FF4BDF">
      <w:pPr>
        <w:pStyle w:val="F9-Paragraph"/>
      </w:pPr>
      <w:r>
        <w:t>The purpose of this guidance is to ensure that those in ONR who are assessing criticality safety cases, and who have a good working knowledge of the subject, are better placed to examine safety cases and to identify, in the context of our regulatory function, any possible weaknesses or safety issues of concern.</w:t>
      </w:r>
    </w:p>
    <w:p w14:paraId="111987DE" w14:textId="75287E64" w:rsidR="00D00100" w:rsidRDefault="00D00100" w:rsidP="006454BA">
      <w:pPr>
        <w:pStyle w:val="F9-Paragraph"/>
      </w:pPr>
      <w:r>
        <w:t xml:space="preserve">In carrying out a criticality assessment, ONR inspectors may wish to consult industry standard handbook data, such as </w:t>
      </w:r>
      <w:sdt>
        <w:sdtPr>
          <w:id w:val="1668900930"/>
          <w:citation/>
        </w:sdtPr>
        <w:sdtEndPr/>
        <w:sdtContent>
          <w:r w:rsidR="00CB2615">
            <w:fldChar w:fldCharType="begin"/>
          </w:r>
          <w:r w:rsidR="00921810">
            <w:instrText xml:space="preserve">CITATION LA_10860_MS \m LA_12808 \m AHSB \m ARH600 \m NTD_B0062 \m JAERI_Hbook \l 2057 </w:instrText>
          </w:r>
          <w:r w:rsidR="00CB2615">
            <w:fldChar w:fldCharType="separate"/>
          </w:r>
          <w:r w:rsidR="006B2EEA">
            <w:rPr>
              <w:noProof/>
            </w:rPr>
            <w:t>[11, 23, 24, 25, 26, 27]</w:t>
          </w:r>
          <w:r w:rsidR="00CB2615">
            <w:fldChar w:fldCharType="end"/>
          </w:r>
        </w:sdtContent>
      </w:sdt>
      <w:r>
        <w:t xml:space="preserve"> and </w:t>
      </w:r>
      <w:r w:rsidR="00A02BC4">
        <w:t xml:space="preserve"> current national and international standards, such as </w:t>
      </w:r>
      <w:sdt>
        <w:sdtPr>
          <w:id w:val="113022463"/>
          <w:citation/>
        </w:sdtPr>
        <w:sdtEndPr/>
        <w:sdtContent>
          <w:r w:rsidR="0053129A">
            <w:fldChar w:fldCharType="begin"/>
          </w:r>
          <w:r w:rsidR="0053129A">
            <w:instrText xml:space="preserve"> CITATION ISO_1709 \l 2057  \m ANS_8_1</w:instrText>
          </w:r>
          <w:r w:rsidR="0053129A">
            <w:fldChar w:fldCharType="separate"/>
          </w:r>
          <w:r w:rsidR="006B2EEA">
            <w:rPr>
              <w:noProof/>
            </w:rPr>
            <w:t>[16, 28]</w:t>
          </w:r>
          <w:r w:rsidR="0053129A">
            <w:fldChar w:fldCharType="end"/>
          </w:r>
        </w:sdtContent>
      </w:sdt>
      <w:r w:rsidR="00A02BC4">
        <w:t xml:space="preserve"> and</w:t>
      </w:r>
      <w:r w:rsidR="00BA0E60">
        <w:t xml:space="preserve"> </w:t>
      </w:r>
      <w:sdt>
        <w:sdtPr>
          <w:id w:val="1998458573"/>
          <w:citation/>
        </w:sdtPr>
        <w:sdtEndPr/>
        <w:sdtContent>
          <w:r w:rsidR="00670B8D">
            <w:fldChar w:fldCharType="begin"/>
          </w:r>
          <w:r w:rsidR="00670B8D">
            <w:instrText xml:space="preserve"> CITATION ANS_8_7 \l 2057  \m ANS_8_14 \m ANS_8_15</w:instrText>
          </w:r>
          <w:r w:rsidR="00345C1D">
            <w:instrText xml:space="preserve"> \m ISO_11311 \m ANS_8_19 \m ISO_14943 \m ANS_8_21</w:instrText>
          </w:r>
          <w:r w:rsidR="00E809C1">
            <w:instrText xml:space="preserve"> \m ANS_8_22</w:instrText>
          </w:r>
          <w:r w:rsidR="00670B8D">
            <w:fldChar w:fldCharType="separate"/>
          </w:r>
          <w:r w:rsidR="006B2EEA">
            <w:rPr>
              <w:noProof/>
            </w:rPr>
            <w:t>[29, 30, 31, 32, 33, 34, 35, 36]</w:t>
          </w:r>
          <w:r w:rsidR="00670B8D">
            <w:fldChar w:fldCharType="end"/>
          </w:r>
        </w:sdtContent>
      </w:sdt>
      <w:r>
        <w:t>. A further useful source of guidance for ONR inspectors is in published papers presented at international conferences and practitioner meetings; see</w:t>
      </w:r>
      <w:r w:rsidR="00A2209A">
        <w:t xml:space="preserve"> </w:t>
      </w:r>
      <w:sdt>
        <w:sdtPr>
          <w:id w:val="403577602"/>
          <w:citation/>
        </w:sdtPr>
        <w:sdtEndPr/>
        <w:sdtContent>
          <w:r w:rsidR="00A2209A">
            <w:fldChar w:fldCharType="begin"/>
          </w:r>
          <w:r w:rsidR="0078632B">
            <w:instrText xml:space="preserve">CITATION ICNC2011_ONR_ORs \m ICNC2015_ONR_DCP \m ICNC1991_HSETest \m ICNC_1995_DNS \m JRP_DNS \l 2057 </w:instrText>
          </w:r>
          <w:r w:rsidR="00A2209A">
            <w:fldChar w:fldCharType="separate"/>
          </w:r>
          <w:r w:rsidR="006B2EEA">
            <w:rPr>
              <w:noProof/>
            </w:rPr>
            <w:t>[8, 18, 37, 38, 39]</w:t>
          </w:r>
          <w:r w:rsidR="00A2209A">
            <w:fldChar w:fldCharType="end"/>
          </w:r>
        </w:sdtContent>
      </w:sdt>
      <w:r>
        <w:t>. For complicated systems, ONR inspectors may wish to commission a suitably qualified and experienced consultant to carry out independent and confirmatory criticality calculations or a complete review of the criticality safety case.</w:t>
      </w:r>
    </w:p>
    <w:p w14:paraId="4AC3C5E3" w14:textId="4F0D1420" w:rsidR="00D00100" w:rsidRDefault="00D00100" w:rsidP="00ED4A37">
      <w:pPr>
        <w:pStyle w:val="F9-Paragraph"/>
      </w:pPr>
      <w:r>
        <w:t xml:space="preserve">ONR assessors should also take into consideration the lessons that can be learned from past criticality incidents and near misses (e.g. </w:t>
      </w:r>
      <w:sdt>
        <w:sdtPr>
          <w:id w:val="976412240"/>
          <w:citation/>
        </w:sdtPr>
        <w:sdtEndPr/>
        <w:sdtContent>
          <w:r w:rsidR="00672103">
            <w:fldChar w:fldCharType="begin"/>
          </w:r>
          <w:r w:rsidR="00672103">
            <w:instrText xml:space="preserve"> CITATION LA_13638 \l 2057 </w:instrText>
          </w:r>
          <w:r w:rsidR="00672103">
            <w:fldChar w:fldCharType="separate"/>
          </w:r>
          <w:r w:rsidR="006B2EEA">
            <w:rPr>
              <w:noProof/>
            </w:rPr>
            <w:t>[40]</w:t>
          </w:r>
          <w:r w:rsidR="00672103">
            <w:fldChar w:fldCharType="end"/>
          </w:r>
        </w:sdtContent>
      </w:sdt>
      <w:r w:rsidR="001473D4">
        <w:t>)</w:t>
      </w:r>
      <w:r>
        <w:t>.</w:t>
      </w:r>
    </w:p>
    <w:p w14:paraId="2802AA21" w14:textId="2CF0DF2C" w:rsidR="00D00100" w:rsidRDefault="00D00100" w:rsidP="00756D72">
      <w:pPr>
        <w:pStyle w:val="F9-Paragraph"/>
      </w:pPr>
      <w:r>
        <w:t>Criticality safety is of particular importance on account of the very high levels of neutron and gamma radiation associated with criticality accidents. Individuals in the immediate vicinity of such an event may receive radiation doses that could result in severe deterministic effects, which will often be fatal. For this reason, an unplanned criticality can be a major hazard to the operator, particularly in nuclear chemical facilities where work on fissile material is often carried out in lightly shielded areas. Nuclear facilities that contain significant quantities of fissile material with respect to the minimum critical values should thus be designed and operated to provide adequate protection against the hazard from an unplanned criticality.</w:t>
      </w:r>
    </w:p>
    <w:p w14:paraId="5DC68361" w14:textId="6483F38F" w:rsidR="00062448" w:rsidRDefault="00D00100" w:rsidP="00C569C9">
      <w:pPr>
        <w:pStyle w:val="F9-Paragraph"/>
      </w:pPr>
      <w:r>
        <w:t>For processes entirely contained within suitably shielded cells or cooling ponds, the risk of an unplanned criticality event occurring should be reduced such that it is as low as reasonably practicable. The immediate consequences of such an event may be small in radiological terms, but would indicate a significant loss of process or management control, would be contrary to the objective of minimising the generation of radioactive waste, and have significant consequential impact on the nuclear industry worldwide as has been seen from previous criticality accidents.</w:t>
      </w:r>
    </w:p>
    <w:p w14:paraId="258BDCAE" w14:textId="33397824" w:rsidR="00B21D0A" w:rsidRDefault="00B21D0A" w:rsidP="0024610B">
      <w:pPr>
        <w:pStyle w:val="F9-Paragraph"/>
      </w:pPr>
      <w:r>
        <w:t>The primary means of reducing risk should be reducing the frequency of criticality and the inspector should seek demonstration that all reasonably practicable measures have been considered.</w:t>
      </w:r>
    </w:p>
    <w:p w14:paraId="3D216526" w14:textId="77777777" w:rsidR="005E0DAB" w:rsidRDefault="005E0DAB" w:rsidP="0005115C">
      <w:pPr>
        <w:pStyle w:val="F9-Paragraph"/>
        <w:sectPr w:rsidR="005E0DAB" w:rsidSect="000B2BCD">
          <w:pgSz w:w="11906" w:h="16838" w:code="9"/>
          <w:pgMar w:top="1440" w:right="1440" w:bottom="1440" w:left="1440" w:header="397" w:footer="397" w:gutter="0"/>
          <w:cols w:space="312"/>
          <w:docGrid w:linePitch="360"/>
        </w:sectPr>
      </w:pPr>
    </w:p>
    <w:p w14:paraId="38A3E8F1" w14:textId="03DB700D" w:rsidR="0062032B" w:rsidRDefault="00B21D0A" w:rsidP="0005115C">
      <w:pPr>
        <w:pStyle w:val="F9-Paragraph"/>
      </w:pPr>
      <w:r>
        <w:lastRenderedPageBreak/>
        <w:t>If additional dose reduction factors have been claimed in the risk analysis (e.g.</w:t>
      </w:r>
      <w:r w:rsidR="00A87430">
        <w:t xml:space="preserve"> </w:t>
      </w:r>
      <w:r>
        <w:t>presence of shielding), their safety function should be recognised in line with defence</w:t>
      </w:r>
      <w:r w:rsidR="00A87430">
        <w:t>-</w:t>
      </w:r>
      <w:r>
        <w:t>in-depth principles.</w:t>
      </w:r>
      <w:r w:rsidR="00A87430">
        <w:t xml:space="preserve"> </w:t>
      </w:r>
      <w:r>
        <w:t>It should be demonstrated that claimed shielding remains effective under the relevant fault conditions, i.e. the shielding safety function is substantiated against the initiating event, fault sequence or the criticality excursion itself if this is sufficiently energetic. Consideration should also be given to weaknesses in shielding (e.g. instrument penetrations) or arrangements for temporary access to the area. Shielding considerations should account for neutron and gamma dose components in areas where gamma dose may normally dominate. Secondary effects of an uncontrolled criticality event should also be considered (e.g. fuel clad failure, containment breach, steam generation) and the associated radiological impact adequately considered in evaluating the overall risk. Appropriate emergency arrangements should be in place to ensure that such an event can be adequately managed, including any required provision for termination.</w:t>
      </w:r>
    </w:p>
    <w:p w14:paraId="365EA4AE" w14:textId="4691DAD9" w:rsidR="008574CC" w:rsidRPr="008574CC" w:rsidRDefault="008574CC" w:rsidP="008574CC">
      <w:pPr>
        <w:pStyle w:val="F9-Paragraph"/>
        <w:numPr>
          <w:ilvl w:val="0"/>
          <w:numId w:val="0"/>
        </w:numPr>
        <w:ind w:left="851"/>
        <w:rPr>
          <w:b/>
          <w:bCs/>
        </w:rPr>
      </w:pPr>
      <w:r w:rsidRPr="008574CC">
        <w:rPr>
          <w:b/>
          <w:bCs/>
        </w:rPr>
        <w:t>Operating Rules</w:t>
      </w:r>
    </w:p>
    <w:p w14:paraId="75E881EE" w14:textId="290AF41A" w:rsidR="00BB6C63" w:rsidRDefault="00BB6C63" w:rsidP="002D219D">
      <w:pPr>
        <w:pStyle w:val="F9-Paragraph"/>
      </w:pPr>
      <w:r>
        <w:t xml:space="preserve">Under the requirements of LC 23, the licensee shall produce an adequate safety case to demonstrate safety and to identify the limits and conditions necessary in the interests of safety. Such limits and conditions are referred to as operating rules. For a criticality safety case, these should be limits and conditions defined in terms meaningful to the facility with straightforward demonstration of compliance. ORs should avoid requiring the operators to undertake involved calculations to determine compliance. Instead, methods such as pre-calculated compliance tables, diagrams, or on-line monitors programmed to perform the necessary calculations should be provided to assist the operators. ONR considers that masses or volumes of fissile material or moderators are appropriate parameters to define operating rule limits. Where appropriate, criticality safety specialists should consider liaising with operators in their working environment (e.g. through facility walk-downs) to gain assurance that ORs are straightforward and practical to implement. </w:t>
      </w:r>
    </w:p>
    <w:p w14:paraId="72E0CA18" w14:textId="5F3ACD62" w:rsidR="008574CC" w:rsidRDefault="00BB6C63" w:rsidP="00F454B4">
      <w:pPr>
        <w:pStyle w:val="F9-Paragraph"/>
      </w:pPr>
      <w:r>
        <w:t xml:space="preserve">Detailed guidance on operating rules is given in </w:t>
      </w:r>
      <w:sdt>
        <w:sdtPr>
          <w:id w:val="-40213579"/>
          <w:citation/>
        </w:sdtPr>
        <w:sdtEndPr/>
        <w:sdtContent>
          <w:r w:rsidR="00DF5E71">
            <w:fldChar w:fldCharType="begin"/>
          </w:r>
          <w:r w:rsidR="00DF5E71">
            <w:instrText xml:space="preserve"> CITATION NS_TAST_GD_035 \l 2057 </w:instrText>
          </w:r>
          <w:r w:rsidR="00DF5E71">
            <w:fldChar w:fldCharType="separate"/>
          </w:r>
          <w:r w:rsidR="006B2EEA">
            <w:rPr>
              <w:noProof/>
            </w:rPr>
            <w:t>[7]</w:t>
          </w:r>
          <w:r w:rsidR="00DF5E71">
            <w:fldChar w:fldCharType="end"/>
          </w:r>
        </w:sdtContent>
      </w:sdt>
      <w:r>
        <w:t>. It is ONR’s general expectation that several sets of ORs will be defined. The first are to describe the upper limits of normal operation. The dutyholder should also make clear in the safety documentation safety limits and any actions needed to restore the plant/operations to a safe state. A set of ORs should define the boundaries of safe operation for a plant or operation.</w:t>
      </w:r>
    </w:p>
    <w:p w14:paraId="59DE7669" w14:textId="77777777" w:rsidR="005E0DAB" w:rsidRDefault="005E0DAB" w:rsidP="00A730D3">
      <w:pPr>
        <w:pStyle w:val="F9-Paragraph"/>
        <w:numPr>
          <w:ilvl w:val="0"/>
          <w:numId w:val="0"/>
        </w:numPr>
        <w:ind w:left="851"/>
        <w:rPr>
          <w:b/>
          <w:bCs/>
        </w:rPr>
        <w:sectPr w:rsidR="005E0DAB" w:rsidSect="000B2BCD">
          <w:pgSz w:w="11906" w:h="16838" w:code="9"/>
          <w:pgMar w:top="1440" w:right="1440" w:bottom="1440" w:left="1440" w:header="397" w:footer="397" w:gutter="0"/>
          <w:cols w:space="312"/>
          <w:docGrid w:linePitch="360"/>
        </w:sectPr>
      </w:pPr>
    </w:p>
    <w:p w14:paraId="4696346A" w14:textId="2DBBAD9D" w:rsidR="00A730D3" w:rsidRPr="00A730D3" w:rsidRDefault="00A730D3" w:rsidP="00A730D3">
      <w:pPr>
        <w:pStyle w:val="F9-Paragraph"/>
        <w:numPr>
          <w:ilvl w:val="0"/>
          <w:numId w:val="0"/>
        </w:numPr>
        <w:ind w:left="851"/>
        <w:rPr>
          <w:b/>
          <w:bCs/>
        </w:rPr>
      </w:pPr>
      <w:r w:rsidRPr="00A730D3">
        <w:rPr>
          <w:b/>
          <w:bCs/>
        </w:rPr>
        <w:lastRenderedPageBreak/>
        <w:t>ALARP</w:t>
      </w:r>
    </w:p>
    <w:p w14:paraId="1D4DB82F" w14:textId="44ABD366" w:rsidR="00A730D3" w:rsidRDefault="00A730D3" w:rsidP="009B7F14">
      <w:pPr>
        <w:pStyle w:val="F9-Paragraph"/>
      </w:pPr>
      <w:r>
        <w:t>The ALARP principle applies to criticality, as it does to all risks. In general, we would expect the licensee to implement all criticality safety measures that are reasonably practicable and to follow relevant good practice. We would also expect the licensee to demonstrate that the minimum quantity of fissile material will be used consistent with the process requirements, and that the minimum number of fissile material movements will be carried out consistent with the process requirements. ONR has similar expectations with regard to any other materials (e.g. moderators) which can affect criticality safety.</w:t>
      </w:r>
    </w:p>
    <w:p w14:paraId="5D1EC3ED" w14:textId="57671447" w:rsidR="00A730D3" w:rsidRDefault="00A730D3" w:rsidP="00F4667B">
      <w:pPr>
        <w:pStyle w:val="F9-Paragraph"/>
      </w:pPr>
      <w:r>
        <w:t xml:space="preserve">Optioneering is a very important part of an ALARP justification. Licensees should demonstrate that an appropriate optioneering study has been undertaken to identify all the options available for carrying out a particular process and that the safest reasonably practicable option has been implemented, in accordance with ONR guidance </w:t>
      </w:r>
      <w:sdt>
        <w:sdtPr>
          <w:id w:val="1499616269"/>
          <w:citation/>
        </w:sdtPr>
        <w:sdtEndPr/>
        <w:sdtContent>
          <w:r w:rsidR="00B54EC3">
            <w:fldChar w:fldCharType="begin"/>
          </w:r>
          <w:r w:rsidR="00B54EC3">
            <w:instrText xml:space="preserve"> CITATION NS_TAST_GD_005 \l 2057 </w:instrText>
          </w:r>
          <w:r w:rsidR="00B54EC3">
            <w:fldChar w:fldCharType="separate"/>
          </w:r>
          <w:r w:rsidR="006B2EEA">
            <w:rPr>
              <w:noProof/>
            </w:rPr>
            <w:t>[2]</w:t>
          </w:r>
          <w:r w:rsidR="00B54EC3">
            <w:fldChar w:fldCharType="end"/>
          </w:r>
        </w:sdtContent>
      </w:sdt>
      <w:r>
        <w:t>.</w:t>
      </w:r>
    </w:p>
    <w:p w14:paraId="255EB3B1" w14:textId="2DC6F9E6" w:rsidR="00A730D3" w:rsidRDefault="00A730D3" w:rsidP="007B3FD5">
      <w:pPr>
        <w:pStyle w:val="F9-Paragraph"/>
      </w:pPr>
      <w:r>
        <w:t>We would expect that the accepted hierarchy of protection has been applied. The hierarchy of protection states that the preferred order of protective measures is as follows:</w:t>
      </w:r>
    </w:p>
    <w:p w14:paraId="3D206498" w14:textId="286B0C63" w:rsidR="00A730D3" w:rsidRDefault="00A730D3" w:rsidP="00B54EC3">
      <w:pPr>
        <w:pStyle w:val="F9-Paragraph"/>
        <w:numPr>
          <w:ilvl w:val="0"/>
          <w:numId w:val="40"/>
        </w:numPr>
      </w:pPr>
      <w:r>
        <w:t>Passive engineered safety measures;</w:t>
      </w:r>
    </w:p>
    <w:p w14:paraId="1EBFE626" w14:textId="1288E2A2" w:rsidR="00A730D3" w:rsidRDefault="00A730D3" w:rsidP="00B54EC3">
      <w:pPr>
        <w:pStyle w:val="F9-Paragraph"/>
        <w:numPr>
          <w:ilvl w:val="0"/>
          <w:numId w:val="40"/>
        </w:numPr>
      </w:pPr>
      <w:r>
        <w:t>Active engineered safety measures; and</w:t>
      </w:r>
    </w:p>
    <w:p w14:paraId="42ED0BDB" w14:textId="0E529E20" w:rsidR="00A730D3" w:rsidRDefault="00A730D3" w:rsidP="00B54EC3">
      <w:pPr>
        <w:pStyle w:val="F9-Paragraph"/>
        <w:numPr>
          <w:ilvl w:val="0"/>
          <w:numId w:val="40"/>
        </w:numPr>
      </w:pPr>
      <w:r>
        <w:t>Administrative safety measures.</w:t>
      </w:r>
    </w:p>
    <w:p w14:paraId="1AECB869" w14:textId="3457D055" w:rsidR="00A730D3" w:rsidRDefault="00A730D3" w:rsidP="00A730D3">
      <w:pPr>
        <w:pStyle w:val="F9-Paragraph"/>
      </w:pPr>
      <w:r>
        <w:t xml:space="preserve">Further guidance on the hierarchy of protection is given in </w:t>
      </w:r>
      <w:sdt>
        <w:sdtPr>
          <w:id w:val="-1865902176"/>
          <w:citation/>
        </w:sdtPr>
        <w:sdtEndPr/>
        <w:sdtContent>
          <w:r w:rsidR="005C47A1">
            <w:fldChar w:fldCharType="begin"/>
          </w:r>
          <w:r w:rsidR="005C47A1">
            <w:instrText xml:space="preserve"> CITATION ONR_SAPs \l 2057 </w:instrText>
          </w:r>
          <w:r w:rsidR="005C47A1">
            <w:fldChar w:fldCharType="separate"/>
          </w:r>
          <w:r w:rsidR="006B2EEA">
            <w:rPr>
              <w:noProof/>
            </w:rPr>
            <w:t>[1]</w:t>
          </w:r>
          <w:r w:rsidR="005C47A1">
            <w:fldChar w:fldCharType="end"/>
          </w:r>
        </w:sdtContent>
      </w:sdt>
      <w:r>
        <w:t>.</w:t>
      </w:r>
    </w:p>
    <w:p w14:paraId="3B57C7F9" w14:textId="4453A520" w:rsidR="00A730D3" w:rsidRDefault="00A730D3" w:rsidP="00657978">
      <w:pPr>
        <w:pStyle w:val="F9-Paragraph"/>
      </w:pPr>
      <w:r>
        <w:t>A licensee may attempt to justify not implementing criticality safety measures on the basis of a Cost Benefit Analysis (CBA). Specifically, it may be argued that the cost of criticality safety measures would be grossly disproportionate to the risk that would be averted by their introduction.</w:t>
      </w:r>
    </w:p>
    <w:p w14:paraId="468BC4A3" w14:textId="007E667C" w:rsidR="00A730D3" w:rsidRDefault="00A730D3" w:rsidP="005F0ADF">
      <w:pPr>
        <w:pStyle w:val="F9-Paragraph"/>
      </w:pPr>
      <w:r>
        <w:t xml:space="preserve">However, it should be noted that CBA is only one possible input into the overall ALARP decision-making process in assessing the adequacy of criticality safety measures. In particular, the results of a CBA are always subject to uncertainty and so the conclusions should be viewed with caution. Primary consideration should be given to relevant good practice, e.g. the hierarchy of protection, which may override the conclusions of a CBA. </w:t>
      </w:r>
    </w:p>
    <w:p w14:paraId="7B038012" w14:textId="77A6D2A3" w:rsidR="00A730D3" w:rsidRDefault="00A730D3" w:rsidP="00A730D3">
      <w:pPr>
        <w:pStyle w:val="F9-Paragraph"/>
      </w:pPr>
      <w:r>
        <w:t xml:space="preserve">Detailed guidance on the ALARP principle is given in </w:t>
      </w:r>
      <w:sdt>
        <w:sdtPr>
          <w:id w:val="-304705715"/>
          <w:citation/>
        </w:sdtPr>
        <w:sdtEndPr/>
        <w:sdtContent>
          <w:r w:rsidR="00A84DFB">
            <w:fldChar w:fldCharType="begin"/>
          </w:r>
          <w:r w:rsidR="00A84DFB">
            <w:instrText xml:space="preserve"> CITATION NS_TAST_GD_005 \l 2057 </w:instrText>
          </w:r>
          <w:r w:rsidR="00A84DFB">
            <w:fldChar w:fldCharType="separate"/>
          </w:r>
          <w:r w:rsidR="006B2EEA">
            <w:rPr>
              <w:noProof/>
            </w:rPr>
            <w:t>[2]</w:t>
          </w:r>
          <w:r w:rsidR="00A84DFB">
            <w:fldChar w:fldCharType="end"/>
          </w:r>
        </w:sdtContent>
      </w:sdt>
      <w:r>
        <w:t xml:space="preserve">. </w:t>
      </w:r>
    </w:p>
    <w:p w14:paraId="64BC7A72" w14:textId="4C919120" w:rsidR="00A730D3" w:rsidRDefault="00A730D3" w:rsidP="003B00D5">
      <w:pPr>
        <w:pStyle w:val="F9-Paragraph"/>
      </w:pPr>
      <w:r>
        <w:t>An holistic approach should be taken to ensure that the total risk is reduced to a level that is ALARP. In other words, it is no use reducing the risk from criticality to a very low level if this is more than offset by a large increase in another component of the risk.</w:t>
      </w:r>
    </w:p>
    <w:p w14:paraId="22871BCA" w14:textId="77777777" w:rsidR="005E0DAB" w:rsidRDefault="005E0DAB" w:rsidP="00A84DFB">
      <w:pPr>
        <w:pStyle w:val="F9-Paragraph"/>
        <w:numPr>
          <w:ilvl w:val="0"/>
          <w:numId w:val="0"/>
        </w:numPr>
        <w:ind w:left="851"/>
        <w:rPr>
          <w:b/>
          <w:bCs/>
        </w:rPr>
        <w:sectPr w:rsidR="005E0DAB" w:rsidSect="000B2BCD">
          <w:pgSz w:w="11906" w:h="16838" w:code="9"/>
          <w:pgMar w:top="1440" w:right="1440" w:bottom="1440" w:left="1440" w:header="397" w:footer="397" w:gutter="0"/>
          <w:cols w:space="312"/>
          <w:docGrid w:linePitch="360"/>
        </w:sectPr>
      </w:pPr>
    </w:p>
    <w:p w14:paraId="54B0CD27" w14:textId="4178DD0B" w:rsidR="00A84DFB" w:rsidRPr="00A84DFB" w:rsidRDefault="00A84DFB" w:rsidP="00A84DFB">
      <w:pPr>
        <w:pStyle w:val="F9-Paragraph"/>
        <w:numPr>
          <w:ilvl w:val="0"/>
          <w:numId w:val="0"/>
        </w:numPr>
        <w:ind w:left="851"/>
        <w:rPr>
          <w:b/>
          <w:bCs/>
        </w:rPr>
      </w:pPr>
      <w:r w:rsidRPr="00A84DFB">
        <w:rPr>
          <w:b/>
          <w:bCs/>
        </w:rPr>
        <w:lastRenderedPageBreak/>
        <w:t>Hazard Identification</w:t>
      </w:r>
    </w:p>
    <w:p w14:paraId="1A4008C5" w14:textId="7392E0AA" w:rsidR="00547B62" w:rsidRDefault="00547B62" w:rsidP="00E47377">
      <w:pPr>
        <w:pStyle w:val="F9-Paragraph"/>
      </w:pPr>
      <w:r>
        <w:t>ONR assessors should seek assurance that all credible faults that could give rise to a criticality incident have been identified. Evidence of this may be provided through detailed Hazard and Operability (HAZOP) studies, facility walkdowns and reviews of past incidents and near misses. The list of credible faults should consider normal operations and maintenance activities and should include process faults, internal and external hazards, and human errors. The importance of considering human errors cannot be overemphasised since most of the criticality incidents that have occurred have been due to human error. Advice from fault studies and human factors specialists should be obtained where appropriate.</w:t>
      </w:r>
    </w:p>
    <w:p w14:paraId="1FB8B130" w14:textId="5CC42CFA" w:rsidR="00547B62" w:rsidRDefault="00547B62" w:rsidP="00EA36ED">
      <w:pPr>
        <w:pStyle w:val="F9-Paragraph"/>
      </w:pPr>
      <w:r>
        <w:t>In identifying all the credible faults that could lead to a criticality incident, consideration should not be restricted to the major process vessels and pipework where fissile material normally resides, but should also include adventitious accumulation in unexpected locations, e.g. ducts and drains. In addition, the licensee should also consider the possibilities of precipitation of fissile material from solutions and of fissile solutions drying out due to evaporation, leading to the unexpected accumulation of solid fissile material.</w:t>
      </w:r>
    </w:p>
    <w:p w14:paraId="1A1D8527" w14:textId="4444801B" w:rsidR="00A84DFB" w:rsidRDefault="00547B62" w:rsidP="00EF1DD9">
      <w:pPr>
        <w:pStyle w:val="F9-Paragraph"/>
      </w:pPr>
      <w:r>
        <w:t>ONR assessors may seek further evidence from licensees where criticality faults are claimed to be incredible.</w:t>
      </w:r>
    </w:p>
    <w:p w14:paraId="2B984630" w14:textId="06D3A6BB" w:rsidR="00056822" w:rsidRPr="00056822" w:rsidRDefault="00056822" w:rsidP="00056822">
      <w:pPr>
        <w:pStyle w:val="F9-Paragraph"/>
        <w:numPr>
          <w:ilvl w:val="0"/>
          <w:numId w:val="0"/>
        </w:numPr>
        <w:ind w:left="851"/>
        <w:rPr>
          <w:b/>
          <w:bCs/>
        </w:rPr>
      </w:pPr>
      <w:r w:rsidRPr="00056822">
        <w:rPr>
          <w:b/>
          <w:bCs/>
        </w:rPr>
        <w:t>Assessment Philosophy</w:t>
      </w:r>
    </w:p>
    <w:p w14:paraId="0EFFA921" w14:textId="1BA5A829" w:rsidR="00BD0FBD" w:rsidRDefault="00BD0FBD" w:rsidP="00F1338E">
      <w:pPr>
        <w:pStyle w:val="F9-Paragraph"/>
      </w:pPr>
      <w:r>
        <w:t xml:space="preserve">Operating configurations should be analysed using demonstrably conservative conditions, taking into account all reasonably foreseeable circumstances and considering the context of the assessment. This is necessary to identify the most reactive condition. Analysis may be based on configurations of materials, or on circumstances other than the most reactive, but these should be fully justified. The analysis should fully take account of the variability of factors such as geometry, material composition, temperature, neutron moderation, reflection and absorption (including neutron absorbers), fissile material quantity (e.g. adventitious accumulation) and interaction effects, and of deficiencies in accounting procedures and enrichment identification. The effects of burnup credit may be considered where appropriate, given suitable justification. Further guidance on burnup credit is given in </w:t>
      </w:r>
      <w:sdt>
        <w:sdtPr>
          <w:id w:val="-1104185387"/>
          <w:citation/>
        </w:sdtPr>
        <w:sdtEndPr/>
        <w:sdtContent>
          <w:r w:rsidR="00A61FF5">
            <w:fldChar w:fldCharType="begin"/>
          </w:r>
          <w:r w:rsidR="00A61FF5">
            <w:instrText xml:space="preserve"> CITATION ONR_BUC_RR \l 2057 </w:instrText>
          </w:r>
          <w:r w:rsidR="00A61FF5">
            <w:fldChar w:fldCharType="separate"/>
          </w:r>
          <w:r w:rsidR="006B2EEA">
            <w:rPr>
              <w:noProof/>
            </w:rPr>
            <w:t>[41]</w:t>
          </w:r>
          <w:r w:rsidR="00A61FF5">
            <w:fldChar w:fldCharType="end"/>
          </w:r>
        </w:sdtContent>
      </w:sdt>
      <w:r w:rsidR="00A61FF5">
        <w:t xml:space="preserve"> </w:t>
      </w:r>
      <w:r>
        <w:t>(see also</w:t>
      </w:r>
      <w:r w:rsidR="00613DC7">
        <w:t xml:space="preserve"> </w:t>
      </w:r>
      <w:sdt>
        <w:sdtPr>
          <w:id w:val="1591653652"/>
          <w:citation/>
        </w:sdtPr>
        <w:sdtEndPr/>
        <w:sdtContent>
          <w:r w:rsidR="00613DC7">
            <w:fldChar w:fldCharType="begin"/>
          </w:r>
          <w:r w:rsidR="00613DC7">
            <w:instrText xml:space="preserve"> CITATION SSG27_2022 \l 2057 </w:instrText>
          </w:r>
          <w:r w:rsidR="00A40A86">
            <w:instrText xml:space="preserve"> \m SSG15_Rev1</w:instrText>
          </w:r>
          <w:r w:rsidR="006B2EEA">
            <w:instrText xml:space="preserve"> \m NRC_ISG_BUC</w:instrText>
          </w:r>
          <w:r w:rsidR="00613DC7">
            <w:fldChar w:fldCharType="separate"/>
          </w:r>
          <w:r w:rsidR="006B2EEA">
            <w:rPr>
              <w:noProof/>
            </w:rPr>
            <w:t>[21, 22, 42]</w:t>
          </w:r>
          <w:r w:rsidR="00613DC7">
            <w:fldChar w:fldCharType="end"/>
          </w:r>
        </w:sdtContent>
      </w:sdt>
      <w:r>
        <w:t>).</w:t>
      </w:r>
    </w:p>
    <w:p w14:paraId="20624DC4" w14:textId="3FC5BCEA" w:rsidR="00BD0FBD" w:rsidRDefault="00BD0FBD" w:rsidP="009A28AD">
      <w:pPr>
        <w:pStyle w:val="F9-Paragraph"/>
      </w:pPr>
      <w:r>
        <w:t xml:space="preserve">As </w:t>
      </w:r>
      <w:r w:rsidRPr="006B5B56">
        <w:t xml:space="preserve">noted in </w:t>
      </w:r>
      <w:r w:rsidR="00AD4521" w:rsidRPr="006B5B56">
        <w:t xml:space="preserve">paragraph </w:t>
      </w:r>
      <w:r w:rsidR="00AD4521" w:rsidRPr="006B5B56">
        <w:fldChar w:fldCharType="begin"/>
      </w:r>
      <w:r w:rsidR="00AD4521" w:rsidRPr="006B5B56">
        <w:instrText xml:space="preserve"> REF _Ref150255570 \r \h </w:instrText>
      </w:r>
      <w:r w:rsidR="005A269E">
        <w:rPr>
          <w:highlight w:val="yellow"/>
        </w:rPr>
        <w:instrText xml:space="preserve"> \* MERGEFORMAT </w:instrText>
      </w:r>
      <w:r w:rsidR="00AD4521" w:rsidRPr="006B5B56">
        <w:fldChar w:fldCharType="separate"/>
      </w:r>
      <w:r w:rsidR="00AD4521" w:rsidRPr="006B5B56">
        <w:rPr>
          <w:cs/>
        </w:rPr>
        <w:t>‎</w:t>
      </w:r>
      <w:r w:rsidR="00AD4521" w:rsidRPr="006B5B56">
        <w:t>33</w:t>
      </w:r>
      <w:r w:rsidR="00AD4521" w:rsidRPr="006B5B56">
        <w:fldChar w:fldCharType="end"/>
      </w:r>
      <w:r w:rsidRPr="006B5B56">
        <w:t xml:space="preserve"> above, the Fault Analysis SAPs call for DBA to be carried out </w:t>
      </w:r>
      <w:r w:rsidR="000B037A" w:rsidRPr="006B5B56">
        <w:t xml:space="preserve">as required </w:t>
      </w:r>
      <w:r w:rsidRPr="006B5B56">
        <w:t xml:space="preserve">for </w:t>
      </w:r>
      <w:r w:rsidR="000B037A" w:rsidRPr="006B5B56">
        <w:t>credible</w:t>
      </w:r>
      <w:r w:rsidRPr="006B5B56">
        <w:t xml:space="preserve"> faults. In addition to incorporating DBA, wherever reasonably practicable, it is expected that a criticality safety case also demonstrates compliance with the Double Contingency Approach. This requires that at least two unlikely, independent and concurrent changes in the process conditions specified as essential to criticality safety must occur before a criticality incident is</w:t>
      </w:r>
      <w:r>
        <w:t xml:space="preserve"> possible.</w:t>
      </w:r>
    </w:p>
    <w:p w14:paraId="0F24C583" w14:textId="77777777" w:rsidR="005E0DAB" w:rsidRDefault="005E0DAB" w:rsidP="005C086D">
      <w:pPr>
        <w:pStyle w:val="F9-Paragraph"/>
        <w:sectPr w:rsidR="005E0DAB" w:rsidSect="000B2BCD">
          <w:pgSz w:w="11906" w:h="16838" w:code="9"/>
          <w:pgMar w:top="1440" w:right="1440" w:bottom="1440" w:left="1440" w:header="397" w:footer="397" w:gutter="0"/>
          <w:cols w:space="312"/>
          <w:docGrid w:linePitch="360"/>
        </w:sectPr>
      </w:pPr>
    </w:p>
    <w:p w14:paraId="73FC3699" w14:textId="1E4991DC" w:rsidR="00BD0FBD" w:rsidRDefault="00BD0FBD" w:rsidP="005C086D">
      <w:pPr>
        <w:pStyle w:val="F9-Paragraph"/>
      </w:pPr>
      <w:r>
        <w:lastRenderedPageBreak/>
        <w:t>The safety justification may be supplemented by a Probabilistic Safety Analysis (PSA) where appropriate. The scope and depth of PSA may vary depending on factors such as the magnitude of the risk, the novelty of the design, the complexity of the facility and the conclusion that the safety case is supporting. For some facilities, qualitative arguments demonstrating large safety margins, clear and robust application of DBA/DCP (and associated good practice) may be sufficient to demonstrate that the overall risk is ALARP. A more thorough PSA may be expected for more complex systems to confirm that a balanced design of the facility has been achieved such that no particular feature of the facility makes a disproportionate contribution to the overall risk of criticality. A PSA should be performed where appropriate to enable a numerical assessment of the risk arising from the facility to be made, and a judgement made as to its acceptability against the accident frequency principles.</w:t>
      </w:r>
    </w:p>
    <w:p w14:paraId="578CBB08" w14:textId="7F23C246" w:rsidR="00BD0FBD" w:rsidRDefault="00BD0FBD" w:rsidP="0019381D">
      <w:pPr>
        <w:pStyle w:val="F9-Paragraph"/>
      </w:pPr>
      <w:r>
        <w:t xml:space="preserve">As with all risks, the criticality safety case should demonstrate that the risk from unintended criticality is ALARP. In some cases, this may mean that a greater level of protection should be provided than is suggested solely by application of DBA and/or the DCA. </w:t>
      </w:r>
    </w:p>
    <w:p w14:paraId="4CF016A5" w14:textId="19E0F1B7" w:rsidR="00BD0FBD" w:rsidRPr="008D48DA" w:rsidRDefault="00BD0FBD" w:rsidP="008D48DA">
      <w:pPr>
        <w:pStyle w:val="F9-Paragraph"/>
        <w:numPr>
          <w:ilvl w:val="0"/>
          <w:numId w:val="0"/>
        </w:numPr>
        <w:ind w:left="851"/>
        <w:rPr>
          <w:b/>
          <w:bCs/>
        </w:rPr>
      </w:pPr>
      <w:r w:rsidRPr="008D48DA">
        <w:rPr>
          <w:b/>
          <w:bCs/>
        </w:rPr>
        <w:t xml:space="preserve">Safely Subcritical Margins </w:t>
      </w:r>
    </w:p>
    <w:p w14:paraId="79C8F374" w14:textId="4DC402AF" w:rsidR="00056822" w:rsidRDefault="00BD0FBD" w:rsidP="005D70AA">
      <w:pPr>
        <w:pStyle w:val="F9-Paragraph"/>
      </w:pPr>
      <w:r>
        <w:t>It is expected that the criticality safety case identifies and justifies an appropriate value for the minimum safely subcritical margin</w:t>
      </w:r>
      <w:r w:rsidR="00EE63DB">
        <w:t xml:space="preserve"> </w:t>
      </w:r>
      <w:sdt>
        <w:sdtPr>
          <w:id w:val="-1600323411"/>
          <w:citation/>
        </w:sdtPr>
        <w:sdtEndPr/>
        <w:sdtContent>
          <w:r w:rsidR="007C3D70">
            <w:fldChar w:fldCharType="begin"/>
          </w:r>
          <w:r w:rsidR="007C3D70">
            <w:instrText xml:space="preserve"> CITATION WPC_P288 \l 2057 </w:instrText>
          </w:r>
          <w:r w:rsidR="007C3D70">
            <w:fldChar w:fldCharType="separate"/>
          </w:r>
          <w:r w:rsidR="006B2EEA">
            <w:rPr>
              <w:noProof/>
            </w:rPr>
            <w:t>[43]</w:t>
          </w:r>
          <w:r w:rsidR="007C3D70">
            <w:fldChar w:fldCharType="end"/>
          </w:r>
        </w:sdtContent>
      </w:sdt>
      <w:r>
        <w:t xml:space="preserve">. This may be defined in terms of limiting values of the effective neutron multiplication factor, or limiting fractions of critical parameters, such as critical masses or critical dimensions. In setting these parameters, the sensitivity of reactivity to changes in the chosen parameters should be accounted for. Advice on computational criteria for criticality safety is available in </w:t>
      </w:r>
      <w:sdt>
        <w:sdtPr>
          <w:id w:val="709923023"/>
          <w:citation/>
        </w:sdtPr>
        <w:sdtEndPr/>
        <w:sdtContent>
          <w:r w:rsidR="00716B4C">
            <w:fldChar w:fldCharType="begin"/>
          </w:r>
          <w:r w:rsidR="00F41FEC">
            <w:instrText xml:space="preserve">CITATION NRC_ISG_Margins \l 2057 </w:instrText>
          </w:r>
          <w:r w:rsidR="00716B4C">
            <w:fldChar w:fldCharType="separate"/>
          </w:r>
          <w:r w:rsidR="006B2EEA">
            <w:rPr>
              <w:noProof/>
            </w:rPr>
            <w:t>[44]</w:t>
          </w:r>
          <w:r w:rsidR="00716B4C">
            <w:fldChar w:fldCharType="end"/>
          </w:r>
        </w:sdtContent>
      </w:sdt>
      <w:r>
        <w:t>; this is a useful reference as it advises on all of the issues to be considered, such as nuclear data error and limits on code accuracy.</w:t>
      </w:r>
    </w:p>
    <w:p w14:paraId="1E17FC30" w14:textId="0F0B6013" w:rsidR="000E7A80" w:rsidRPr="000E7A80" w:rsidRDefault="000E7A80" w:rsidP="000E7A80">
      <w:pPr>
        <w:pStyle w:val="F9-Paragraph"/>
        <w:numPr>
          <w:ilvl w:val="0"/>
          <w:numId w:val="0"/>
        </w:numPr>
        <w:ind w:left="851"/>
        <w:rPr>
          <w:b/>
          <w:bCs/>
        </w:rPr>
      </w:pPr>
      <w:r w:rsidRPr="000E7A80">
        <w:rPr>
          <w:b/>
          <w:bCs/>
        </w:rPr>
        <w:t>Calculation Methods</w:t>
      </w:r>
    </w:p>
    <w:p w14:paraId="336C2EFC" w14:textId="5766C515" w:rsidR="00C15231" w:rsidRDefault="00C15231" w:rsidP="007674DD">
      <w:pPr>
        <w:pStyle w:val="F9-Paragraph"/>
      </w:pPr>
      <w:r>
        <w:t xml:space="preserve">Licensees use a variety of hand calculation methods and computer codes in criticality safety assessments. ONR specialist assessors may use hand calculation methods to perform independent checks and scoping calculations on a sampling basis. ONR assessors will use their discretion in the level and depth of sampling and may be influenced by the safety significance of the submission. Commonly used criticality hand calculation methods are discussed in </w:t>
      </w:r>
      <w:sdt>
        <w:sdtPr>
          <w:id w:val="-1725828508"/>
          <w:citation/>
        </w:sdtPr>
        <w:sdtEndPr/>
        <w:sdtContent>
          <w:r w:rsidR="00E830D7">
            <w:fldChar w:fldCharType="begin"/>
          </w:r>
          <w:r w:rsidR="00E830D7">
            <w:instrText xml:space="preserve"> CITATION Knief \l 2057  \m LA_14244</w:instrText>
          </w:r>
          <w:r w:rsidR="00E830D7">
            <w:fldChar w:fldCharType="separate"/>
          </w:r>
          <w:r w:rsidR="006B2EEA">
            <w:rPr>
              <w:noProof/>
            </w:rPr>
            <w:t>[10, 45]</w:t>
          </w:r>
          <w:r w:rsidR="00E830D7">
            <w:fldChar w:fldCharType="end"/>
          </w:r>
        </w:sdtContent>
      </w:sdt>
      <w:r>
        <w:t>.</w:t>
      </w:r>
    </w:p>
    <w:p w14:paraId="45C12924" w14:textId="3D282BE2" w:rsidR="00C15231" w:rsidRDefault="00C15231" w:rsidP="00A724EF">
      <w:pPr>
        <w:pStyle w:val="F9-Paragraph"/>
      </w:pPr>
      <w:r>
        <w:t xml:space="preserve">However, where more detailed calculations (e.g. using computer codes) are required, consultants working under contract to ONR may be asked to perform these calculations. A framework for assessing contractor competence can be found in </w:t>
      </w:r>
      <w:sdt>
        <w:sdtPr>
          <w:id w:val="-1515221563"/>
          <w:citation/>
        </w:sdtPr>
        <w:sdtEndPr/>
        <w:sdtContent>
          <w:r w:rsidR="0075351E">
            <w:fldChar w:fldCharType="begin"/>
          </w:r>
          <w:r w:rsidR="007C3D70">
            <w:instrText xml:space="preserve">CITATION WPC_Comp \l 2057 </w:instrText>
          </w:r>
          <w:r w:rsidR="0075351E">
            <w:fldChar w:fldCharType="separate"/>
          </w:r>
          <w:r w:rsidR="006B2EEA">
            <w:rPr>
              <w:noProof/>
            </w:rPr>
            <w:t>[46]</w:t>
          </w:r>
          <w:r w:rsidR="0075351E">
            <w:fldChar w:fldCharType="end"/>
          </w:r>
        </w:sdtContent>
      </w:sdt>
      <w:r>
        <w:t>.</w:t>
      </w:r>
    </w:p>
    <w:p w14:paraId="52CCFBDC" w14:textId="3693E9C4" w:rsidR="00C15231" w:rsidRDefault="00C15231" w:rsidP="00D26B63">
      <w:pPr>
        <w:pStyle w:val="F9-Paragraph"/>
      </w:pPr>
      <w:r>
        <w:t>In cases where Monte Carlo computer codes have been used, ONR assessors may seek evidence from the licensee that the calculations are adequately sampled and converged.</w:t>
      </w:r>
    </w:p>
    <w:p w14:paraId="6590A4F3" w14:textId="324E6118" w:rsidR="00C15231" w:rsidRDefault="00C15231" w:rsidP="00691266">
      <w:pPr>
        <w:pStyle w:val="F9-Paragraph"/>
      </w:pPr>
      <w:r>
        <w:lastRenderedPageBreak/>
        <w:t>The calculation methods and data used in criticality safety assessments should be verified and validated for the expected range of conditions.</w:t>
      </w:r>
    </w:p>
    <w:p w14:paraId="31D31021" w14:textId="2AA7FC5B" w:rsidR="00C15231" w:rsidRDefault="00C15231" w:rsidP="009B4860">
      <w:pPr>
        <w:pStyle w:val="F9-Paragraph"/>
      </w:pPr>
      <w:r>
        <w:t>The licensee may also consider the use of more than one assessment method as part of the criticality safety analysis.</w:t>
      </w:r>
    </w:p>
    <w:p w14:paraId="065E3C7A" w14:textId="5F301B13" w:rsidR="00C15231" w:rsidRDefault="00C15231" w:rsidP="00D50304">
      <w:pPr>
        <w:pStyle w:val="F9-Paragraph"/>
      </w:pPr>
      <w:r>
        <w:t xml:space="preserve">Validation should be against experiment whenever this is reasonably practicable. In some cases, small differences in specification (e.g. geometry or materials) may render an experiment unsuitable as a validation benchmark and licensees should provide a justification that any experiments used as evidence of validation are appropriate. Note that there is a large quantity of validation data available in the ICSBEP database. Where suitable experimental data are not available, validation by comparison with an independent method may be acceptable. Further guidance on validation is </w:t>
      </w:r>
      <w:r w:rsidR="00ED7E77">
        <w:t>g</w:t>
      </w:r>
      <w:r>
        <w:t xml:space="preserve">iven in </w:t>
      </w:r>
      <w:sdt>
        <w:sdtPr>
          <w:id w:val="1787698248"/>
          <w:citation/>
        </w:sdtPr>
        <w:sdtEndPr/>
        <w:sdtContent>
          <w:r w:rsidR="00ED7E77">
            <w:fldChar w:fldCharType="begin"/>
          </w:r>
          <w:r w:rsidR="00ED7E77">
            <w:instrText xml:space="preserve"> CITATION NS_TAST_GD_042 \l 2057 </w:instrText>
          </w:r>
          <w:r w:rsidR="00ED7E77">
            <w:fldChar w:fldCharType="separate"/>
          </w:r>
          <w:r w:rsidR="006B2EEA">
            <w:rPr>
              <w:noProof/>
            </w:rPr>
            <w:t>[47]</w:t>
          </w:r>
          <w:r w:rsidR="00ED7E77">
            <w:fldChar w:fldCharType="end"/>
          </w:r>
        </w:sdtContent>
      </w:sdt>
      <w:r>
        <w:t>.</w:t>
      </w:r>
    </w:p>
    <w:p w14:paraId="12B3E9CB" w14:textId="38172359" w:rsidR="000E7A80" w:rsidRDefault="00C15231" w:rsidP="003B6456">
      <w:pPr>
        <w:pStyle w:val="F9-Paragraph"/>
      </w:pPr>
      <w:r>
        <w:t>Verification should demonstrate that the calculation method or computer code has been used correctly, in accordance with its specification, and for situations for which it has been validated.</w:t>
      </w:r>
    </w:p>
    <w:p w14:paraId="1E75F231" w14:textId="75DD8B43" w:rsidR="00C21414" w:rsidRPr="00C21414" w:rsidRDefault="00C21414" w:rsidP="00C21414">
      <w:pPr>
        <w:pStyle w:val="F9-Paragraph"/>
        <w:numPr>
          <w:ilvl w:val="0"/>
          <w:numId w:val="0"/>
        </w:numPr>
        <w:ind w:left="851"/>
        <w:rPr>
          <w:b/>
          <w:bCs/>
        </w:rPr>
      </w:pPr>
      <w:r w:rsidRPr="00C21414">
        <w:rPr>
          <w:b/>
          <w:bCs/>
        </w:rPr>
        <w:t>Fissile Inventory Information</w:t>
      </w:r>
    </w:p>
    <w:p w14:paraId="3A645DCA" w14:textId="2C23C089" w:rsidR="00C21414" w:rsidRDefault="00C21414" w:rsidP="009558A9">
      <w:pPr>
        <w:pStyle w:val="F9-Paragraph"/>
      </w:pPr>
      <w:bookmarkStart w:id="9" w:name="_Ref150255984"/>
      <w:r>
        <w:t>Licensees should determine the fissile inventory of the relevant system conservatively, taking into account all fissile isotopes present. These will usually be uranium and plutonium isotopes but could, in some circumstances, include other exotic species, e.g. curium isotopes. The system should also account for, and trend, process errors with the potential to increase inventories (e.g. accumulation in a glovebox).</w:t>
      </w:r>
      <w:bookmarkEnd w:id="9"/>
    </w:p>
    <w:p w14:paraId="41779FF9" w14:textId="7488CA96" w:rsidR="00C21414" w:rsidRDefault="00C21414" w:rsidP="00887A0E">
      <w:pPr>
        <w:pStyle w:val="F9-Paragraph"/>
      </w:pPr>
      <w:r>
        <w:t xml:space="preserve">In uranium systems, the dominant isotopes are usually U-235, which is fissile, and U-238, which is fissionable. Cases may occasionally be submitted that consider U-233, which is fissile. In plutonium systems, the dominant isotopes are usually Pu-239, which is fissile, and Pu-240, which is fissionable, though the significance of other Pu isotopes can increase for Pu derived from high burnup fuel, especially in some systems where the neutron spectrum is not predominantly thermal. Care should be taken when considering systems where enhanced credit is taken for more complex Pu </w:t>
      </w:r>
      <w:proofErr w:type="spellStart"/>
      <w:r>
        <w:t>isotopics</w:t>
      </w:r>
      <w:proofErr w:type="spellEnd"/>
      <w:r>
        <w:t>.</w:t>
      </w:r>
    </w:p>
    <w:p w14:paraId="36304E0E" w14:textId="24696925" w:rsidR="00C21414" w:rsidRDefault="00C21414" w:rsidP="00E34AA2">
      <w:pPr>
        <w:pStyle w:val="F9-Paragraph"/>
      </w:pPr>
      <w:r>
        <w:t>In uranium systems, it is necessary to determine the maximum U-235 (or U</w:t>
      </w:r>
      <w:r w:rsidR="005F70FF">
        <w:noBreakHyphen/>
      </w:r>
      <w:r>
        <w:t xml:space="preserve">233) content. Similarly, in plutonium systems, it is necessary to determine the maximum </w:t>
      </w:r>
      <w:r w:rsidR="00E204FA">
        <w:t xml:space="preserve">fissile </w:t>
      </w:r>
      <w:r>
        <w:t>content</w:t>
      </w:r>
      <w:r w:rsidR="00E204FA">
        <w:t>, i.e. Pu-239 plus Pu-241</w:t>
      </w:r>
      <w:r>
        <w:t xml:space="preserve">. It should be noted that some exotic species have relatively low minimum critical masses </w:t>
      </w:r>
      <w:sdt>
        <w:sdtPr>
          <w:id w:val="118268526"/>
          <w:citation/>
        </w:sdtPr>
        <w:sdtEndPr/>
        <w:sdtContent>
          <w:r>
            <w:fldChar w:fldCharType="begin"/>
          </w:r>
          <w:r>
            <w:instrText xml:space="preserve"> CITATION ANS_8_15 \l 2057 </w:instrText>
          </w:r>
          <w:r>
            <w:fldChar w:fldCharType="separate"/>
          </w:r>
          <w:r w:rsidR="006B2EEA">
            <w:rPr>
              <w:noProof/>
            </w:rPr>
            <w:t>[31]</w:t>
          </w:r>
          <w:r>
            <w:fldChar w:fldCharType="end"/>
          </w:r>
        </w:sdtContent>
      </w:sdt>
      <w:r>
        <w:t xml:space="preserve">. Hence, in cases where exotic species are modelled as U-235 or Pu-239, evidence should be provided that the representation is suitably conservative. Licensees should conservatively account for fissile inventory accountancy errors, as well as process errors (see </w:t>
      </w:r>
      <w:r w:rsidR="004732F4">
        <w:t>p</w:t>
      </w:r>
      <w:r>
        <w:t xml:space="preserve">aragraph </w:t>
      </w:r>
      <w:r w:rsidR="0036680C">
        <w:fldChar w:fldCharType="begin"/>
      </w:r>
      <w:r w:rsidR="0036680C">
        <w:instrText xml:space="preserve"> REF _Ref150255984 \r \h </w:instrText>
      </w:r>
      <w:r w:rsidR="0036680C">
        <w:fldChar w:fldCharType="separate"/>
      </w:r>
      <w:r w:rsidR="0036680C">
        <w:rPr>
          <w:cs/>
        </w:rPr>
        <w:t>‎</w:t>
      </w:r>
      <w:r w:rsidR="0036680C">
        <w:t>75</w:t>
      </w:r>
      <w:r w:rsidR="0036680C">
        <w:fldChar w:fldCharType="end"/>
      </w:r>
      <w:r w:rsidR="0036680C">
        <w:t xml:space="preserve"> above</w:t>
      </w:r>
      <w:r>
        <w:t>), which have the potential to increase fissile accumulation.</w:t>
      </w:r>
    </w:p>
    <w:p w14:paraId="570AAFAF" w14:textId="77777777" w:rsidR="005E0DAB" w:rsidRDefault="005E0DAB" w:rsidP="00431678">
      <w:pPr>
        <w:pStyle w:val="F9-Paragraph"/>
        <w:sectPr w:rsidR="005E0DAB" w:rsidSect="000B2BCD">
          <w:pgSz w:w="11906" w:h="16838" w:code="9"/>
          <w:pgMar w:top="1440" w:right="1440" w:bottom="1440" w:left="1440" w:header="397" w:footer="397" w:gutter="0"/>
          <w:cols w:space="312"/>
          <w:docGrid w:linePitch="360"/>
        </w:sectPr>
      </w:pPr>
    </w:p>
    <w:p w14:paraId="2E14853E" w14:textId="6ACF8803" w:rsidR="00C21414" w:rsidRDefault="00C21414" w:rsidP="00431678">
      <w:pPr>
        <w:pStyle w:val="F9-Paragraph"/>
      </w:pPr>
      <w:r>
        <w:lastRenderedPageBreak/>
        <w:t xml:space="preserve">Inspectors may encounter cases for mixed Pu/U systems (e.g. MOX). These can be isotopically complicated, the case relying on assumptions about the ratios of both plutonium and uranium isotopes. Note that the most reactive ratio will vary depending on the amount of moderator in the system and that validation evidence is much more limited than for other systems </w:t>
      </w:r>
      <w:sdt>
        <w:sdtPr>
          <w:id w:val="-1371152064"/>
          <w:citation/>
        </w:sdtPr>
        <w:sdtEndPr/>
        <w:sdtContent>
          <w:r>
            <w:fldChar w:fldCharType="begin"/>
          </w:r>
          <w:r>
            <w:instrText xml:space="preserve"> CITATION ISO_11311 \l 2057 </w:instrText>
          </w:r>
          <w:r>
            <w:fldChar w:fldCharType="separate"/>
          </w:r>
          <w:r w:rsidR="006B2EEA">
            <w:rPr>
              <w:noProof/>
            </w:rPr>
            <w:t>[32]</w:t>
          </w:r>
          <w:r>
            <w:fldChar w:fldCharType="end"/>
          </w:r>
        </w:sdtContent>
      </w:sdt>
      <w:r>
        <w:t>. Historically, computer codes have also proved to be less accurate for MOX systems than simpler fissile systems. Licensees should demonstrate that they have considered these issues.</w:t>
      </w:r>
    </w:p>
    <w:p w14:paraId="70DA9FB7" w14:textId="051A71FD" w:rsidR="00EE123C" w:rsidRPr="00EE123C" w:rsidRDefault="00EE123C" w:rsidP="00EE123C">
      <w:pPr>
        <w:pStyle w:val="F9-Paragraph"/>
        <w:numPr>
          <w:ilvl w:val="0"/>
          <w:numId w:val="0"/>
        </w:numPr>
        <w:ind w:left="851"/>
        <w:rPr>
          <w:b/>
          <w:bCs/>
        </w:rPr>
      </w:pPr>
      <w:r w:rsidRPr="00EE123C">
        <w:rPr>
          <w:b/>
          <w:bCs/>
        </w:rPr>
        <w:t>Movement Control</w:t>
      </w:r>
    </w:p>
    <w:p w14:paraId="5034F1DC" w14:textId="0168296A" w:rsidR="00EE123C" w:rsidRDefault="00EE123C" w:rsidP="007F1D36">
      <w:pPr>
        <w:pStyle w:val="F9-Paragraph"/>
      </w:pPr>
      <w:r>
        <w:t>A reliable and robust movement control and prior authorisation system should be provided in facilities handling fissile material in order to minimise the probability of forming a critical assembly. Ideally, the movement control system and supporting operational records should track the locations and movements of fissile material and moderators (where these are important for criticality safety). Reflectors and neutron absorbers should also be tracked where appropriate.</w:t>
      </w:r>
    </w:p>
    <w:p w14:paraId="2A468ED7" w14:textId="194189BC" w:rsidR="00EE123C" w:rsidRDefault="00EE123C" w:rsidP="00CF2378">
      <w:pPr>
        <w:pStyle w:val="F9-Paragraph"/>
      </w:pPr>
      <w:r>
        <w:t>The licensee should demonstrate that there is an adequate movement control and prior authorisation system in place. For example, in cases where complex fissile material movements are carried out, the movement control system may consist of a computer-based system supplemented by checks of paper-based records by facility personnel who are independent of the process operators. This system may be periodically validated by physical inventory verification.</w:t>
      </w:r>
    </w:p>
    <w:p w14:paraId="51F119DD" w14:textId="77130570" w:rsidR="00EE123C" w:rsidRDefault="00EE123C" w:rsidP="006B1E1D">
      <w:pPr>
        <w:pStyle w:val="F9-Paragraph"/>
      </w:pPr>
      <w:r>
        <w:t>However, where fissile material movements are simple, it may not be reasonably practicable to provide a computer-based safety system. In such cases, a paper-based records system may be adequate.</w:t>
      </w:r>
    </w:p>
    <w:p w14:paraId="297A1930" w14:textId="2FC48643" w:rsidR="00EE123C" w:rsidRPr="00EE123C" w:rsidRDefault="00EE123C" w:rsidP="00EE123C">
      <w:pPr>
        <w:pStyle w:val="F9-Paragraph"/>
        <w:numPr>
          <w:ilvl w:val="0"/>
          <w:numId w:val="0"/>
        </w:numPr>
        <w:ind w:left="851"/>
        <w:rPr>
          <w:b/>
          <w:bCs/>
        </w:rPr>
      </w:pPr>
      <w:r w:rsidRPr="00EE123C">
        <w:rPr>
          <w:b/>
          <w:bCs/>
        </w:rPr>
        <w:t>Substitution Arrangements</w:t>
      </w:r>
    </w:p>
    <w:p w14:paraId="58C269B1" w14:textId="02F7A5D1" w:rsidR="00EE123C" w:rsidRDefault="00EE123C" w:rsidP="00ED701B">
      <w:pPr>
        <w:pStyle w:val="F9-Paragraph"/>
      </w:pPr>
      <w:r>
        <w:t>Sufficient protection based on engineering and operational safety measures should be retained at all times. In cases where designated safety measures are unavailable, adequate substitution arrangements should be provided. The extent of protection should be commensurate with the level of risk at the time that it is present. The purpose of substitution arrangements is to demonstrate that the risk remains acceptably low during planned or unplanned safety measure outages. For example, in the event of failure of a fissile concentration monitor, manual sampling could potentially substitute with a frequency demonstrated to be adequate in a safety assessment. The justification for such substitutions should be included in the safety case.</w:t>
      </w:r>
    </w:p>
    <w:p w14:paraId="0854080A" w14:textId="77777777" w:rsidR="005E0DAB" w:rsidRDefault="005E0DAB" w:rsidP="003526BC">
      <w:pPr>
        <w:pStyle w:val="F9-Paragraph"/>
        <w:numPr>
          <w:ilvl w:val="0"/>
          <w:numId w:val="0"/>
        </w:numPr>
        <w:ind w:left="851"/>
        <w:rPr>
          <w:b/>
          <w:bCs/>
        </w:rPr>
        <w:sectPr w:rsidR="005E0DAB" w:rsidSect="000B2BCD">
          <w:pgSz w:w="11906" w:h="16838" w:code="9"/>
          <w:pgMar w:top="1440" w:right="1440" w:bottom="1440" w:left="1440" w:header="397" w:footer="397" w:gutter="0"/>
          <w:cols w:space="312"/>
          <w:docGrid w:linePitch="360"/>
        </w:sectPr>
      </w:pPr>
    </w:p>
    <w:p w14:paraId="494D05BE" w14:textId="68D87651" w:rsidR="00EE123C" w:rsidRPr="003526BC" w:rsidRDefault="003526BC" w:rsidP="003526BC">
      <w:pPr>
        <w:pStyle w:val="F9-Paragraph"/>
        <w:numPr>
          <w:ilvl w:val="0"/>
          <w:numId w:val="0"/>
        </w:numPr>
        <w:ind w:left="851"/>
        <w:rPr>
          <w:b/>
          <w:bCs/>
        </w:rPr>
      </w:pPr>
      <w:r w:rsidRPr="003526BC">
        <w:rPr>
          <w:b/>
          <w:bCs/>
        </w:rPr>
        <w:lastRenderedPageBreak/>
        <w:t>Fissile Material Assay</w:t>
      </w:r>
    </w:p>
    <w:p w14:paraId="6246CD79" w14:textId="69369229" w:rsidR="003526BC" w:rsidRDefault="003526BC" w:rsidP="00476209">
      <w:pPr>
        <w:pStyle w:val="F9-Paragraph"/>
      </w:pPr>
      <w:bookmarkStart w:id="10" w:name="_Ref150254842"/>
      <w:r>
        <w:t>Fissile material assay is commonly formally credited within Safety Measures in criticality safety cases for both operational and decommissioning facilities. This may be undertaken using destructive techniques (e.g. chemical sampling), or Non-Destructive Assay (NDA) techniques (e.g. weighing or interrogation of the radiation emitted by a sample).</w:t>
      </w:r>
      <w:bookmarkEnd w:id="10"/>
    </w:p>
    <w:p w14:paraId="438CA1B5" w14:textId="261A98DA" w:rsidR="003526BC" w:rsidRDefault="003526BC" w:rsidP="00267B33">
      <w:pPr>
        <w:pStyle w:val="F9-Paragraph"/>
      </w:pPr>
      <w:r>
        <w:t xml:space="preserve">Fissile material assay may range from real-time process monitoring (e.g. to allow a response to detected process deviations), to quantitative assay to allow sentencing of material within set limits (e.g. prior to onward processing or waste disposal). Any fissile material assay technique which is formally claimed within a criticality safety case should be supported by appropriate substantiation of the approach and the underpinning assumptions, for both normal operating conditions and relevant fault conditions, to ensure it is suitably conservative and fit for purpose. This justification and underpinning of assumptions can be complex for certain Non-Destructive Assay techniques. For example, when using neutron and gamma interrogation, the assay result can vary significantly with the assumptions made for parameters such as (but not limited to) fissile material geometry and distribution, interstitial matrix material, container make-up and geometry, isotopic make-up, and presence of ‘interference’ materials (such as those contributing to alpha-n reactions, which lead to enhanced neutron emissions). Licensees are expected to give due consideration to Relevant Good Practice for the NDA technique being employed (e.g. the guidance given in </w:t>
      </w:r>
      <w:sdt>
        <w:sdtPr>
          <w:id w:val="-2029165260"/>
          <w:citation/>
        </w:sdtPr>
        <w:sdtEndPr/>
        <w:sdtContent>
          <w:r w:rsidR="0043514A">
            <w:fldChar w:fldCharType="begin"/>
          </w:r>
          <w:r w:rsidR="0043514A">
            <w:instrText xml:space="preserve"> CITATION NPL_GPG34_NDA \l 2057 </w:instrText>
          </w:r>
          <w:r w:rsidR="0043514A">
            <w:fldChar w:fldCharType="separate"/>
          </w:r>
          <w:r w:rsidR="006B2EEA">
            <w:rPr>
              <w:noProof/>
            </w:rPr>
            <w:t>[48]</w:t>
          </w:r>
          <w:r w:rsidR="0043514A">
            <w:fldChar w:fldCharType="end"/>
          </w:r>
        </w:sdtContent>
      </w:sdt>
      <w:r>
        <w:t>).</w:t>
      </w:r>
    </w:p>
    <w:p w14:paraId="57E7A20A" w14:textId="70C80D56" w:rsidR="003526BC" w:rsidRDefault="003526BC" w:rsidP="004C3EB7">
      <w:pPr>
        <w:pStyle w:val="F9-Paragraph"/>
      </w:pPr>
      <w:r>
        <w:t>The level of conservatism used in an analysis should take into consideration the overall risk, not just criticality risk. Inspectors should be aware that in some situations over-conservatism may lead to a safety dis-benefits downstream, for example generation, handling, storage and disposal of additional waste packages containing quantities of material that do not present a significant criticality safety concern. The licensee should demonstrate that risks have been appropriately balanced to ALARP.</w:t>
      </w:r>
    </w:p>
    <w:p w14:paraId="3A5330A6" w14:textId="10DC2E20" w:rsidR="005431DA" w:rsidRPr="005431DA" w:rsidRDefault="005431DA" w:rsidP="005431DA">
      <w:pPr>
        <w:pStyle w:val="F9-Paragraph"/>
        <w:numPr>
          <w:ilvl w:val="0"/>
          <w:numId w:val="0"/>
        </w:numPr>
        <w:ind w:left="851"/>
        <w:rPr>
          <w:b/>
          <w:bCs/>
        </w:rPr>
      </w:pPr>
      <w:r w:rsidRPr="005431DA">
        <w:rPr>
          <w:b/>
          <w:bCs/>
        </w:rPr>
        <w:t>Commissioning and Decommissioning</w:t>
      </w:r>
    </w:p>
    <w:p w14:paraId="62FB18A8" w14:textId="3E43B3FE" w:rsidR="00425C66" w:rsidRDefault="00425C66" w:rsidP="00C32A96">
      <w:pPr>
        <w:pStyle w:val="F9-Paragraph"/>
      </w:pPr>
      <w:r>
        <w:t>Special arrangements may need to be employed during commissioning and decommissioning of facilities, where the level of uncertainty may be higher than for normal operation of a facility. In particular, there may be uncertainty in the amount, form and location of fissile material present, and a need to derive bounding assumptions. In such circumstances, it would be expected that such uncertainties are taken into account when deriving demonstrably conservative sub-critical margins, which may result in an additional safety factor being applied. Increased levels of inspection and monitoring may be expected to underpin assumptions derived in the case and resolve uncertainties.</w:t>
      </w:r>
    </w:p>
    <w:p w14:paraId="51ED375A" w14:textId="77777777" w:rsidR="005E0DAB" w:rsidRDefault="005E0DAB" w:rsidP="00F60686">
      <w:pPr>
        <w:pStyle w:val="F9-Paragraph"/>
        <w:sectPr w:rsidR="005E0DAB" w:rsidSect="000B2BCD">
          <w:pgSz w:w="11906" w:h="16838" w:code="9"/>
          <w:pgMar w:top="1440" w:right="1440" w:bottom="1440" w:left="1440" w:header="397" w:footer="397" w:gutter="0"/>
          <w:cols w:space="312"/>
          <w:docGrid w:linePitch="360"/>
        </w:sectPr>
      </w:pPr>
      <w:bookmarkStart w:id="11" w:name="_Ref150254851"/>
    </w:p>
    <w:p w14:paraId="6D26C020" w14:textId="1496D72C" w:rsidR="00425C66" w:rsidRDefault="00425C66" w:rsidP="00F60686">
      <w:pPr>
        <w:pStyle w:val="F9-Paragraph"/>
      </w:pPr>
      <w:r>
        <w:lastRenderedPageBreak/>
        <w:t>Characterisation of the fissile content should be undertaken as far as reasonably practicable. The addition of neutron absorbers may also be considered to reduce neutron interaction and to isolate from other fissile materials.</w:t>
      </w:r>
      <w:bookmarkEnd w:id="11"/>
    </w:p>
    <w:p w14:paraId="02A56D30" w14:textId="77777777" w:rsidR="00425C66" w:rsidRPr="00425C66" w:rsidRDefault="00425C66" w:rsidP="00425C66">
      <w:pPr>
        <w:pStyle w:val="F9-Paragraph"/>
        <w:numPr>
          <w:ilvl w:val="0"/>
          <w:numId w:val="0"/>
        </w:numPr>
        <w:ind w:left="851"/>
        <w:rPr>
          <w:b/>
          <w:bCs/>
        </w:rPr>
      </w:pPr>
      <w:r w:rsidRPr="00425C66">
        <w:rPr>
          <w:b/>
          <w:bCs/>
        </w:rPr>
        <w:t xml:space="preserve">Mitigation of Criticality Consequences </w:t>
      </w:r>
    </w:p>
    <w:p w14:paraId="65E7B2A9" w14:textId="505295E2" w:rsidR="00425C66" w:rsidRDefault="00425C66" w:rsidP="00EB22A7">
      <w:pPr>
        <w:pStyle w:val="F9-Paragraph"/>
      </w:pPr>
      <w:r>
        <w:t>Consideration should be given during facility design, operation and periodic review to the actions that may be necessary to make the facility safe following a criticality accident. Possible approaches could take the form of installation of isolation valves, remote control systems, local stocks of soluble neutron absorbers, portable shielding or other means of safely altering process conditions to achieve a safe state and restore management control.</w:t>
      </w:r>
    </w:p>
    <w:p w14:paraId="130303F3" w14:textId="3C4E58A5" w:rsidR="00425C66" w:rsidRDefault="00425C66" w:rsidP="00414BD5">
      <w:pPr>
        <w:pStyle w:val="F9-Paragraph"/>
      </w:pPr>
      <w:r>
        <w:t xml:space="preserve">The radiological effects from an unplanned criticality should be identified and reduced ALARP (see principle FP.6 in the SAPs </w:t>
      </w:r>
      <w:sdt>
        <w:sdtPr>
          <w:id w:val="2113240377"/>
          <w:citation/>
        </w:sdtPr>
        <w:sdtEndPr/>
        <w:sdtContent>
          <w:r>
            <w:fldChar w:fldCharType="begin"/>
          </w:r>
          <w:r>
            <w:instrText xml:space="preserve"> CITATION ONR_SAPs \l 2057 </w:instrText>
          </w:r>
          <w:r>
            <w:fldChar w:fldCharType="separate"/>
          </w:r>
          <w:r w:rsidR="006B2EEA">
            <w:rPr>
              <w:noProof/>
            </w:rPr>
            <w:t>[1]</w:t>
          </w:r>
          <w:r>
            <w:fldChar w:fldCharType="end"/>
          </w:r>
        </w:sdtContent>
      </w:sdt>
      <w:r>
        <w:t xml:space="preserve">). This should include identification of those individuals at risk from injury and identification of the range of measures that have the potential to reduce exposures. Such measures should be commensurate with the level of risk and may include fixed warning systems, portable gamma monitors or the provision of suitable shielding. </w:t>
      </w:r>
    </w:p>
    <w:p w14:paraId="63153DAA" w14:textId="2D3F1C66" w:rsidR="00425C66" w:rsidRDefault="00FE6EE6" w:rsidP="00BF5032">
      <w:pPr>
        <w:pStyle w:val="F9-Paragraph"/>
      </w:pPr>
      <w:r>
        <w:t>UK Health Security Agency, UKHSA</w:t>
      </w:r>
      <w:r w:rsidR="00704610">
        <w:rPr>
          <w:rStyle w:val="FootnoteReference"/>
        </w:rPr>
        <w:footnoteReference w:id="3"/>
      </w:r>
      <w:r w:rsidR="009E3171">
        <w:t xml:space="preserve"> </w:t>
      </w:r>
      <w:r w:rsidR="00425C66">
        <w:t>, has provided general guidance on the protection of on</w:t>
      </w:r>
      <w:r w:rsidR="009E3171">
        <w:t>-</w:t>
      </w:r>
      <w:r w:rsidR="00425C66">
        <w:t xml:space="preserve">site personnel in the event of a radiation accident </w:t>
      </w:r>
      <w:sdt>
        <w:sdtPr>
          <w:id w:val="69161336"/>
          <w:citation/>
        </w:sdtPr>
        <w:sdtEndPr/>
        <w:sdtContent>
          <w:r w:rsidR="009E3171">
            <w:fldChar w:fldCharType="begin"/>
          </w:r>
          <w:r w:rsidR="009E3171">
            <w:instrText xml:space="preserve"> CITATION NRPB_Crit \l 2057 </w:instrText>
          </w:r>
          <w:r w:rsidR="009E3171">
            <w:fldChar w:fldCharType="separate"/>
          </w:r>
          <w:r w:rsidR="006B2EEA">
            <w:rPr>
              <w:noProof/>
            </w:rPr>
            <w:t>[49]</w:t>
          </w:r>
          <w:r w:rsidR="009E3171">
            <w:fldChar w:fldCharType="end"/>
          </w:r>
        </w:sdtContent>
      </w:sdt>
      <w:r w:rsidR="00425C66">
        <w:t xml:space="preserve">. This guidance applies to all types of sites, including nuclear sites. </w:t>
      </w:r>
      <w:r w:rsidR="002A1954">
        <w:t>UKHSA</w:t>
      </w:r>
      <w:r w:rsidR="00425C66">
        <w:t xml:space="preserve"> points out that a radiation accident may give rise to both deterministic health effects and stochastic health effects. (Note that, in general, off-site personnel are unlikely to receive doses high enough to result in deterministic effects as a result of a criticality incident.)</w:t>
      </w:r>
    </w:p>
    <w:p w14:paraId="392EF274" w14:textId="751B4CD2" w:rsidR="00425C66" w:rsidRDefault="00425C66" w:rsidP="008B1370">
      <w:pPr>
        <w:pStyle w:val="F9-Paragraph"/>
      </w:pPr>
      <w:r>
        <w:t xml:space="preserve">The </w:t>
      </w:r>
      <w:r w:rsidR="00704610">
        <w:t>UKHSA</w:t>
      </w:r>
      <w:r>
        <w:t xml:space="preserve"> guidance states that the purpose of prior measures for on-site personnel for radiation accidents should be to avoid deterministic effects and to reduce the probability of stochastic effects so far as is reasonably practicable (in line with the ALARP principle). Priority should be given to the avoidance of deterministic effects.</w:t>
      </w:r>
    </w:p>
    <w:p w14:paraId="14F11256" w14:textId="328106BF" w:rsidR="00425C66" w:rsidRDefault="00425C66" w:rsidP="009D43DD">
      <w:pPr>
        <w:pStyle w:val="F9-Paragraph"/>
      </w:pPr>
      <w:r>
        <w:t>A criticality incident is one type of radiation accident that could give rise to very high doses, resulting in deterministic effects to on-site personnel. Hence, a system of safety measures should be provided to reduce the probability of a criticality incident so far as is reasonably practicable. This is fully consistent with principle ECR.1 in the SAPs</w:t>
      </w:r>
      <w:r w:rsidR="00EE76B1">
        <w:t xml:space="preserve"> </w:t>
      </w:r>
      <w:sdt>
        <w:sdtPr>
          <w:id w:val="-920334647"/>
          <w:citation/>
        </w:sdtPr>
        <w:sdtEndPr/>
        <w:sdtContent>
          <w:r w:rsidR="00EE76B1">
            <w:fldChar w:fldCharType="begin"/>
          </w:r>
          <w:r w:rsidR="00EE76B1">
            <w:instrText xml:space="preserve"> CITATION ONR_SAPs \l 2057 </w:instrText>
          </w:r>
          <w:r w:rsidR="00EE76B1">
            <w:fldChar w:fldCharType="separate"/>
          </w:r>
          <w:r w:rsidR="006B2EEA">
            <w:rPr>
              <w:noProof/>
            </w:rPr>
            <w:t>[1]</w:t>
          </w:r>
          <w:r w:rsidR="00EE76B1">
            <w:fldChar w:fldCharType="end"/>
          </w:r>
        </w:sdtContent>
      </w:sdt>
      <w:r>
        <w:t xml:space="preserve">. </w:t>
      </w:r>
    </w:p>
    <w:p w14:paraId="3B479D54" w14:textId="77777777" w:rsidR="005E0DAB" w:rsidRDefault="005E0DAB" w:rsidP="00EE76B1">
      <w:pPr>
        <w:pStyle w:val="F9-Paragraph"/>
        <w:numPr>
          <w:ilvl w:val="0"/>
          <w:numId w:val="0"/>
        </w:numPr>
        <w:ind w:left="851"/>
        <w:rPr>
          <w:b/>
          <w:bCs/>
        </w:rPr>
        <w:sectPr w:rsidR="005E0DAB" w:rsidSect="000B2BCD">
          <w:pgSz w:w="11906" w:h="16838" w:code="9"/>
          <w:pgMar w:top="1440" w:right="1440" w:bottom="1440" w:left="1440" w:header="397" w:footer="397" w:gutter="0"/>
          <w:cols w:space="312"/>
          <w:docGrid w:linePitch="360"/>
        </w:sectPr>
      </w:pPr>
    </w:p>
    <w:p w14:paraId="7F59213D" w14:textId="77777777" w:rsidR="00425C66" w:rsidRPr="00EE76B1" w:rsidRDefault="00425C66" w:rsidP="00EE76B1">
      <w:pPr>
        <w:pStyle w:val="F9-Paragraph"/>
        <w:numPr>
          <w:ilvl w:val="0"/>
          <w:numId w:val="0"/>
        </w:numPr>
        <w:ind w:left="851"/>
        <w:rPr>
          <w:b/>
          <w:bCs/>
        </w:rPr>
      </w:pPr>
      <w:r w:rsidRPr="00EE76B1">
        <w:rPr>
          <w:b/>
          <w:bCs/>
        </w:rPr>
        <w:lastRenderedPageBreak/>
        <w:t xml:space="preserve">Working Party on Criticality </w:t>
      </w:r>
    </w:p>
    <w:p w14:paraId="256F7FE1" w14:textId="69B2AD0E" w:rsidR="005431DA" w:rsidRDefault="00425C66" w:rsidP="004D0167">
      <w:pPr>
        <w:pStyle w:val="F9-Paragraph"/>
      </w:pPr>
      <w:r>
        <w:t xml:space="preserve">In the UK, the Working Party on Criticality </w:t>
      </w:r>
      <w:r w:rsidR="00156389">
        <w:t xml:space="preserve">(WPC) </w:t>
      </w:r>
      <w:r>
        <w:t>has existed under its current title since 1977 and includes practitioners from regulatory bodies and industry. The papers and minutes of this committee provide a guide to current industry good practice. The committee is non-executive in status, but nonetheless is recognised and authoritative and has a number of roles, including the provision for exchange of information between different UK organisations. It also has a role in co-ordinating the UK response to international initiatives</w:t>
      </w:r>
      <w:r w:rsidR="00EE76B1">
        <w:t>.</w:t>
      </w:r>
    </w:p>
    <w:p w14:paraId="5833847B" w14:textId="12D9FEB1" w:rsidR="00EE76B1" w:rsidRPr="00EE76B1" w:rsidRDefault="00EE76B1" w:rsidP="00EE76B1">
      <w:pPr>
        <w:pStyle w:val="F9-Paragraph"/>
        <w:numPr>
          <w:ilvl w:val="0"/>
          <w:numId w:val="0"/>
        </w:numPr>
        <w:ind w:left="851"/>
        <w:rPr>
          <w:b/>
          <w:bCs/>
        </w:rPr>
      </w:pPr>
      <w:r w:rsidRPr="00EE76B1">
        <w:rPr>
          <w:b/>
          <w:bCs/>
        </w:rPr>
        <w:t>Assessment Guidance</w:t>
      </w:r>
    </w:p>
    <w:p w14:paraId="514F6403" w14:textId="5E9F7124" w:rsidR="00660071" w:rsidRDefault="00660071" w:rsidP="00465748">
      <w:pPr>
        <w:pStyle w:val="F9-Paragraph"/>
      </w:pPr>
      <w:r>
        <w:t>This section presents suggested guidance in the form of a list of points the ONR assessor may look for when considering a licensee’s criticality safety assessment. This list is not exhaustive.</w:t>
      </w:r>
    </w:p>
    <w:p w14:paraId="6DBCAD7A" w14:textId="02868ABB" w:rsidR="00660071" w:rsidRDefault="00660071" w:rsidP="00660071">
      <w:pPr>
        <w:pStyle w:val="F9-Paragraph"/>
        <w:numPr>
          <w:ilvl w:val="0"/>
          <w:numId w:val="41"/>
        </w:numPr>
      </w:pPr>
      <w:r>
        <w:t>Comprehensive and conservative fissile inventory identification;</w:t>
      </w:r>
    </w:p>
    <w:p w14:paraId="7A581681" w14:textId="7E84CEAB" w:rsidR="00660071" w:rsidRDefault="00660071" w:rsidP="00660071">
      <w:pPr>
        <w:pStyle w:val="F9-Paragraph"/>
        <w:numPr>
          <w:ilvl w:val="0"/>
          <w:numId w:val="41"/>
        </w:numPr>
      </w:pPr>
      <w:r>
        <w:t>Adequate knowledge of the process and flowsheet conditions;</w:t>
      </w:r>
    </w:p>
    <w:p w14:paraId="2064565D" w14:textId="4A342835" w:rsidR="00660071" w:rsidRDefault="00660071" w:rsidP="00660071">
      <w:pPr>
        <w:pStyle w:val="F9-Paragraph"/>
        <w:numPr>
          <w:ilvl w:val="0"/>
          <w:numId w:val="41"/>
        </w:numPr>
      </w:pPr>
      <w:r>
        <w:t xml:space="preserve">Identification of </w:t>
      </w:r>
      <w:r w:rsidR="00476FE1">
        <w:t>all credib</w:t>
      </w:r>
      <w:r>
        <w:t>le faults that could lead to criticality;</w:t>
      </w:r>
    </w:p>
    <w:p w14:paraId="1B6F55BF" w14:textId="44AED74D" w:rsidR="00660071" w:rsidRDefault="00660071" w:rsidP="00660071">
      <w:pPr>
        <w:pStyle w:val="F9-Paragraph"/>
        <w:numPr>
          <w:ilvl w:val="0"/>
          <w:numId w:val="41"/>
        </w:numPr>
      </w:pPr>
      <w:r>
        <w:t>Production of a safety analysis, including limits and conditions necessary in the interests of safety (operating rules). This analysis should cover both normal and fault conditions;</w:t>
      </w:r>
    </w:p>
    <w:p w14:paraId="45FFAEFF" w14:textId="49D847E6" w:rsidR="00660071" w:rsidRDefault="00660071" w:rsidP="00660071">
      <w:pPr>
        <w:pStyle w:val="F9-Paragraph"/>
        <w:numPr>
          <w:ilvl w:val="0"/>
          <w:numId w:val="41"/>
        </w:numPr>
      </w:pPr>
      <w:r>
        <w:t>Appropriate choice of calculation methods, e.g. use of computer calculations, hand calculations and/or handbook data;</w:t>
      </w:r>
    </w:p>
    <w:p w14:paraId="7CE93E9B" w14:textId="6F8EF76F" w:rsidR="00660071" w:rsidRDefault="00660071" w:rsidP="00660071">
      <w:pPr>
        <w:pStyle w:val="F9-Paragraph"/>
        <w:numPr>
          <w:ilvl w:val="0"/>
          <w:numId w:val="41"/>
        </w:numPr>
      </w:pPr>
      <w:r>
        <w:t>Adequate sampling and convergence of Monte Carlo computer codes;</w:t>
      </w:r>
    </w:p>
    <w:p w14:paraId="1B13B593" w14:textId="3E1EB58F" w:rsidR="00660071" w:rsidRDefault="00660071" w:rsidP="00660071">
      <w:pPr>
        <w:pStyle w:val="F9-Paragraph"/>
        <w:numPr>
          <w:ilvl w:val="0"/>
          <w:numId w:val="41"/>
        </w:numPr>
      </w:pPr>
      <w:r>
        <w:t>Adequate validation and verification of calculation methods;</w:t>
      </w:r>
    </w:p>
    <w:p w14:paraId="7A0EE68F" w14:textId="22D5F160" w:rsidR="00660071" w:rsidRDefault="00660071" w:rsidP="00660071">
      <w:pPr>
        <w:pStyle w:val="F9-Paragraph"/>
        <w:numPr>
          <w:ilvl w:val="0"/>
          <w:numId w:val="41"/>
        </w:numPr>
      </w:pPr>
      <w:r>
        <w:t>Demonstration of appropriate sensitivity analyses to variations in key parameters within the modelling approach used;</w:t>
      </w:r>
    </w:p>
    <w:p w14:paraId="4860F12E" w14:textId="2D5C212D" w:rsidR="00660071" w:rsidRDefault="00660071" w:rsidP="00660071">
      <w:pPr>
        <w:pStyle w:val="F9-Paragraph"/>
        <w:numPr>
          <w:ilvl w:val="0"/>
          <w:numId w:val="41"/>
        </w:numPr>
      </w:pPr>
      <w:r>
        <w:t>Where appropriate, cross checks of calculations using independent methods (e.g. novel or complex scenarios, where limited validation is available, or when safety margins are small);</w:t>
      </w:r>
    </w:p>
    <w:p w14:paraId="4A115B49" w14:textId="349D1FD8" w:rsidR="00660071" w:rsidRDefault="00660071" w:rsidP="00660071">
      <w:pPr>
        <w:pStyle w:val="F9-Paragraph"/>
        <w:numPr>
          <w:ilvl w:val="0"/>
          <w:numId w:val="41"/>
        </w:numPr>
      </w:pPr>
      <w:r>
        <w:t>Independent peer review carried out where appropriate;</w:t>
      </w:r>
    </w:p>
    <w:p w14:paraId="615AA7EF" w14:textId="0BF0244A" w:rsidR="00660071" w:rsidRDefault="00660071" w:rsidP="00660071">
      <w:pPr>
        <w:pStyle w:val="F9-Paragraph"/>
        <w:numPr>
          <w:ilvl w:val="0"/>
          <w:numId w:val="41"/>
        </w:numPr>
      </w:pPr>
      <w:r>
        <w:t>Adequate ALARP assessment, including a demonstration that the minimum quantity of fissile material will be used and the minimum number of fissile moves will be carried out, consistent with the process requirements;</w:t>
      </w:r>
    </w:p>
    <w:p w14:paraId="4BA89A5B" w14:textId="0C019EEA" w:rsidR="00660071" w:rsidRDefault="00660071" w:rsidP="00660071">
      <w:pPr>
        <w:pStyle w:val="F9-Paragraph"/>
        <w:numPr>
          <w:ilvl w:val="0"/>
          <w:numId w:val="41"/>
        </w:numPr>
      </w:pPr>
      <w:r>
        <w:t>Compliance with the hierarchy of protection, i.e. preference given to passive engineered safety measures such as geometrically favourable vessels and pipework; and</w:t>
      </w:r>
    </w:p>
    <w:p w14:paraId="08F0172B" w14:textId="1588A081" w:rsidR="00F7687C" w:rsidRDefault="00660071" w:rsidP="00660071">
      <w:pPr>
        <w:pStyle w:val="F9-Paragraph"/>
        <w:numPr>
          <w:ilvl w:val="0"/>
          <w:numId w:val="41"/>
        </w:numPr>
        <w:sectPr w:rsidR="00F7687C" w:rsidSect="000B2BCD">
          <w:pgSz w:w="11906" w:h="16838" w:code="9"/>
          <w:pgMar w:top="1440" w:right="1440" w:bottom="1440" w:left="1440" w:header="397" w:footer="397" w:gutter="0"/>
          <w:cols w:space="312"/>
          <w:docGrid w:linePitch="360"/>
        </w:sectPr>
      </w:pPr>
      <w:r>
        <w:lastRenderedPageBreak/>
        <w:t>Confirmation that the licensee’s criticality safety analyst and peer reviewer are SQEP.</w:t>
      </w:r>
    </w:p>
    <w:bookmarkStart w:id="12" w:name="_Toc156293671"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E809C1">
          <w:pPr>
            <w:pStyle w:val="Heading1"/>
            <w:numPr>
              <w:ilvl w:val="0"/>
              <w:numId w:val="0"/>
            </w:numPr>
            <w:spacing w:after="0"/>
          </w:pPr>
          <w:r>
            <w:t>References</w:t>
          </w:r>
          <w:bookmarkEnd w:id="12"/>
        </w:p>
        <w:sdt>
          <w:sdtPr>
            <w:id w:val="700524479"/>
            <w:bibliography/>
          </w:sdtPr>
          <w:sdtEndPr/>
          <w:sdtContent>
            <w:p w14:paraId="015E4762" w14:textId="77777777" w:rsidR="006B2EEA" w:rsidRDefault="00F7687C" w:rsidP="00521E49">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B2EEA" w14:paraId="657FAC41" w14:textId="77777777">
                <w:trPr>
                  <w:divId w:val="708071725"/>
                  <w:tblCellSpacing w:w="15" w:type="dxa"/>
                </w:trPr>
                <w:tc>
                  <w:tcPr>
                    <w:tcW w:w="50" w:type="pct"/>
                    <w:hideMark/>
                  </w:tcPr>
                  <w:p w14:paraId="5C60847C" w14:textId="727804D5" w:rsidR="006B2EEA" w:rsidRPr="00521E49" w:rsidRDefault="006B2EEA">
                    <w:pPr>
                      <w:pStyle w:val="Bibliography"/>
                      <w:rPr>
                        <w:noProof/>
                        <w:szCs w:val="24"/>
                      </w:rPr>
                    </w:pPr>
                    <w:r w:rsidRPr="00521E49">
                      <w:rPr>
                        <w:noProof/>
                      </w:rPr>
                      <w:t xml:space="preserve">[1] </w:t>
                    </w:r>
                  </w:p>
                </w:tc>
                <w:tc>
                  <w:tcPr>
                    <w:tcW w:w="0" w:type="auto"/>
                    <w:hideMark/>
                  </w:tcPr>
                  <w:p w14:paraId="7DC76521" w14:textId="77777777" w:rsidR="006B2EEA" w:rsidRPr="00521E49" w:rsidRDefault="006B2EEA">
                    <w:pPr>
                      <w:pStyle w:val="Bibliography"/>
                      <w:rPr>
                        <w:noProof/>
                      </w:rPr>
                    </w:pPr>
                    <w:r w:rsidRPr="00521E49">
                      <w:rPr>
                        <w:noProof/>
                      </w:rPr>
                      <w:t xml:space="preserve">ONR, Safety Assessment Principles (SAPs) for Nuclear Facilities - 2014 Edition (Revision 1), 2020. </w:t>
                    </w:r>
                  </w:p>
                </w:tc>
              </w:tr>
              <w:tr w:rsidR="006B2EEA" w14:paraId="659E9C3D" w14:textId="77777777">
                <w:trPr>
                  <w:divId w:val="708071725"/>
                  <w:tblCellSpacing w:w="15" w:type="dxa"/>
                </w:trPr>
                <w:tc>
                  <w:tcPr>
                    <w:tcW w:w="50" w:type="pct"/>
                    <w:hideMark/>
                  </w:tcPr>
                  <w:p w14:paraId="6E0030D2" w14:textId="77777777" w:rsidR="006B2EEA" w:rsidRPr="00521E49" w:rsidRDefault="006B2EEA">
                    <w:pPr>
                      <w:pStyle w:val="Bibliography"/>
                      <w:rPr>
                        <w:noProof/>
                      </w:rPr>
                    </w:pPr>
                    <w:r w:rsidRPr="00521E49">
                      <w:rPr>
                        <w:noProof/>
                      </w:rPr>
                      <w:t xml:space="preserve">[2] </w:t>
                    </w:r>
                  </w:p>
                </w:tc>
                <w:tc>
                  <w:tcPr>
                    <w:tcW w:w="0" w:type="auto"/>
                    <w:hideMark/>
                  </w:tcPr>
                  <w:p w14:paraId="185DE81F" w14:textId="77777777" w:rsidR="006B2EEA" w:rsidRPr="00521E49" w:rsidRDefault="006B2EEA">
                    <w:pPr>
                      <w:pStyle w:val="Bibliography"/>
                      <w:rPr>
                        <w:noProof/>
                      </w:rPr>
                    </w:pPr>
                    <w:r w:rsidRPr="00521E49">
                      <w:rPr>
                        <w:noProof/>
                      </w:rPr>
                      <w:t xml:space="preserve">ONR, NS-TAST-GD-005 Revision 11.2, "Guidance on the Demonstration of ALARP (As Low As Reasonably Practicable)", June 2023. </w:t>
                    </w:r>
                  </w:p>
                </w:tc>
              </w:tr>
              <w:tr w:rsidR="006B2EEA" w14:paraId="51BE3B20" w14:textId="77777777">
                <w:trPr>
                  <w:divId w:val="708071725"/>
                  <w:tblCellSpacing w:w="15" w:type="dxa"/>
                </w:trPr>
                <w:tc>
                  <w:tcPr>
                    <w:tcW w:w="50" w:type="pct"/>
                    <w:hideMark/>
                  </w:tcPr>
                  <w:p w14:paraId="10DCCC18" w14:textId="77777777" w:rsidR="006B2EEA" w:rsidRPr="00521E49" w:rsidRDefault="006B2EEA">
                    <w:pPr>
                      <w:pStyle w:val="Bibliography"/>
                      <w:rPr>
                        <w:noProof/>
                      </w:rPr>
                    </w:pPr>
                    <w:r w:rsidRPr="00521E49">
                      <w:rPr>
                        <w:noProof/>
                      </w:rPr>
                      <w:t xml:space="preserve">[3] </w:t>
                    </w:r>
                  </w:p>
                </w:tc>
                <w:tc>
                  <w:tcPr>
                    <w:tcW w:w="0" w:type="auto"/>
                    <w:hideMark/>
                  </w:tcPr>
                  <w:p w14:paraId="018E78D5" w14:textId="77777777" w:rsidR="006B2EEA" w:rsidRPr="00521E49" w:rsidRDefault="006B2EEA">
                    <w:pPr>
                      <w:pStyle w:val="Bibliography"/>
                      <w:rPr>
                        <w:noProof/>
                      </w:rPr>
                    </w:pPr>
                    <w:r w:rsidRPr="00521E49">
                      <w:rPr>
                        <w:noProof/>
                      </w:rPr>
                      <w:t xml:space="preserve">Western European Nuclear Regulators Association, Reactor Harmonization Group. WENRA Reactor Reference Safety Levels, September 2014. </w:t>
                    </w:r>
                  </w:p>
                </w:tc>
              </w:tr>
              <w:tr w:rsidR="006B2EEA" w14:paraId="41F60DA6" w14:textId="77777777">
                <w:trPr>
                  <w:divId w:val="708071725"/>
                  <w:tblCellSpacing w:w="15" w:type="dxa"/>
                </w:trPr>
                <w:tc>
                  <w:tcPr>
                    <w:tcW w:w="50" w:type="pct"/>
                    <w:hideMark/>
                  </w:tcPr>
                  <w:p w14:paraId="09EF19DD" w14:textId="77777777" w:rsidR="006B2EEA" w:rsidRPr="00521E49" w:rsidRDefault="006B2EEA">
                    <w:pPr>
                      <w:pStyle w:val="Bibliography"/>
                      <w:rPr>
                        <w:noProof/>
                      </w:rPr>
                    </w:pPr>
                    <w:r w:rsidRPr="00521E49">
                      <w:rPr>
                        <w:noProof/>
                      </w:rPr>
                      <w:t xml:space="preserve">[4] </w:t>
                    </w:r>
                  </w:p>
                </w:tc>
                <w:tc>
                  <w:tcPr>
                    <w:tcW w:w="0" w:type="auto"/>
                    <w:hideMark/>
                  </w:tcPr>
                  <w:p w14:paraId="34BFED0E" w14:textId="77777777" w:rsidR="006B2EEA" w:rsidRPr="00521E49" w:rsidRDefault="006B2EEA">
                    <w:pPr>
                      <w:pStyle w:val="Bibliography"/>
                      <w:rPr>
                        <w:noProof/>
                      </w:rPr>
                    </w:pPr>
                    <w:r w:rsidRPr="00521E49">
                      <w:rPr>
                        <w:noProof/>
                      </w:rPr>
                      <w:t xml:space="preserve">ONR, NS-TAST-GD-097 Revision 2, "Criticality Safety Assessment of Transport Packages", April 2020. </w:t>
                    </w:r>
                  </w:p>
                </w:tc>
              </w:tr>
              <w:tr w:rsidR="006B2EEA" w14:paraId="157ED3E5" w14:textId="77777777">
                <w:trPr>
                  <w:divId w:val="708071725"/>
                  <w:tblCellSpacing w:w="15" w:type="dxa"/>
                </w:trPr>
                <w:tc>
                  <w:tcPr>
                    <w:tcW w:w="50" w:type="pct"/>
                    <w:hideMark/>
                  </w:tcPr>
                  <w:p w14:paraId="177671CC" w14:textId="77777777" w:rsidR="006B2EEA" w:rsidRPr="00521E49" w:rsidRDefault="006B2EEA">
                    <w:pPr>
                      <w:pStyle w:val="Bibliography"/>
                      <w:rPr>
                        <w:noProof/>
                      </w:rPr>
                    </w:pPr>
                    <w:r w:rsidRPr="00521E49">
                      <w:rPr>
                        <w:noProof/>
                      </w:rPr>
                      <w:t xml:space="preserve">[5] </w:t>
                    </w:r>
                  </w:p>
                </w:tc>
                <w:tc>
                  <w:tcPr>
                    <w:tcW w:w="0" w:type="auto"/>
                    <w:hideMark/>
                  </w:tcPr>
                  <w:p w14:paraId="35F86671" w14:textId="77777777" w:rsidR="006B2EEA" w:rsidRPr="00521E49" w:rsidRDefault="006B2EEA">
                    <w:pPr>
                      <w:pStyle w:val="Bibliography"/>
                      <w:rPr>
                        <w:noProof/>
                      </w:rPr>
                    </w:pPr>
                    <w:r w:rsidRPr="00521E49">
                      <w:rPr>
                        <w:noProof/>
                      </w:rPr>
                      <w:t xml:space="preserve">Environment Agency et al, "Geological Disposal Facilities on Land for Solid Radioactive Wastes, Guidance on Requirements for Authorisation", February 2009. </w:t>
                    </w:r>
                  </w:p>
                </w:tc>
              </w:tr>
              <w:tr w:rsidR="006B2EEA" w14:paraId="238905F2" w14:textId="77777777">
                <w:trPr>
                  <w:divId w:val="708071725"/>
                  <w:tblCellSpacing w:w="15" w:type="dxa"/>
                </w:trPr>
                <w:tc>
                  <w:tcPr>
                    <w:tcW w:w="50" w:type="pct"/>
                    <w:hideMark/>
                  </w:tcPr>
                  <w:p w14:paraId="3D93BFAC" w14:textId="77777777" w:rsidR="006B2EEA" w:rsidRPr="00521E49" w:rsidRDefault="006B2EEA">
                    <w:pPr>
                      <w:pStyle w:val="Bibliography"/>
                      <w:rPr>
                        <w:noProof/>
                      </w:rPr>
                    </w:pPr>
                    <w:r w:rsidRPr="00521E49">
                      <w:rPr>
                        <w:noProof/>
                      </w:rPr>
                      <w:t xml:space="preserve">[6] </w:t>
                    </w:r>
                  </w:p>
                </w:tc>
                <w:tc>
                  <w:tcPr>
                    <w:tcW w:w="0" w:type="auto"/>
                    <w:hideMark/>
                  </w:tcPr>
                  <w:p w14:paraId="682D0E43" w14:textId="77777777" w:rsidR="006B2EEA" w:rsidRPr="00521E49" w:rsidRDefault="006B2EEA">
                    <w:pPr>
                      <w:pStyle w:val="Bibliography"/>
                      <w:rPr>
                        <w:noProof/>
                      </w:rPr>
                    </w:pPr>
                    <w:r w:rsidRPr="00521E49">
                      <w:rPr>
                        <w:noProof/>
                      </w:rPr>
                      <w:t xml:space="preserve">ONR, "Licence Condition Handbook", February 2017, htts://www.onr.org.uk/documents/licence-condition-handbook.pdf. </w:t>
                    </w:r>
                  </w:p>
                </w:tc>
              </w:tr>
              <w:tr w:rsidR="006B2EEA" w14:paraId="6D053E55" w14:textId="77777777">
                <w:trPr>
                  <w:divId w:val="708071725"/>
                  <w:tblCellSpacing w:w="15" w:type="dxa"/>
                </w:trPr>
                <w:tc>
                  <w:tcPr>
                    <w:tcW w:w="50" w:type="pct"/>
                    <w:hideMark/>
                  </w:tcPr>
                  <w:p w14:paraId="5AB5D414" w14:textId="77777777" w:rsidR="006B2EEA" w:rsidRPr="00521E49" w:rsidRDefault="006B2EEA">
                    <w:pPr>
                      <w:pStyle w:val="Bibliography"/>
                      <w:rPr>
                        <w:noProof/>
                      </w:rPr>
                    </w:pPr>
                    <w:r w:rsidRPr="00521E49">
                      <w:rPr>
                        <w:noProof/>
                      </w:rPr>
                      <w:t xml:space="preserve">[7] </w:t>
                    </w:r>
                  </w:p>
                </w:tc>
                <w:tc>
                  <w:tcPr>
                    <w:tcW w:w="0" w:type="auto"/>
                    <w:hideMark/>
                  </w:tcPr>
                  <w:p w14:paraId="0C95E1D4" w14:textId="77777777" w:rsidR="006B2EEA" w:rsidRPr="00521E49" w:rsidRDefault="006B2EEA">
                    <w:pPr>
                      <w:pStyle w:val="Bibliography"/>
                      <w:rPr>
                        <w:noProof/>
                      </w:rPr>
                    </w:pPr>
                    <w:r w:rsidRPr="00521E49">
                      <w:rPr>
                        <w:noProof/>
                      </w:rPr>
                      <w:t xml:space="preserve">ONR, NS-TAST-GD-035 Revision 7, "Limits and Conditions for Nuclear Safety (Operating Rules)", March 2023. </w:t>
                    </w:r>
                  </w:p>
                </w:tc>
              </w:tr>
              <w:tr w:rsidR="006B2EEA" w14:paraId="0D18AF11" w14:textId="77777777">
                <w:trPr>
                  <w:divId w:val="708071725"/>
                  <w:tblCellSpacing w:w="15" w:type="dxa"/>
                </w:trPr>
                <w:tc>
                  <w:tcPr>
                    <w:tcW w:w="50" w:type="pct"/>
                    <w:hideMark/>
                  </w:tcPr>
                  <w:p w14:paraId="7D35252E" w14:textId="77777777" w:rsidR="006B2EEA" w:rsidRPr="00521E49" w:rsidRDefault="006B2EEA">
                    <w:pPr>
                      <w:pStyle w:val="Bibliography"/>
                      <w:rPr>
                        <w:noProof/>
                      </w:rPr>
                    </w:pPr>
                    <w:r w:rsidRPr="00521E49">
                      <w:rPr>
                        <w:noProof/>
                      </w:rPr>
                      <w:t xml:space="preserve">[8] </w:t>
                    </w:r>
                  </w:p>
                </w:tc>
                <w:tc>
                  <w:tcPr>
                    <w:tcW w:w="0" w:type="auto"/>
                    <w:hideMark/>
                  </w:tcPr>
                  <w:p w14:paraId="7AE061E6" w14:textId="77777777" w:rsidR="006B2EEA" w:rsidRPr="00521E49" w:rsidRDefault="006B2EEA">
                    <w:pPr>
                      <w:pStyle w:val="Bibliography"/>
                      <w:rPr>
                        <w:noProof/>
                      </w:rPr>
                    </w:pPr>
                    <w:r w:rsidRPr="00521E49">
                      <w:rPr>
                        <w:noProof/>
                      </w:rPr>
                      <w:t xml:space="preserve">"The Identification of Conditions and Limits Necessary in the Interests of Safety - Operating Rules", D Scowcroft, ICNC 2011, Edinburgh. </w:t>
                    </w:r>
                  </w:p>
                </w:tc>
              </w:tr>
              <w:tr w:rsidR="006B2EEA" w14:paraId="6C64EDDE" w14:textId="77777777">
                <w:trPr>
                  <w:divId w:val="708071725"/>
                  <w:tblCellSpacing w:w="15" w:type="dxa"/>
                </w:trPr>
                <w:tc>
                  <w:tcPr>
                    <w:tcW w:w="50" w:type="pct"/>
                    <w:hideMark/>
                  </w:tcPr>
                  <w:p w14:paraId="0700D20E" w14:textId="77777777" w:rsidR="006B2EEA" w:rsidRPr="00521E49" w:rsidRDefault="006B2EEA">
                    <w:pPr>
                      <w:pStyle w:val="Bibliography"/>
                      <w:rPr>
                        <w:noProof/>
                      </w:rPr>
                    </w:pPr>
                    <w:r w:rsidRPr="00521E49">
                      <w:rPr>
                        <w:noProof/>
                      </w:rPr>
                      <w:t xml:space="preserve">[9] </w:t>
                    </w:r>
                  </w:p>
                </w:tc>
                <w:tc>
                  <w:tcPr>
                    <w:tcW w:w="0" w:type="auto"/>
                    <w:hideMark/>
                  </w:tcPr>
                  <w:p w14:paraId="45872360" w14:textId="77777777" w:rsidR="006B2EEA" w:rsidRPr="00521E49" w:rsidRDefault="006B2EEA">
                    <w:pPr>
                      <w:pStyle w:val="Bibliography"/>
                      <w:rPr>
                        <w:noProof/>
                      </w:rPr>
                    </w:pPr>
                    <w:r w:rsidRPr="00521E49">
                      <w:rPr>
                        <w:noProof/>
                      </w:rPr>
                      <w:t xml:space="preserve">The Ionising Radiations Regulations 2017. </w:t>
                    </w:r>
                  </w:p>
                </w:tc>
              </w:tr>
              <w:tr w:rsidR="006B2EEA" w14:paraId="4521866F" w14:textId="77777777">
                <w:trPr>
                  <w:divId w:val="708071725"/>
                  <w:tblCellSpacing w:w="15" w:type="dxa"/>
                </w:trPr>
                <w:tc>
                  <w:tcPr>
                    <w:tcW w:w="50" w:type="pct"/>
                    <w:hideMark/>
                  </w:tcPr>
                  <w:p w14:paraId="77064F3D" w14:textId="77777777" w:rsidR="006B2EEA" w:rsidRPr="00521E49" w:rsidRDefault="006B2EEA">
                    <w:pPr>
                      <w:pStyle w:val="Bibliography"/>
                      <w:rPr>
                        <w:noProof/>
                      </w:rPr>
                    </w:pPr>
                    <w:r w:rsidRPr="00521E49">
                      <w:rPr>
                        <w:noProof/>
                      </w:rPr>
                      <w:t xml:space="preserve">[10] </w:t>
                    </w:r>
                  </w:p>
                </w:tc>
                <w:tc>
                  <w:tcPr>
                    <w:tcW w:w="0" w:type="auto"/>
                    <w:hideMark/>
                  </w:tcPr>
                  <w:p w14:paraId="481ABF16" w14:textId="77777777" w:rsidR="006B2EEA" w:rsidRPr="00521E49" w:rsidRDefault="006B2EEA">
                    <w:pPr>
                      <w:pStyle w:val="Bibliography"/>
                      <w:rPr>
                        <w:noProof/>
                      </w:rPr>
                    </w:pPr>
                    <w:r w:rsidRPr="00521E49">
                      <w:rPr>
                        <w:noProof/>
                      </w:rPr>
                      <w:t xml:space="preserve">American Nuclear Society, "Nuclear Criticality Safety - Theory and Practice", R A Knief, 1985. </w:t>
                    </w:r>
                  </w:p>
                </w:tc>
              </w:tr>
              <w:tr w:rsidR="006B2EEA" w14:paraId="3CC04946" w14:textId="77777777">
                <w:trPr>
                  <w:divId w:val="708071725"/>
                  <w:tblCellSpacing w:w="15" w:type="dxa"/>
                </w:trPr>
                <w:tc>
                  <w:tcPr>
                    <w:tcW w:w="50" w:type="pct"/>
                    <w:hideMark/>
                  </w:tcPr>
                  <w:p w14:paraId="322F2931" w14:textId="77777777" w:rsidR="006B2EEA" w:rsidRPr="00521E49" w:rsidRDefault="006B2EEA">
                    <w:pPr>
                      <w:pStyle w:val="Bibliography"/>
                      <w:rPr>
                        <w:noProof/>
                      </w:rPr>
                    </w:pPr>
                    <w:r w:rsidRPr="00521E49">
                      <w:rPr>
                        <w:noProof/>
                      </w:rPr>
                      <w:t xml:space="preserve">[11] </w:t>
                    </w:r>
                  </w:p>
                </w:tc>
                <w:tc>
                  <w:tcPr>
                    <w:tcW w:w="0" w:type="auto"/>
                    <w:hideMark/>
                  </w:tcPr>
                  <w:p w14:paraId="564C009C" w14:textId="77777777" w:rsidR="006B2EEA" w:rsidRPr="00521E49" w:rsidRDefault="006B2EEA">
                    <w:pPr>
                      <w:pStyle w:val="Bibliography"/>
                      <w:rPr>
                        <w:noProof/>
                      </w:rPr>
                    </w:pPr>
                    <w:r w:rsidRPr="00521E49">
                      <w:rPr>
                        <w:noProof/>
                      </w:rPr>
                      <w:t xml:space="preserve">Los Alamos Nuclear Laboratory, LA-10860-MS, "Critical Dimensions of Systems Containing U-235, Pu-239 and U-233", 1987. </w:t>
                    </w:r>
                  </w:p>
                </w:tc>
              </w:tr>
              <w:tr w:rsidR="006B2EEA" w14:paraId="1B57701B" w14:textId="77777777">
                <w:trPr>
                  <w:divId w:val="708071725"/>
                  <w:tblCellSpacing w:w="15" w:type="dxa"/>
                </w:trPr>
                <w:tc>
                  <w:tcPr>
                    <w:tcW w:w="50" w:type="pct"/>
                    <w:hideMark/>
                  </w:tcPr>
                  <w:p w14:paraId="37C7CBC9" w14:textId="77777777" w:rsidR="006B2EEA" w:rsidRPr="00521E49" w:rsidRDefault="006B2EEA">
                    <w:pPr>
                      <w:pStyle w:val="Bibliography"/>
                      <w:rPr>
                        <w:noProof/>
                      </w:rPr>
                    </w:pPr>
                    <w:r w:rsidRPr="00521E49">
                      <w:rPr>
                        <w:noProof/>
                      </w:rPr>
                      <w:t xml:space="preserve">[12] </w:t>
                    </w:r>
                  </w:p>
                </w:tc>
                <w:tc>
                  <w:tcPr>
                    <w:tcW w:w="0" w:type="auto"/>
                    <w:hideMark/>
                  </w:tcPr>
                  <w:p w14:paraId="06E1B132" w14:textId="77777777" w:rsidR="006B2EEA" w:rsidRPr="00521E49" w:rsidRDefault="006B2EEA">
                    <w:pPr>
                      <w:pStyle w:val="Bibliography"/>
                      <w:rPr>
                        <w:noProof/>
                      </w:rPr>
                    </w:pPr>
                    <w:r w:rsidRPr="00521E49">
                      <w:rPr>
                        <w:noProof/>
                      </w:rPr>
                      <w:t xml:space="preserve">"From Conservatism to Realism - The Importance of Understanding Approximations", D Winstanley, ICNC 2011, Edinburgh. </w:t>
                    </w:r>
                  </w:p>
                </w:tc>
              </w:tr>
              <w:tr w:rsidR="006B2EEA" w14:paraId="4B2A0D77" w14:textId="77777777">
                <w:trPr>
                  <w:divId w:val="708071725"/>
                  <w:tblCellSpacing w:w="15" w:type="dxa"/>
                </w:trPr>
                <w:tc>
                  <w:tcPr>
                    <w:tcW w:w="50" w:type="pct"/>
                    <w:hideMark/>
                  </w:tcPr>
                  <w:p w14:paraId="04748458" w14:textId="77777777" w:rsidR="006B2EEA" w:rsidRPr="00521E49" w:rsidRDefault="006B2EEA">
                    <w:pPr>
                      <w:pStyle w:val="Bibliography"/>
                      <w:rPr>
                        <w:noProof/>
                      </w:rPr>
                    </w:pPr>
                    <w:r w:rsidRPr="00521E49">
                      <w:rPr>
                        <w:noProof/>
                      </w:rPr>
                      <w:t xml:space="preserve">[13] </w:t>
                    </w:r>
                  </w:p>
                </w:tc>
                <w:tc>
                  <w:tcPr>
                    <w:tcW w:w="0" w:type="auto"/>
                    <w:hideMark/>
                  </w:tcPr>
                  <w:p w14:paraId="0505D0DB" w14:textId="77777777" w:rsidR="006B2EEA" w:rsidRPr="00521E49" w:rsidRDefault="006B2EEA">
                    <w:pPr>
                      <w:pStyle w:val="Bibliography"/>
                      <w:rPr>
                        <w:noProof/>
                      </w:rPr>
                    </w:pPr>
                    <w:r w:rsidRPr="00521E49">
                      <w:rPr>
                        <w:noProof/>
                      </w:rPr>
                      <w:t xml:space="preserve">ONR352, 2013171-AA-0022, Issue 2.0, "Research into the Effect of Temperature on the Criticality Safety of Fissile Systems", 2018. </w:t>
                    </w:r>
                  </w:p>
                </w:tc>
              </w:tr>
              <w:tr w:rsidR="006B2EEA" w14:paraId="23BE084C" w14:textId="77777777">
                <w:trPr>
                  <w:divId w:val="708071725"/>
                  <w:tblCellSpacing w:w="15" w:type="dxa"/>
                </w:trPr>
                <w:tc>
                  <w:tcPr>
                    <w:tcW w:w="50" w:type="pct"/>
                    <w:hideMark/>
                  </w:tcPr>
                  <w:p w14:paraId="27537901" w14:textId="77777777" w:rsidR="006B2EEA" w:rsidRPr="00521E49" w:rsidRDefault="006B2EEA">
                    <w:pPr>
                      <w:pStyle w:val="Bibliography"/>
                      <w:rPr>
                        <w:noProof/>
                      </w:rPr>
                    </w:pPr>
                    <w:r w:rsidRPr="00521E49">
                      <w:rPr>
                        <w:noProof/>
                      </w:rPr>
                      <w:t xml:space="preserve">[14] </w:t>
                    </w:r>
                  </w:p>
                </w:tc>
                <w:tc>
                  <w:tcPr>
                    <w:tcW w:w="0" w:type="auto"/>
                    <w:hideMark/>
                  </w:tcPr>
                  <w:p w14:paraId="4855EEFC" w14:textId="77777777" w:rsidR="006B2EEA" w:rsidRPr="00521E49" w:rsidRDefault="006B2EEA">
                    <w:pPr>
                      <w:pStyle w:val="Bibliography"/>
                      <w:rPr>
                        <w:noProof/>
                      </w:rPr>
                    </w:pPr>
                    <w:r w:rsidRPr="00521E49">
                      <w:rPr>
                        <w:noProof/>
                      </w:rPr>
                      <w:t xml:space="preserve">PNNL-19176, "Anomalies of Nuclear Criticality", February 2010. </w:t>
                    </w:r>
                  </w:p>
                </w:tc>
              </w:tr>
              <w:tr w:rsidR="006B2EEA" w14:paraId="3E839686" w14:textId="77777777">
                <w:trPr>
                  <w:divId w:val="708071725"/>
                  <w:tblCellSpacing w:w="15" w:type="dxa"/>
                </w:trPr>
                <w:tc>
                  <w:tcPr>
                    <w:tcW w:w="50" w:type="pct"/>
                    <w:hideMark/>
                  </w:tcPr>
                  <w:p w14:paraId="4C5121C7" w14:textId="77777777" w:rsidR="006B2EEA" w:rsidRPr="00521E49" w:rsidRDefault="006B2EEA">
                    <w:pPr>
                      <w:pStyle w:val="Bibliography"/>
                      <w:rPr>
                        <w:noProof/>
                      </w:rPr>
                    </w:pPr>
                    <w:r w:rsidRPr="00521E49">
                      <w:rPr>
                        <w:noProof/>
                      </w:rPr>
                      <w:t xml:space="preserve">[15] </w:t>
                    </w:r>
                  </w:p>
                </w:tc>
                <w:tc>
                  <w:tcPr>
                    <w:tcW w:w="0" w:type="auto"/>
                    <w:hideMark/>
                  </w:tcPr>
                  <w:p w14:paraId="5F89A4C9" w14:textId="4176525A" w:rsidR="006B2EEA" w:rsidRPr="00521E49" w:rsidRDefault="006B2EEA">
                    <w:pPr>
                      <w:pStyle w:val="Bibliography"/>
                      <w:rPr>
                        <w:noProof/>
                      </w:rPr>
                    </w:pPr>
                    <w:r w:rsidRPr="00521E49">
                      <w:rPr>
                        <w:noProof/>
                      </w:rPr>
                      <w:t xml:space="preserve">ONR, NS-TAST-GD-018 Revision </w:t>
                    </w:r>
                    <w:r w:rsidR="005251D6">
                      <w:rPr>
                        <w:noProof/>
                      </w:rPr>
                      <w:t>9</w:t>
                    </w:r>
                    <w:r w:rsidRPr="00521E49">
                      <w:rPr>
                        <w:noProof/>
                      </w:rPr>
                      <w:t xml:space="preserve">, "Criticality Warning Systems", </w:t>
                    </w:r>
                    <w:r w:rsidR="005251D6">
                      <w:rPr>
                        <w:noProof/>
                      </w:rPr>
                      <w:t>January 202</w:t>
                    </w:r>
                    <w:r w:rsidR="003754BB">
                      <w:rPr>
                        <w:noProof/>
                      </w:rPr>
                      <w:t>4</w:t>
                    </w:r>
                    <w:r w:rsidRPr="00521E49">
                      <w:rPr>
                        <w:noProof/>
                      </w:rPr>
                      <w:t xml:space="preserve">. </w:t>
                    </w:r>
                  </w:p>
                </w:tc>
              </w:tr>
              <w:tr w:rsidR="006B2EEA" w14:paraId="6793460D" w14:textId="77777777">
                <w:trPr>
                  <w:divId w:val="708071725"/>
                  <w:tblCellSpacing w:w="15" w:type="dxa"/>
                </w:trPr>
                <w:tc>
                  <w:tcPr>
                    <w:tcW w:w="50" w:type="pct"/>
                    <w:hideMark/>
                  </w:tcPr>
                  <w:p w14:paraId="593274E9" w14:textId="77777777" w:rsidR="006B2EEA" w:rsidRPr="00521E49" w:rsidRDefault="006B2EEA">
                    <w:pPr>
                      <w:pStyle w:val="Bibliography"/>
                      <w:rPr>
                        <w:noProof/>
                      </w:rPr>
                    </w:pPr>
                    <w:r w:rsidRPr="00521E49">
                      <w:rPr>
                        <w:noProof/>
                      </w:rPr>
                      <w:lastRenderedPageBreak/>
                      <w:t xml:space="preserve">[16] </w:t>
                    </w:r>
                  </w:p>
                </w:tc>
                <w:tc>
                  <w:tcPr>
                    <w:tcW w:w="0" w:type="auto"/>
                    <w:hideMark/>
                  </w:tcPr>
                  <w:p w14:paraId="7FBBED80" w14:textId="77777777" w:rsidR="006B2EEA" w:rsidRPr="00521E49" w:rsidRDefault="006B2EEA">
                    <w:pPr>
                      <w:pStyle w:val="Bibliography"/>
                      <w:rPr>
                        <w:noProof/>
                      </w:rPr>
                    </w:pPr>
                    <w:r w:rsidRPr="00521E49">
                      <w:rPr>
                        <w:noProof/>
                      </w:rPr>
                      <w:t xml:space="preserve">BS ISO 1709:2018, "Fissile Materials - Principles of Criticality Safety in Storing, Handling and Processing". </w:t>
                    </w:r>
                  </w:p>
                </w:tc>
              </w:tr>
              <w:tr w:rsidR="006B2EEA" w14:paraId="1B25C78C" w14:textId="77777777">
                <w:trPr>
                  <w:divId w:val="708071725"/>
                  <w:tblCellSpacing w:w="15" w:type="dxa"/>
                </w:trPr>
                <w:tc>
                  <w:tcPr>
                    <w:tcW w:w="50" w:type="pct"/>
                    <w:hideMark/>
                  </w:tcPr>
                  <w:p w14:paraId="17F358FC" w14:textId="77777777" w:rsidR="006B2EEA" w:rsidRPr="00521E49" w:rsidRDefault="006B2EEA">
                    <w:pPr>
                      <w:pStyle w:val="Bibliography"/>
                      <w:rPr>
                        <w:noProof/>
                      </w:rPr>
                    </w:pPr>
                    <w:r w:rsidRPr="00521E49">
                      <w:rPr>
                        <w:noProof/>
                      </w:rPr>
                      <w:t xml:space="preserve">[17] </w:t>
                    </w:r>
                  </w:p>
                </w:tc>
                <w:tc>
                  <w:tcPr>
                    <w:tcW w:w="0" w:type="auto"/>
                    <w:hideMark/>
                  </w:tcPr>
                  <w:p w14:paraId="6DA9837A" w14:textId="77777777" w:rsidR="006B2EEA" w:rsidRPr="00521E49" w:rsidRDefault="006B2EEA">
                    <w:pPr>
                      <w:pStyle w:val="Bibliography"/>
                      <w:rPr>
                        <w:noProof/>
                      </w:rPr>
                    </w:pPr>
                    <w:r w:rsidRPr="00521E49">
                      <w:rPr>
                        <w:noProof/>
                      </w:rPr>
                      <w:t xml:space="preserve">NUREG-1520 Revision 2, "Standard Review Plan for the Review of a License Application for a Nuclear Fuel Cycle Facility - Final Report", Chapter 5, Nuclear Safety. </w:t>
                    </w:r>
                  </w:p>
                </w:tc>
              </w:tr>
              <w:tr w:rsidR="006B2EEA" w14:paraId="46DF7239" w14:textId="77777777">
                <w:trPr>
                  <w:divId w:val="708071725"/>
                  <w:tblCellSpacing w:w="15" w:type="dxa"/>
                </w:trPr>
                <w:tc>
                  <w:tcPr>
                    <w:tcW w:w="50" w:type="pct"/>
                    <w:hideMark/>
                  </w:tcPr>
                  <w:p w14:paraId="136512D0" w14:textId="77777777" w:rsidR="006B2EEA" w:rsidRPr="00521E49" w:rsidRDefault="006B2EEA">
                    <w:pPr>
                      <w:pStyle w:val="Bibliography"/>
                      <w:rPr>
                        <w:noProof/>
                      </w:rPr>
                    </w:pPr>
                    <w:r w:rsidRPr="00521E49">
                      <w:rPr>
                        <w:noProof/>
                      </w:rPr>
                      <w:t xml:space="preserve">[18] </w:t>
                    </w:r>
                  </w:p>
                </w:tc>
                <w:tc>
                  <w:tcPr>
                    <w:tcW w:w="0" w:type="auto"/>
                    <w:hideMark/>
                  </w:tcPr>
                  <w:p w14:paraId="278F7DF2" w14:textId="77777777" w:rsidR="006B2EEA" w:rsidRPr="00521E49" w:rsidRDefault="006B2EEA">
                    <w:pPr>
                      <w:pStyle w:val="Bibliography"/>
                      <w:rPr>
                        <w:noProof/>
                      </w:rPr>
                    </w:pPr>
                    <w:r w:rsidRPr="00521E49">
                      <w:rPr>
                        <w:noProof/>
                      </w:rPr>
                      <w:t xml:space="preserve">"UK Regulatory Review of the Double Contingency Principle in Criticality Safety", T Thomas, ICNC 2015, Charlotte. </w:t>
                    </w:r>
                  </w:p>
                </w:tc>
              </w:tr>
              <w:tr w:rsidR="006B2EEA" w14:paraId="6F36CDCF" w14:textId="77777777">
                <w:trPr>
                  <w:divId w:val="708071725"/>
                  <w:tblCellSpacing w:w="15" w:type="dxa"/>
                </w:trPr>
                <w:tc>
                  <w:tcPr>
                    <w:tcW w:w="50" w:type="pct"/>
                    <w:hideMark/>
                  </w:tcPr>
                  <w:p w14:paraId="052DCF39" w14:textId="77777777" w:rsidR="006B2EEA" w:rsidRPr="00521E49" w:rsidRDefault="006B2EEA">
                    <w:pPr>
                      <w:pStyle w:val="Bibliography"/>
                      <w:rPr>
                        <w:noProof/>
                      </w:rPr>
                    </w:pPr>
                    <w:r w:rsidRPr="00521E49">
                      <w:rPr>
                        <w:noProof/>
                      </w:rPr>
                      <w:t xml:space="preserve">[19] </w:t>
                    </w:r>
                  </w:p>
                </w:tc>
                <w:tc>
                  <w:tcPr>
                    <w:tcW w:w="0" w:type="auto"/>
                    <w:hideMark/>
                  </w:tcPr>
                  <w:p w14:paraId="4973815E" w14:textId="77777777" w:rsidR="006B2EEA" w:rsidRPr="00521E49" w:rsidRDefault="006B2EEA">
                    <w:pPr>
                      <w:pStyle w:val="Bibliography"/>
                      <w:rPr>
                        <w:noProof/>
                      </w:rPr>
                    </w:pPr>
                    <w:r w:rsidRPr="00521E49">
                      <w:rPr>
                        <w:noProof/>
                      </w:rPr>
                      <w:t xml:space="preserve">The UK Working Party on Criticality, WPC/P267 Revision 1, "WPC Position on the Double Contingency Principle". </w:t>
                    </w:r>
                  </w:p>
                </w:tc>
              </w:tr>
              <w:tr w:rsidR="006B2EEA" w14:paraId="473636A4" w14:textId="77777777">
                <w:trPr>
                  <w:divId w:val="708071725"/>
                  <w:tblCellSpacing w:w="15" w:type="dxa"/>
                </w:trPr>
                <w:tc>
                  <w:tcPr>
                    <w:tcW w:w="50" w:type="pct"/>
                    <w:hideMark/>
                  </w:tcPr>
                  <w:p w14:paraId="24827629" w14:textId="77777777" w:rsidR="006B2EEA" w:rsidRPr="00521E49" w:rsidRDefault="006B2EEA">
                    <w:pPr>
                      <w:pStyle w:val="Bibliography"/>
                      <w:rPr>
                        <w:noProof/>
                      </w:rPr>
                    </w:pPr>
                    <w:r w:rsidRPr="00521E49">
                      <w:rPr>
                        <w:noProof/>
                      </w:rPr>
                      <w:t xml:space="preserve">[20] </w:t>
                    </w:r>
                  </w:p>
                </w:tc>
                <w:tc>
                  <w:tcPr>
                    <w:tcW w:w="0" w:type="auto"/>
                    <w:hideMark/>
                  </w:tcPr>
                  <w:p w14:paraId="3BFBD564" w14:textId="77777777" w:rsidR="006B2EEA" w:rsidRPr="00521E49" w:rsidRDefault="006B2EEA">
                    <w:pPr>
                      <w:pStyle w:val="Bibliography"/>
                      <w:rPr>
                        <w:noProof/>
                      </w:rPr>
                    </w:pPr>
                    <w:r w:rsidRPr="00521E49">
                      <w:rPr>
                        <w:noProof/>
                      </w:rPr>
                      <w:t xml:space="preserve">BS ISO 22946:2020, "Nuclear Criticality Safety - Solid Waste Excluding Irradiated and Non-Irradiated Nuclear Fuel". </w:t>
                    </w:r>
                  </w:p>
                </w:tc>
              </w:tr>
              <w:tr w:rsidR="006B2EEA" w14:paraId="7AB0B604" w14:textId="77777777">
                <w:trPr>
                  <w:divId w:val="708071725"/>
                  <w:tblCellSpacing w:w="15" w:type="dxa"/>
                </w:trPr>
                <w:tc>
                  <w:tcPr>
                    <w:tcW w:w="50" w:type="pct"/>
                    <w:hideMark/>
                  </w:tcPr>
                  <w:p w14:paraId="05DB1F34" w14:textId="77777777" w:rsidR="006B2EEA" w:rsidRPr="00521E49" w:rsidRDefault="006B2EEA">
                    <w:pPr>
                      <w:pStyle w:val="Bibliography"/>
                      <w:rPr>
                        <w:noProof/>
                      </w:rPr>
                    </w:pPr>
                    <w:r w:rsidRPr="00521E49">
                      <w:rPr>
                        <w:noProof/>
                      </w:rPr>
                      <w:t xml:space="preserve">[21] </w:t>
                    </w:r>
                  </w:p>
                </w:tc>
                <w:tc>
                  <w:tcPr>
                    <w:tcW w:w="0" w:type="auto"/>
                    <w:hideMark/>
                  </w:tcPr>
                  <w:p w14:paraId="4248B767" w14:textId="77777777" w:rsidR="006B2EEA" w:rsidRPr="00521E49" w:rsidRDefault="006B2EEA">
                    <w:pPr>
                      <w:pStyle w:val="Bibliography"/>
                      <w:rPr>
                        <w:noProof/>
                      </w:rPr>
                    </w:pPr>
                    <w:r w:rsidRPr="00521E49">
                      <w:rPr>
                        <w:noProof/>
                      </w:rPr>
                      <w:t xml:space="preserve">International Atomic Energy Agency, "Criticality Safety in the Handling of Fissile Material", Specific Safety Guide No. SSG-27 (Rev. 1), 2022. </w:t>
                    </w:r>
                  </w:p>
                </w:tc>
              </w:tr>
              <w:tr w:rsidR="006B2EEA" w14:paraId="3CB71A5D" w14:textId="77777777">
                <w:trPr>
                  <w:divId w:val="708071725"/>
                  <w:tblCellSpacing w:w="15" w:type="dxa"/>
                </w:trPr>
                <w:tc>
                  <w:tcPr>
                    <w:tcW w:w="50" w:type="pct"/>
                    <w:hideMark/>
                  </w:tcPr>
                  <w:p w14:paraId="6843C238" w14:textId="77777777" w:rsidR="006B2EEA" w:rsidRPr="00521E49" w:rsidRDefault="006B2EEA">
                    <w:pPr>
                      <w:pStyle w:val="Bibliography"/>
                      <w:rPr>
                        <w:noProof/>
                      </w:rPr>
                    </w:pPr>
                    <w:r w:rsidRPr="00521E49">
                      <w:rPr>
                        <w:noProof/>
                      </w:rPr>
                      <w:t xml:space="preserve">[22] </w:t>
                    </w:r>
                  </w:p>
                </w:tc>
                <w:tc>
                  <w:tcPr>
                    <w:tcW w:w="0" w:type="auto"/>
                    <w:hideMark/>
                  </w:tcPr>
                  <w:p w14:paraId="0A7EC779" w14:textId="77777777" w:rsidR="006B2EEA" w:rsidRPr="00521E49" w:rsidRDefault="006B2EEA">
                    <w:pPr>
                      <w:pStyle w:val="Bibliography"/>
                      <w:rPr>
                        <w:noProof/>
                      </w:rPr>
                    </w:pPr>
                    <w:r w:rsidRPr="00521E49">
                      <w:rPr>
                        <w:noProof/>
                      </w:rPr>
                      <w:t xml:space="preserve">International Atomic Energy Agency, "Storage of Spent Nuclear Fuel", Specific Safety Guide No. SSG-15 (Rev 1), 2020. </w:t>
                    </w:r>
                  </w:p>
                </w:tc>
              </w:tr>
              <w:tr w:rsidR="006B2EEA" w14:paraId="7B6F3557" w14:textId="77777777">
                <w:trPr>
                  <w:divId w:val="708071725"/>
                  <w:tblCellSpacing w:w="15" w:type="dxa"/>
                </w:trPr>
                <w:tc>
                  <w:tcPr>
                    <w:tcW w:w="50" w:type="pct"/>
                    <w:hideMark/>
                  </w:tcPr>
                  <w:p w14:paraId="577B3E78" w14:textId="77777777" w:rsidR="006B2EEA" w:rsidRPr="00521E49" w:rsidRDefault="006B2EEA">
                    <w:pPr>
                      <w:pStyle w:val="Bibliography"/>
                      <w:rPr>
                        <w:noProof/>
                      </w:rPr>
                    </w:pPr>
                    <w:r w:rsidRPr="00521E49">
                      <w:rPr>
                        <w:noProof/>
                      </w:rPr>
                      <w:t xml:space="preserve">[23] </w:t>
                    </w:r>
                  </w:p>
                </w:tc>
                <w:tc>
                  <w:tcPr>
                    <w:tcW w:w="0" w:type="auto"/>
                    <w:hideMark/>
                  </w:tcPr>
                  <w:p w14:paraId="2E1875E2" w14:textId="77777777" w:rsidR="006B2EEA" w:rsidRPr="00521E49" w:rsidRDefault="006B2EEA">
                    <w:pPr>
                      <w:pStyle w:val="Bibliography"/>
                      <w:rPr>
                        <w:noProof/>
                      </w:rPr>
                    </w:pPr>
                    <w:r w:rsidRPr="00521E49">
                      <w:rPr>
                        <w:noProof/>
                      </w:rPr>
                      <w:t xml:space="preserve">Los Alamos Nuclear Laboratory, LA-12808, "Nuclear Safety Guide", 1996. </w:t>
                    </w:r>
                  </w:p>
                </w:tc>
              </w:tr>
              <w:tr w:rsidR="006B2EEA" w14:paraId="402F5664" w14:textId="77777777">
                <w:trPr>
                  <w:divId w:val="708071725"/>
                  <w:tblCellSpacing w:w="15" w:type="dxa"/>
                </w:trPr>
                <w:tc>
                  <w:tcPr>
                    <w:tcW w:w="50" w:type="pct"/>
                    <w:hideMark/>
                  </w:tcPr>
                  <w:p w14:paraId="745E4D6D" w14:textId="77777777" w:rsidR="006B2EEA" w:rsidRPr="00521E49" w:rsidRDefault="006B2EEA">
                    <w:pPr>
                      <w:pStyle w:val="Bibliography"/>
                      <w:rPr>
                        <w:noProof/>
                      </w:rPr>
                    </w:pPr>
                    <w:r w:rsidRPr="00521E49">
                      <w:rPr>
                        <w:noProof/>
                      </w:rPr>
                      <w:t xml:space="preserve">[24] </w:t>
                    </w:r>
                  </w:p>
                </w:tc>
                <w:tc>
                  <w:tcPr>
                    <w:tcW w:w="0" w:type="auto"/>
                    <w:hideMark/>
                  </w:tcPr>
                  <w:p w14:paraId="60CD547E" w14:textId="77777777" w:rsidR="006B2EEA" w:rsidRPr="00521E49" w:rsidRDefault="006B2EEA">
                    <w:pPr>
                      <w:pStyle w:val="Bibliography"/>
                      <w:rPr>
                        <w:noProof/>
                      </w:rPr>
                    </w:pPr>
                    <w:r w:rsidRPr="00521E49">
                      <w:rPr>
                        <w:noProof/>
                      </w:rPr>
                      <w:t xml:space="preserve">UKAEA Health and Safety Branch, "AHSB Handbook", 1967. </w:t>
                    </w:r>
                  </w:p>
                </w:tc>
              </w:tr>
              <w:tr w:rsidR="006B2EEA" w14:paraId="35D25F62" w14:textId="77777777">
                <w:trPr>
                  <w:divId w:val="708071725"/>
                  <w:tblCellSpacing w:w="15" w:type="dxa"/>
                </w:trPr>
                <w:tc>
                  <w:tcPr>
                    <w:tcW w:w="50" w:type="pct"/>
                    <w:hideMark/>
                  </w:tcPr>
                  <w:p w14:paraId="73121464" w14:textId="77777777" w:rsidR="006B2EEA" w:rsidRPr="00521E49" w:rsidRDefault="006B2EEA">
                    <w:pPr>
                      <w:pStyle w:val="Bibliography"/>
                      <w:rPr>
                        <w:noProof/>
                      </w:rPr>
                    </w:pPr>
                    <w:r w:rsidRPr="00521E49">
                      <w:rPr>
                        <w:noProof/>
                      </w:rPr>
                      <w:t xml:space="preserve">[25] </w:t>
                    </w:r>
                  </w:p>
                </w:tc>
                <w:tc>
                  <w:tcPr>
                    <w:tcW w:w="0" w:type="auto"/>
                    <w:hideMark/>
                  </w:tcPr>
                  <w:p w14:paraId="17A526E8" w14:textId="77777777" w:rsidR="006B2EEA" w:rsidRPr="00521E49" w:rsidRDefault="006B2EEA">
                    <w:pPr>
                      <w:pStyle w:val="Bibliography"/>
                      <w:rPr>
                        <w:noProof/>
                      </w:rPr>
                    </w:pPr>
                    <w:r w:rsidRPr="00521E49">
                      <w:rPr>
                        <w:noProof/>
                      </w:rPr>
                      <w:t xml:space="preserve">Atlantic Richfield Hanford Company, ARH-600, "Criticality Handbook", 1968. </w:t>
                    </w:r>
                  </w:p>
                </w:tc>
              </w:tr>
              <w:tr w:rsidR="006B2EEA" w14:paraId="28A14DBD" w14:textId="77777777">
                <w:trPr>
                  <w:divId w:val="708071725"/>
                  <w:tblCellSpacing w:w="15" w:type="dxa"/>
                </w:trPr>
                <w:tc>
                  <w:tcPr>
                    <w:tcW w:w="50" w:type="pct"/>
                    <w:hideMark/>
                  </w:tcPr>
                  <w:p w14:paraId="62A208EB" w14:textId="77777777" w:rsidR="006B2EEA" w:rsidRPr="00521E49" w:rsidRDefault="006B2EEA">
                    <w:pPr>
                      <w:pStyle w:val="Bibliography"/>
                      <w:rPr>
                        <w:noProof/>
                      </w:rPr>
                    </w:pPr>
                    <w:r w:rsidRPr="00521E49">
                      <w:rPr>
                        <w:noProof/>
                      </w:rPr>
                      <w:t xml:space="preserve">[26] </w:t>
                    </w:r>
                  </w:p>
                </w:tc>
                <w:tc>
                  <w:tcPr>
                    <w:tcW w:w="0" w:type="auto"/>
                    <w:hideMark/>
                  </w:tcPr>
                  <w:p w14:paraId="7D3D02CC" w14:textId="77777777" w:rsidR="006B2EEA" w:rsidRPr="00521E49" w:rsidRDefault="006B2EEA">
                    <w:pPr>
                      <w:pStyle w:val="Bibliography"/>
                      <w:rPr>
                        <w:noProof/>
                      </w:rPr>
                    </w:pPr>
                    <w:r w:rsidRPr="00521E49">
                      <w:rPr>
                        <w:noProof/>
                      </w:rPr>
                      <w:t xml:space="preserve">AEA Technology, NTD B/0062, "Criticality Handbook". </w:t>
                    </w:r>
                  </w:p>
                </w:tc>
              </w:tr>
              <w:tr w:rsidR="006B2EEA" w14:paraId="661900CB" w14:textId="77777777">
                <w:trPr>
                  <w:divId w:val="708071725"/>
                  <w:tblCellSpacing w:w="15" w:type="dxa"/>
                </w:trPr>
                <w:tc>
                  <w:tcPr>
                    <w:tcW w:w="50" w:type="pct"/>
                    <w:hideMark/>
                  </w:tcPr>
                  <w:p w14:paraId="4F30086D" w14:textId="77777777" w:rsidR="006B2EEA" w:rsidRPr="00521E49" w:rsidRDefault="006B2EEA">
                    <w:pPr>
                      <w:pStyle w:val="Bibliography"/>
                      <w:rPr>
                        <w:noProof/>
                      </w:rPr>
                    </w:pPr>
                    <w:r w:rsidRPr="00521E49">
                      <w:rPr>
                        <w:noProof/>
                      </w:rPr>
                      <w:t xml:space="preserve">[27] </w:t>
                    </w:r>
                  </w:p>
                </w:tc>
                <w:tc>
                  <w:tcPr>
                    <w:tcW w:w="0" w:type="auto"/>
                    <w:hideMark/>
                  </w:tcPr>
                  <w:p w14:paraId="00C0235B" w14:textId="77777777" w:rsidR="006B2EEA" w:rsidRPr="00521E49" w:rsidRDefault="006B2EEA">
                    <w:pPr>
                      <w:pStyle w:val="Bibliography"/>
                      <w:rPr>
                        <w:noProof/>
                      </w:rPr>
                    </w:pPr>
                    <w:r w:rsidRPr="00521E49">
                      <w:rPr>
                        <w:noProof/>
                      </w:rPr>
                      <w:t xml:space="preserve">Japanese Atomic Energy Research Institute, JAERI - Review 95-013, "Nuclear Criticality Safety Handbook". </w:t>
                    </w:r>
                  </w:p>
                </w:tc>
              </w:tr>
              <w:tr w:rsidR="006B2EEA" w14:paraId="4C331105" w14:textId="77777777">
                <w:trPr>
                  <w:divId w:val="708071725"/>
                  <w:tblCellSpacing w:w="15" w:type="dxa"/>
                </w:trPr>
                <w:tc>
                  <w:tcPr>
                    <w:tcW w:w="50" w:type="pct"/>
                    <w:hideMark/>
                  </w:tcPr>
                  <w:p w14:paraId="6840686D" w14:textId="77777777" w:rsidR="006B2EEA" w:rsidRPr="00521E49" w:rsidRDefault="006B2EEA">
                    <w:pPr>
                      <w:pStyle w:val="Bibliography"/>
                      <w:rPr>
                        <w:noProof/>
                      </w:rPr>
                    </w:pPr>
                    <w:r w:rsidRPr="00521E49">
                      <w:rPr>
                        <w:noProof/>
                      </w:rPr>
                      <w:t xml:space="preserve">[28] </w:t>
                    </w:r>
                  </w:p>
                </w:tc>
                <w:tc>
                  <w:tcPr>
                    <w:tcW w:w="0" w:type="auto"/>
                    <w:hideMark/>
                  </w:tcPr>
                  <w:p w14:paraId="09F30C7F" w14:textId="77777777" w:rsidR="006B2EEA" w:rsidRPr="00521E49" w:rsidRDefault="006B2EEA">
                    <w:pPr>
                      <w:pStyle w:val="Bibliography"/>
                      <w:rPr>
                        <w:noProof/>
                      </w:rPr>
                    </w:pPr>
                    <w:r w:rsidRPr="00521E49">
                      <w:rPr>
                        <w:noProof/>
                      </w:rPr>
                      <w:t xml:space="preserve">ANSI/ANS-8.1-2014, "Nuclear Criticality Safety in Operations with Fissionable Materials Outside Reactors". </w:t>
                    </w:r>
                  </w:p>
                </w:tc>
              </w:tr>
              <w:tr w:rsidR="006B2EEA" w14:paraId="6DCAC7D2" w14:textId="77777777">
                <w:trPr>
                  <w:divId w:val="708071725"/>
                  <w:tblCellSpacing w:w="15" w:type="dxa"/>
                </w:trPr>
                <w:tc>
                  <w:tcPr>
                    <w:tcW w:w="50" w:type="pct"/>
                    <w:hideMark/>
                  </w:tcPr>
                  <w:p w14:paraId="5E20BF16" w14:textId="77777777" w:rsidR="006B2EEA" w:rsidRPr="00521E49" w:rsidRDefault="006B2EEA">
                    <w:pPr>
                      <w:pStyle w:val="Bibliography"/>
                      <w:rPr>
                        <w:noProof/>
                      </w:rPr>
                    </w:pPr>
                    <w:r w:rsidRPr="00521E49">
                      <w:rPr>
                        <w:noProof/>
                      </w:rPr>
                      <w:t xml:space="preserve">[29] </w:t>
                    </w:r>
                  </w:p>
                </w:tc>
                <w:tc>
                  <w:tcPr>
                    <w:tcW w:w="0" w:type="auto"/>
                    <w:hideMark/>
                  </w:tcPr>
                  <w:p w14:paraId="294F99C4" w14:textId="77777777" w:rsidR="006B2EEA" w:rsidRPr="00521E49" w:rsidRDefault="006B2EEA">
                    <w:pPr>
                      <w:pStyle w:val="Bibliography"/>
                      <w:rPr>
                        <w:noProof/>
                      </w:rPr>
                    </w:pPr>
                    <w:r w:rsidRPr="00521E49">
                      <w:rPr>
                        <w:noProof/>
                      </w:rPr>
                      <w:t xml:space="preserve">ANSI/ANS-8.7-2022, "Guide for Nuclear Criticality Safety in the Storage of Fissile Materials". </w:t>
                    </w:r>
                  </w:p>
                </w:tc>
              </w:tr>
              <w:tr w:rsidR="006B2EEA" w14:paraId="3171B8DB" w14:textId="77777777">
                <w:trPr>
                  <w:divId w:val="708071725"/>
                  <w:tblCellSpacing w:w="15" w:type="dxa"/>
                </w:trPr>
                <w:tc>
                  <w:tcPr>
                    <w:tcW w:w="50" w:type="pct"/>
                    <w:hideMark/>
                  </w:tcPr>
                  <w:p w14:paraId="1760B868" w14:textId="77777777" w:rsidR="006B2EEA" w:rsidRPr="00521E49" w:rsidRDefault="006B2EEA">
                    <w:pPr>
                      <w:pStyle w:val="Bibliography"/>
                      <w:rPr>
                        <w:noProof/>
                      </w:rPr>
                    </w:pPr>
                    <w:r w:rsidRPr="00521E49">
                      <w:rPr>
                        <w:noProof/>
                      </w:rPr>
                      <w:t xml:space="preserve">[30] </w:t>
                    </w:r>
                  </w:p>
                </w:tc>
                <w:tc>
                  <w:tcPr>
                    <w:tcW w:w="0" w:type="auto"/>
                    <w:hideMark/>
                  </w:tcPr>
                  <w:p w14:paraId="748F1DA8" w14:textId="77777777" w:rsidR="006B2EEA" w:rsidRPr="00521E49" w:rsidRDefault="006B2EEA">
                    <w:pPr>
                      <w:pStyle w:val="Bibliography"/>
                      <w:rPr>
                        <w:noProof/>
                      </w:rPr>
                    </w:pPr>
                    <w:r w:rsidRPr="00521E49">
                      <w:rPr>
                        <w:noProof/>
                      </w:rPr>
                      <w:t xml:space="preserve">ANSI/ANS-8.14-2004, "Use of Soluble Neutron Absorbersa in Nuclear Facilities Outside Reactors". </w:t>
                    </w:r>
                  </w:p>
                </w:tc>
              </w:tr>
              <w:tr w:rsidR="006B2EEA" w14:paraId="773475CC" w14:textId="77777777">
                <w:trPr>
                  <w:divId w:val="708071725"/>
                  <w:tblCellSpacing w:w="15" w:type="dxa"/>
                </w:trPr>
                <w:tc>
                  <w:tcPr>
                    <w:tcW w:w="50" w:type="pct"/>
                    <w:hideMark/>
                  </w:tcPr>
                  <w:p w14:paraId="72CD8917" w14:textId="77777777" w:rsidR="006B2EEA" w:rsidRPr="00521E49" w:rsidRDefault="006B2EEA">
                    <w:pPr>
                      <w:pStyle w:val="Bibliography"/>
                      <w:rPr>
                        <w:noProof/>
                      </w:rPr>
                    </w:pPr>
                    <w:r w:rsidRPr="00521E49">
                      <w:rPr>
                        <w:noProof/>
                      </w:rPr>
                      <w:t xml:space="preserve">[31] </w:t>
                    </w:r>
                  </w:p>
                </w:tc>
                <w:tc>
                  <w:tcPr>
                    <w:tcW w:w="0" w:type="auto"/>
                    <w:hideMark/>
                  </w:tcPr>
                  <w:p w14:paraId="521127E6" w14:textId="77777777" w:rsidR="006B2EEA" w:rsidRPr="00521E49" w:rsidRDefault="006B2EEA">
                    <w:pPr>
                      <w:pStyle w:val="Bibliography"/>
                      <w:rPr>
                        <w:noProof/>
                      </w:rPr>
                    </w:pPr>
                    <w:r w:rsidRPr="00521E49">
                      <w:rPr>
                        <w:noProof/>
                      </w:rPr>
                      <w:t xml:space="preserve">ANSI/ANS-8.15-2014, "Nuclear Criticality Control of Special Actinide Elements". </w:t>
                    </w:r>
                  </w:p>
                </w:tc>
              </w:tr>
              <w:tr w:rsidR="006B2EEA" w14:paraId="4C6BBF78" w14:textId="77777777">
                <w:trPr>
                  <w:divId w:val="708071725"/>
                  <w:tblCellSpacing w:w="15" w:type="dxa"/>
                </w:trPr>
                <w:tc>
                  <w:tcPr>
                    <w:tcW w:w="50" w:type="pct"/>
                    <w:hideMark/>
                  </w:tcPr>
                  <w:p w14:paraId="32980BBF" w14:textId="77777777" w:rsidR="006B2EEA" w:rsidRPr="00521E49" w:rsidRDefault="006B2EEA">
                    <w:pPr>
                      <w:pStyle w:val="Bibliography"/>
                      <w:rPr>
                        <w:noProof/>
                      </w:rPr>
                    </w:pPr>
                    <w:r w:rsidRPr="00521E49">
                      <w:rPr>
                        <w:noProof/>
                      </w:rPr>
                      <w:t xml:space="preserve">[32] </w:t>
                    </w:r>
                  </w:p>
                </w:tc>
                <w:tc>
                  <w:tcPr>
                    <w:tcW w:w="0" w:type="auto"/>
                    <w:hideMark/>
                  </w:tcPr>
                  <w:p w14:paraId="0E0762F3" w14:textId="77777777" w:rsidR="006B2EEA" w:rsidRPr="00521E49" w:rsidRDefault="006B2EEA">
                    <w:pPr>
                      <w:pStyle w:val="Bibliography"/>
                      <w:rPr>
                        <w:noProof/>
                      </w:rPr>
                    </w:pPr>
                    <w:r w:rsidRPr="00521E49">
                      <w:rPr>
                        <w:noProof/>
                      </w:rPr>
                      <w:t xml:space="preserve">BS ISO 11311:2011, "Nuclear Criticality Safety - Critical Values for Homogeneous Plutonium-Uranium Oxide Fuel Mixtures Outside of Reactors". </w:t>
                    </w:r>
                  </w:p>
                </w:tc>
              </w:tr>
              <w:tr w:rsidR="006B2EEA" w14:paraId="4F9DDF41" w14:textId="77777777">
                <w:trPr>
                  <w:divId w:val="708071725"/>
                  <w:tblCellSpacing w:w="15" w:type="dxa"/>
                </w:trPr>
                <w:tc>
                  <w:tcPr>
                    <w:tcW w:w="50" w:type="pct"/>
                    <w:hideMark/>
                  </w:tcPr>
                  <w:p w14:paraId="5C9D4B77" w14:textId="77777777" w:rsidR="006B2EEA" w:rsidRPr="00521E49" w:rsidRDefault="006B2EEA">
                    <w:pPr>
                      <w:pStyle w:val="Bibliography"/>
                      <w:rPr>
                        <w:noProof/>
                      </w:rPr>
                    </w:pPr>
                    <w:r w:rsidRPr="00521E49">
                      <w:rPr>
                        <w:noProof/>
                      </w:rPr>
                      <w:lastRenderedPageBreak/>
                      <w:t xml:space="preserve">[33] </w:t>
                    </w:r>
                  </w:p>
                </w:tc>
                <w:tc>
                  <w:tcPr>
                    <w:tcW w:w="0" w:type="auto"/>
                    <w:hideMark/>
                  </w:tcPr>
                  <w:p w14:paraId="1964EB26" w14:textId="77777777" w:rsidR="006B2EEA" w:rsidRPr="00521E49" w:rsidRDefault="006B2EEA">
                    <w:pPr>
                      <w:pStyle w:val="Bibliography"/>
                      <w:rPr>
                        <w:noProof/>
                      </w:rPr>
                    </w:pPr>
                    <w:r w:rsidRPr="00521E49">
                      <w:rPr>
                        <w:noProof/>
                      </w:rPr>
                      <w:t xml:space="preserve">ANSI/ANS-8.19-2014, "Administrative Practices for Nuclear Criticality Safety". </w:t>
                    </w:r>
                  </w:p>
                </w:tc>
              </w:tr>
              <w:tr w:rsidR="006B2EEA" w14:paraId="70431A13" w14:textId="77777777">
                <w:trPr>
                  <w:divId w:val="708071725"/>
                  <w:tblCellSpacing w:w="15" w:type="dxa"/>
                </w:trPr>
                <w:tc>
                  <w:tcPr>
                    <w:tcW w:w="50" w:type="pct"/>
                    <w:hideMark/>
                  </w:tcPr>
                  <w:p w14:paraId="768AA145" w14:textId="77777777" w:rsidR="006B2EEA" w:rsidRPr="00521E49" w:rsidRDefault="006B2EEA">
                    <w:pPr>
                      <w:pStyle w:val="Bibliography"/>
                      <w:rPr>
                        <w:noProof/>
                      </w:rPr>
                    </w:pPr>
                    <w:r w:rsidRPr="00521E49">
                      <w:rPr>
                        <w:noProof/>
                      </w:rPr>
                      <w:t xml:space="preserve">[34] </w:t>
                    </w:r>
                  </w:p>
                </w:tc>
                <w:tc>
                  <w:tcPr>
                    <w:tcW w:w="0" w:type="auto"/>
                    <w:hideMark/>
                  </w:tcPr>
                  <w:p w14:paraId="3F59BA0B" w14:textId="77777777" w:rsidR="006B2EEA" w:rsidRPr="00521E49" w:rsidRDefault="006B2EEA">
                    <w:pPr>
                      <w:pStyle w:val="Bibliography"/>
                      <w:rPr>
                        <w:noProof/>
                      </w:rPr>
                    </w:pPr>
                    <w:r w:rsidRPr="00521E49">
                      <w:rPr>
                        <w:noProof/>
                      </w:rPr>
                      <w:t xml:space="preserve">BS ISO 14943:2004, "Nuclear Fuel Technology - Administrative Criteria Related to Criticality Safety". </w:t>
                    </w:r>
                  </w:p>
                </w:tc>
              </w:tr>
              <w:tr w:rsidR="006B2EEA" w14:paraId="13983B16" w14:textId="77777777">
                <w:trPr>
                  <w:divId w:val="708071725"/>
                  <w:tblCellSpacing w:w="15" w:type="dxa"/>
                </w:trPr>
                <w:tc>
                  <w:tcPr>
                    <w:tcW w:w="50" w:type="pct"/>
                    <w:hideMark/>
                  </w:tcPr>
                  <w:p w14:paraId="594C4230" w14:textId="77777777" w:rsidR="006B2EEA" w:rsidRPr="00521E49" w:rsidRDefault="006B2EEA">
                    <w:pPr>
                      <w:pStyle w:val="Bibliography"/>
                      <w:rPr>
                        <w:noProof/>
                      </w:rPr>
                    </w:pPr>
                    <w:r w:rsidRPr="00521E49">
                      <w:rPr>
                        <w:noProof/>
                      </w:rPr>
                      <w:t xml:space="preserve">[35] </w:t>
                    </w:r>
                  </w:p>
                </w:tc>
                <w:tc>
                  <w:tcPr>
                    <w:tcW w:w="0" w:type="auto"/>
                    <w:hideMark/>
                  </w:tcPr>
                  <w:p w14:paraId="5D940BDE" w14:textId="77777777" w:rsidR="006B2EEA" w:rsidRPr="00521E49" w:rsidRDefault="006B2EEA">
                    <w:pPr>
                      <w:pStyle w:val="Bibliography"/>
                      <w:rPr>
                        <w:noProof/>
                      </w:rPr>
                    </w:pPr>
                    <w:r w:rsidRPr="00521E49">
                      <w:rPr>
                        <w:noProof/>
                      </w:rPr>
                      <w:t xml:space="preserve">ANSI/ANS-8.21-2023, "Use of Fixed Neutron Absorbers in Nuclear Facilities Outside Reactors". </w:t>
                    </w:r>
                  </w:p>
                </w:tc>
              </w:tr>
              <w:tr w:rsidR="006B2EEA" w14:paraId="4FF63722" w14:textId="77777777">
                <w:trPr>
                  <w:divId w:val="708071725"/>
                  <w:tblCellSpacing w:w="15" w:type="dxa"/>
                </w:trPr>
                <w:tc>
                  <w:tcPr>
                    <w:tcW w:w="50" w:type="pct"/>
                    <w:hideMark/>
                  </w:tcPr>
                  <w:p w14:paraId="521F82FF" w14:textId="77777777" w:rsidR="006B2EEA" w:rsidRPr="00521E49" w:rsidRDefault="006B2EEA">
                    <w:pPr>
                      <w:pStyle w:val="Bibliography"/>
                      <w:rPr>
                        <w:noProof/>
                      </w:rPr>
                    </w:pPr>
                    <w:r w:rsidRPr="00521E49">
                      <w:rPr>
                        <w:noProof/>
                      </w:rPr>
                      <w:t xml:space="preserve">[36] </w:t>
                    </w:r>
                  </w:p>
                </w:tc>
                <w:tc>
                  <w:tcPr>
                    <w:tcW w:w="0" w:type="auto"/>
                    <w:hideMark/>
                  </w:tcPr>
                  <w:p w14:paraId="1DF15FD5" w14:textId="77777777" w:rsidR="006B2EEA" w:rsidRPr="00521E49" w:rsidRDefault="006B2EEA">
                    <w:pPr>
                      <w:pStyle w:val="Bibliography"/>
                      <w:rPr>
                        <w:noProof/>
                      </w:rPr>
                    </w:pPr>
                    <w:r w:rsidRPr="00521E49">
                      <w:rPr>
                        <w:noProof/>
                      </w:rPr>
                      <w:t xml:space="preserve">ANSI/ANS-8.22-1997, "Nuclear Criticality Safety Based on Limiting and Controlling Moderators". </w:t>
                    </w:r>
                  </w:p>
                </w:tc>
              </w:tr>
              <w:tr w:rsidR="006B2EEA" w14:paraId="0498F678" w14:textId="77777777">
                <w:trPr>
                  <w:divId w:val="708071725"/>
                  <w:tblCellSpacing w:w="15" w:type="dxa"/>
                </w:trPr>
                <w:tc>
                  <w:tcPr>
                    <w:tcW w:w="50" w:type="pct"/>
                    <w:hideMark/>
                  </w:tcPr>
                  <w:p w14:paraId="33ADFB81" w14:textId="77777777" w:rsidR="006B2EEA" w:rsidRPr="00521E49" w:rsidRDefault="006B2EEA">
                    <w:pPr>
                      <w:pStyle w:val="Bibliography"/>
                      <w:rPr>
                        <w:noProof/>
                      </w:rPr>
                    </w:pPr>
                    <w:r w:rsidRPr="00521E49">
                      <w:rPr>
                        <w:noProof/>
                      </w:rPr>
                      <w:t xml:space="preserve">[37] </w:t>
                    </w:r>
                  </w:p>
                </w:tc>
                <w:tc>
                  <w:tcPr>
                    <w:tcW w:w="0" w:type="auto"/>
                    <w:hideMark/>
                  </w:tcPr>
                  <w:p w14:paraId="349649C6" w14:textId="77777777" w:rsidR="006B2EEA" w:rsidRPr="00521E49" w:rsidRDefault="006B2EEA">
                    <w:pPr>
                      <w:pStyle w:val="Bibliography"/>
                      <w:rPr>
                        <w:noProof/>
                      </w:rPr>
                    </w:pPr>
                    <w:r w:rsidRPr="00521E49">
                      <w:rPr>
                        <w:noProof/>
                      </w:rPr>
                      <w:t xml:space="preserve">"The Results of the Health and Safety Executive's Criticality Performance Test", A J Rudge and D N Simister, Proceedings of ICNC '91, 9-13 September 1991, Oxford. </w:t>
                    </w:r>
                  </w:p>
                </w:tc>
              </w:tr>
              <w:tr w:rsidR="006B2EEA" w14:paraId="1C2A72A7" w14:textId="77777777">
                <w:trPr>
                  <w:divId w:val="708071725"/>
                  <w:tblCellSpacing w:w="15" w:type="dxa"/>
                </w:trPr>
                <w:tc>
                  <w:tcPr>
                    <w:tcW w:w="50" w:type="pct"/>
                    <w:hideMark/>
                  </w:tcPr>
                  <w:p w14:paraId="7B33FC48" w14:textId="77777777" w:rsidR="006B2EEA" w:rsidRPr="00521E49" w:rsidRDefault="006B2EEA">
                    <w:pPr>
                      <w:pStyle w:val="Bibliography"/>
                      <w:rPr>
                        <w:noProof/>
                      </w:rPr>
                    </w:pPr>
                    <w:r w:rsidRPr="00521E49">
                      <w:rPr>
                        <w:noProof/>
                      </w:rPr>
                      <w:t xml:space="preserve">[38] </w:t>
                    </w:r>
                  </w:p>
                </w:tc>
                <w:tc>
                  <w:tcPr>
                    <w:tcW w:w="0" w:type="auto"/>
                    <w:hideMark/>
                  </w:tcPr>
                  <w:p w14:paraId="14625A2F" w14:textId="77777777" w:rsidR="006B2EEA" w:rsidRPr="00521E49" w:rsidRDefault="006B2EEA">
                    <w:pPr>
                      <w:pStyle w:val="Bibliography"/>
                      <w:rPr>
                        <w:noProof/>
                      </w:rPr>
                    </w:pPr>
                    <w:r w:rsidRPr="00521E49">
                      <w:rPr>
                        <w:noProof/>
                      </w:rPr>
                      <w:t xml:space="preserve">"Analysis of Infringements or Potential Infringements of Criticality Rules", D N Simister, ICNC 1995, Albuquerque. </w:t>
                    </w:r>
                  </w:p>
                </w:tc>
              </w:tr>
              <w:tr w:rsidR="006B2EEA" w14:paraId="477F5C08" w14:textId="77777777">
                <w:trPr>
                  <w:divId w:val="708071725"/>
                  <w:tblCellSpacing w:w="15" w:type="dxa"/>
                </w:trPr>
                <w:tc>
                  <w:tcPr>
                    <w:tcW w:w="50" w:type="pct"/>
                    <w:hideMark/>
                  </w:tcPr>
                  <w:p w14:paraId="237D1F47" w14:textId="77777777" w:rsidR="006B2EEA" w:rsidRPr="00521E49" w:rsidRDefault="006B2EEA">
                    <w:pPr>
                      <w:pStyle w:val="Bibliography"/>
                      <w:rPr>
                        <w:noProof/>
                      </w:rPr>
                    </w:pPr>
                    <w:r w:rsidRPr="00521E49">
                      <w:rPr>
                        <w:noProof/>
                      </w:rPr>
                      <w:t xml:space="preserve">[39] </w:t>
                    </w:r>
                  </w:p>
                </w:tc>
                <w:tc>
                  <w:tcPr>
                    <w:tcW w:w="0" w:type="auto"/>
                    <w:hideMark/>
                  </w:tcPr>
                  <w:p w14:paraId="12259986" w14:textId="77777777" w:rsidR="006B2EEA" w:rsidRPr="00521E49" w:rsidRDefault="006B2EEA">
                    <w:pPr>
                      <w:pStyle w:val="Bibliography"/>
                      <w:rPr>
                        <w:noProof/>
                      </w:rPr>
                    </w:pPr>
                    <w:r w:rsidRPr="00521E49">
                      <w:rPr>
                        <w:noProof/>
                      </w:rPr>
                      <w:t>"HSE's Safety Assessment Principles for Criticality Safety", D N Simister et al, Journal of Radiological Protection 28(2008), pp. 237-247.</w:t>
                    </w:r>
                  </w:p>
                </w:tc>
              </w:tr>
              <w:tr w:rsidR="006B2EEA" w14:paraId="32F09A7E" w14:textId="77777777">
                <w:trPr>
                  <w:divId w:val="708071725"/>
                  <w:tblCellSpacing w:w="15" w:type="dxa"/>
                </w:trPr>
                <w:tc>
                  <w:tcPr>
                    <w:tcW w:w="50" w:type="pct"/>
                    <w:hideMark/>
                  </w:tcPr>
                  <w:p w14:paraId="7BFA7B24" w14:textId="77777777" w:rsidR="006B2EEA" w:rsidRPr="00521E49" w:rsidRDefault="006B2EEA">
                    <w:pPr>
                      <w:pStyle w:val="Bibliography"/>
                      <w:rPr>
                        <w:noProof/>
                      </w:rPr>
                    </w:pPr>
                    <w:r w:rsidRPr="00521E49">
                      <w:rPr>
                        <w:noProof/>
                      </w:rPr>
                      <w:t xml:space="preserve">[40] </w:t>
                    </w:r>
                  </w:p>
                </w:tc>
                <w:tc>
                  <w:tcPr>
                    <w:tcW w:w="0" w:type="auto"/>
                    <w:hideMark/>
                  </w:tcPr>
                  <w:p w14:paraId="535304EB" w14:textId="77777777" w:rsidR="006B2EEA" w:rsidRPr="00521E49" w:rsidRDefault="006B2EEA">
                    <w:pPr>
                      <w:pStyle w:val="Bibliography"/>
                      <w:rPr>
                        <w:noProof/>
                      </w:rPr>
                    </w:pPr>
                    <w:r w:rsidRPr="00521E49">
                      <w:rPr>
                        <w:noProof/>
                      </w:rPr>
                      <w:t xml:space="preserve">Los Alamos National Laboratory, LA-13638, "A Review of Criticality Accidents - 2000 Revision", T P McLaughlin et al. </w:t>
                    </w:r>
                  </w:p>
                </w:tc>
              </w:tr>
              <w:tr w:rsidR="006B2EEA" w14:paraId="391CFF3E" w14:textId="77777777">
                <w:trPr>
                  <w:divId w:val="708071725"/>
                  <w:tblCellSpacing w:w="15" w:type="dxa"/>
                </w:trPr>
                <w:tc>
                  <w:tcPr>
                    <w:tcW w:w="50" w:type="pct"/>
                    <w:hideMark/>
                  </w:tcPr>
                  <w:p w14:paraId="5363958F" w14:textId="77777777" w:rsidR="006B2EEA" w:rsidRPr="00521E49" w:rsidRDefault="006B2EEA">
                    <w:pPr>
                      <w:pStyle w:val="Bibliography"/>
                      <w:rPr>
                        <w:noProof/>
                      </w:rPr>
                    </w:pPr>
                    <w:r w:rsidRPr="00521E49">
                      <w:rPr>
                        <w:noProof/>
                      </w:rPr>
                      <w:t xml:space="preserve">[41] </w:t>
                    </w:r>
                  </w:p>
                </w:tc>
                <w:tc>
                  <w:tcPr>
                    <w:tcW w:w="0" w:type="auto"/>
                    <w:hideMark/>
                  </w:tcPr>
                  <w:p w14:paraId="2E6D7B39" w14:textId="77777777" w:rsidR="006B2EEA" w:rsidRPr="00521E49" w:rsidRDefault="006B2EEA">
                    <w:pPr>
                      <w:pStyle w:val="Bibliography"/>
                      <w:rPr>
                        <w:noProof/>
                      </w:rPr>
                    </w:pPr>
                    <w:r w:rsidRPr="00521E49">
                      <w:rPr>
                        <w:noProof/>
                      </w:rPr>
                      <w:t xml:space="preserve">ONR 323, 203171-AA-0019, Issue 1.0, "Use of Burnup Credit in the Assessment of Criticality Risk". </w:t>
                    </w:r>
                  </w:p>
                </w:tc>
              </w:tr>
              <w:tr w:rsidR="006B2EEA" w14:paraId="599F1662" w14:textId="77777777">
                <w:trPr>
                  <w:divId w:val="708071725"/>
                  <w:tblCellSpacing w:w="15" w:type="dxa"/>
                </w:trPr>
                <w:tc>
                  <w:tcPr>
                    <w:tcW w:w="50" w:type="pct"/>
                    <w:hideMark/>
                  </w:tcPr>
                  <w:p w14:paraId="2878B695" w14:textId="77777777" w:rsidR="006B2EEA" w:rsidRPr="00521E49" w:rsidRDefault="006B2EEA">
                    <w:pPr>
                      <w:pStyle w:val="Bibliography"/>
                      <w:rPr>
                        <w:noProof/>
                      </w:rPr>
                    </w:pPr>
                    <w:r w:rsidRPr="00521E49">
                      <w:rPr>
                        <w:noProof/>
                      </w:rPr>
                      <w:t xml:space="preserve">[42] </w:t>
                    </w:r>
                  </w:p>
                </w:tc>
                <w:tc>
                  <w:tcPr>
                    <w:tcW w:w="0" w:type="auto"/>
                    <w:hideMark/>
                  </w:tcPr>
                  <w:p w14:paraId="3A01296D" w14:textId="77777777" w:rsidR="006B2EEA" w:rsidRPr="00521E49" w:rsidRDefault="006B2EEA">
                    <w:pPr>
                      <w:pStyle w:val="Bibliography"/>
                      <w:rPr>
                        <w:noProof/>
                      </w:rPr>
                    </w:pPr>
                    <w:r w:rsidRPr="00521E49">
                      <w:rPr>
                        <w:noProof/>
                      </w:rPr>
                      <w:t xml:space="preserve">US Nuclear Regulatory Commission, Interim Staff Guidance, "Burnup Credit in the Criticality Safety Analyses of PWR Spent Fuel in Transportation and Storage Casks", http://www.nrc.gov/reading-rm/doc-collections/isg/isg-8R3.pdf. </w:t>
                    </w:r>
                  </w:p>
                </w:tc>
              </w:tr>
              <w:tr w:rsidR="006B2EEA" w14:paraId="4C50470F" w14:textId="77777777">
                <w:trPr>
                  <w:divId w:val="708071725"/>
                  <w:tblCellSpacing w:w="15" w:type="dxa"/>
                </w:trPr>
                <w:tc>
                  <w:tcPr>
                    <w:tcW w:w="50" w:type="pct"/>
                    <w:hideMark/>
                  </w:tcPr>
                  <w:p w14:paraId="472A9AFF" w14:textId="77777777" w:rsidR="006B2EEA" w:rsidRPr="00521E49" w:rsidRDefault="006B2EEA">
                    <w:pPr>
                      <w:pStyle w:val="Bibliography"/>
                      <w:rPr>
                        <w:noProof/>
                      </w:rPr>
                    </w:pPr>
                    <w:r w:rsidRPr="00521E49">
                      <w:rPr>
                        <w:noProof/>
                      </w:rPr>
                      <w:t xml:space="preserve">[43] </w:t>
                    </w:r>
                  </w:p>
                </w:tc>
                <w:tc>
                  <w:tcPr>
                    <w:tcW w:w="0" w:type="auto"/>
                    <w:hideMark/>
                  </w:tcPr>
                  <w:p w14:paraId="488909F8" w14:textId="77777777" w:rsidR="006B2EEA" w:rsidRPr="00521E49" w:rsidRDefault="006B2EEA">
                    <w:pPr>
                      <w:pStyle w:val="Bibliography"/>
                      <w:rPr>
                        <w:noProof/>
                      </w:rPr>
                    </w:pPr>
                    <w:r w:rsidRPr="00521E49">
                      <w:rPr>
                        <w:noProof/>
                      </w:rPr>
                      <w:t xml:space="preserve">The UK Working Party on Criticality, "The UK Nuclear Industry Good Practice Guide to Minimum Sub-Critical Margins", WPC/P288 Version 1, June 2020. </w:t>
                    </w:r>
                  </w:p>
                </w:tc>
              </w:tr>
              <w:tr w:rsidR="006B2EEA" w14:paraId="0B428B34" w14:textId="77777777">
                <w:trPr>
                  <w:divId w:val="708071725"/>
                  <w:tblCellSpacing w:w="15" w:type="dxa"/>
                </w:trPr>
                <w:tc>
                  <w:tcPr>
                    <w:tcW w:w="50" w:type="pct"/>
                    <w:hideMark/>
                  </w:tcPr>
                  <w:p w14:paraId="3EC2EDBB" w14:textId="77777777" w:rsidR="006B2EEA" w:rsidRPr="00521E49" w:rsidRDefault="006B2EEA">
                    <w:pPr>
                      <w:pStyle w:val="Bibliography"/>
                      <w:rPr>
                        <w:noProof/>
                      </w:rPr>
                    </w:pPr>
                    <w:r w:rsidRPr="00521E49">
                      <w:rPr>
                        <w:noProof/>
                      </w:rPr>
                      <w:t xml:space="preserve">[44] </w:t>
                    </w:r>
                  </w:p>
                </w:tc>
                <w:tc>
                  <w:tcPr>
                    <w:tcW w:w="0" w:type="auto"/>
                    <w:hideMark/>
                  </w:tcPr>
                  <w:p w14:paraId="5726EC42" w14:textId="77777777" w:rsidR="006B2EEA" w:rsidRPr="00521E49" w:rsidRDefault="006B2EEA">
                    <w:pPr>
                      <w:pStyle w:val="Bibliography"/>
                      <w:rPr>
                        <w:noProof/>
                      </w:rPr>
                    </w:pPr>
                    <w:r w:rsidRPr="00521E49">
                      <w:rPr>
                        <w:noProof/>
                      </w:rPr>
                      <w:t xml:space="preserve">US Nuclear Regulatory Commission, Interim Staff Guidance, "Justification of Subcritical Margins", CM9 Ref: 2015/485662. </w:t>
                    </w:r>
                  </w:p>
                </w:tc>
              </w:tr>
              <w:tr w:rsidR="006B2EEA" w14:paraId="2E1093BA" w14:textId="77777777">
                <w:trPr>
                  <w:divId w:val="708071725"/>
                  <w:tblCellSpacing w:w="15" w:type="dxa"/>
                </w:trPr>
                <w:tc>
                  <w:tcPr>
                    <w:tcW w:w="50" w:type="pct"/>
                    <w:hideMark/>
                  </w:tcPr>
                  <w:p w14:paraId="12E2FA99" w14:textId="77777777" w:rsidR="006B2EEA" w:rsidRPr="00521E49" w:rsidRDefault="006B2EEA">
                    <w:pPr>
                      <w:pStyle w:val="Bibliography"/>
                      <w:rPr>
                        <w:noProof/>
                      </w:rPr>
                    </w:pPr>
                    <w:r w:rsidRPr="00521E49">
                      <w:rPr>
                        <w:noProof/>
                      </w:rPr>
                      <w:t xml:space="preserve">[45] </w:t>
                    </w:r>
                  </w:p>
                </w:tc>
                <w:tc>
                  <w:tcPr>
                    <w:tcW w:w="0" w:type="auto"/>
                    <w:hideMark/>
                  </w:tcPr>
                  <w:p w14:paraId="28B4759B" w14:textId="77777777" w:rsidR="006B2EEA" w:rsidRPr="00521E49" w:rsidRDefault="006B2EEA">
                    <w:pPr>
                      <w:pStyle w:val="Bibliography"/>
                      <w:rPr>
                        <w:noProof/>
                      </w:rPr>
                    </w:pPr>
                    <w:r w:rsidRPr="00521E49">
                      <w:rPr>
                        <w:noProof/>
                      </w:rPr>
                      <w:t xml:space="preserve">Los Alamos National Laboratory, LA-14244-M, "Hand Calculation Methods for Criticality Safety - A Primer". </w:t>
                    </w:r>
                  </w:p>
                </w:tc>
              </w:tr>
              <w:tr w:rsidR="006B2EEA" w14:paraId="28ADE17E" w14:textId="77777777">
                <w:trPr>
                  <w:divId w:val="708071725"/>
                  <w:tblCellSpacing w:w="15" w:type="dxa"/>
                </w:trPr>
                <w:tc>
                  <w:tcPr>
                    <w:tcW w:w="50" w:type="pct"/>
                    <w:hideMark/>
                  </w:tcPr>
                  <w:p w14:paraId="4D0006EF" w14:textId="77777777" w:rsidR="006B2EEA" w:rsidRPr="00521E49" w:rsidRDefault="006B2EEA">
                    <w:pPr>
                      <w:pStyle w:val="Bibliography"/>
                      <w:rPr>
                        <w:noProof/>
                      </w:rPr>
                    </w:pPr>
                    <w:r w:rsidRPr="00521E49">
                      <w:rPr>
                        <w:noProof/>
                      </w:rPr>
                      <w:t xml:space="preserve">[46] </w:t>
                    </w:r>
                  </w:p>
                </w:tc>
                <w:tc>
                  <w:tcPr>
                    <w:tcW w:w="0" w:type="auto"/>
                    <w:hideMark/>
                  </w:tcPr>
                  <w:p w14:paraId="1516D9CA" w14:textId="77777777" w:rsidR="006B2EEA" w:rsidRPr="00521E49" w:rsidRDefault="006B2EEA">
                    <w:pPr>
                      <w:pStyle w:val="Bibliography"/>
                      <w:rPr>
                        <w:noProof/>
                      </w:rPr>
                    </w:pPr>
                    <w:r w:rsidRPr="00521E49">
                      <w:rPr>
                        <w:noProof/>
                      </w:rPr>
                      <w:t xml:space="preserve">The UK Working Party on Criticality, WPC/P243 Issue 1, "The WPC Criticality Competence Framework". </w:t>
                    </w:r>
                  </w:p>
                </w:tc>
              </w:tr>
              <w:tr w:rsidR="006B2EEA" w14:paraId="46D43606" w14:textId="77777777">
                <w:trPr>
                  <w:divId w:val="708071725"/>
                  <w:tblCellSpacing w:w="15" w:type="dxa"/>
                </w:trPr>
                <w:tc>
                  <w:tcPr>
                    <w:tcW w:w="50" w:type="pct"/>
                    <w:hideMark/>
                  </w:tcPr>
                  <w:p w14:paraId="31B060B6" w14:textId="77777777" w:rsidR="006B2EEA" w:rsidRPr="00521E49" w:rsidRDefault="006B2EEA">
                    <w:pPr>
                      <w:pStyle w:val="Bibliography"/>
                      <w:rPr>
                        <w:noProof/>
                      </w:rPr>
                    </w:pPr>
                    <w:r w:rsidRPr="00521E49">
                      <w:rPr>
                        <w:noProof/>
                      </w:rPr>
                      <w:t xml:space="preserve">[47] </w:t>
                    </w:r>
                  </w:p>
                </w:tc>
                <w:tc>
                  <w:tcPr>
                    <w:tcW w:w="0" w:type="auto"/>
                    <w:hideMark/>
                  </w:tcPr>
                  <w:p w14:paraId="567AF9F6" w14:textId="77777777" w:rsidR="006B2EEA" w:rsidRPr="00521E49" w:rsidRDefault="006B2EEA">
                    <w:pPr>
                      <w:pStyle w:val="Bibliography"/>
                      <w:rPr>
                        <w:noProof/>
                      </w:rPr>
                    </w:pPr>
                    <w:r w:rsidRPr="00521E49">
                      <w:rPr>
                        <w:noProof/>
                      </w:rPr>
                      <w:t xml:space="preserve">ONR, NS-TAST-GD-042 Revision 5.1, "Validation of Computer Codes and Calculation Methods", September 2023. </w:t>
                    </w:r>
                  </w:p>
                </w:tc>
              </w:tr>
              <w:tr w:rsidR="006B2EEA" w14:paraId="16978B33" w14:textId="77777777">
                <w:trPr>
                  <w:divId w:val="708071725"/>
                  <w:tblCellSpacing w:w="15" w:type="dxa"/>
                </w:trPr>
                <w:tc>
                  <w:tcPr>
                    <w:tcW w:w="50" w:type="pct"/>
                    <w:hideMark/>
                  </w:tcPr>
                  <w:p w14:paraId="56294DFC" w14:textId="77777777" w:rsidR="006B2EEA" w:rsidRPr="00521E49" w:rsidRDefault="006B2EEA">
                    <w:pPr>
                      <w:pStyle w:val="Bibliography"/>
                      <w:rPr>
                        <w:noProof/>
                      </w:rPr>
                    </w:pPr>
                    <w:r w:rsidRPr="00521E49">
                      <w:rPr>
                        <w:noProof/>
                      </w:rPr>
                      <w:lastRenderedPageBreak/>
                      <w:t xml:space="preserve">[48] </w:t>
                    </w:r>
                  </w:p>
                </w:tc>
                <w:tc>
                  <w:tcPr>
                    <w:tcW w:w="0" w:type="auto"/>
                    <w:hideMark/>
                  </w:tcPr>
                  <w:p w14:paraId="09A1932B" w14:textId="77777777" w:rsidR="006B2EEA" w:rsidRPr="00521E49" w:rsidRDefault="006B2EEA">
                    <w:pPr>
                      <w:pStyle w:val="Bibliography"/>
                      <w:rPr>
                        <w:noProof/>
                      </w:rPr>
                    </w:pPr>
                    <w:r w:rsidRPr="00521E49">
                      <w:rPr>
                        <w:noProof/>
                      </w:rPr>
                      <w:t xml:space="preserve">National Physical Laboratories, Good Practice Guide No. 34 Issue 2, "Radiometric Non-Destructive Assay". </w:t>
                    </w:r>
                  </w:p>
                </w:tc>
              </w:tr>
              <w:tr w:rsidR="006B2EEA" w14:paraId="299DBDA8" w14:textId="77777777">
                <w:trPr>
                  <w:divId w:val="708071725"/>
                  <w:tblCellSpacing w:w="15" w:type="dxa"/>
                </w:trPr>
                <w:tc>
                  <w:tcPr>
                    <w:tcW w:w="50" w:type="pct"/>
                    <w:hideMark/>
                  </w:tcPr>
                  <w:p w14:paraId="4EC3EE4E" w14:textId="77777777" w:rsidR="006B2EEA" w:rsidRPr="00521E49" w:rsidRDefault="006B2EEA">
                    <w:pPr>
                      <w:pStyle w:val="Bibliography"/>
                      <w:rPr>
                        <w:noProof/>
                      </w:rPr>
                    </w:pPr>
                    <w:r w:rsidRPr="00521E49">
                      <w:rPr>
                        <w:noProof/>
                      </w:rPr>
                      <w:t xml:space="preserve">[49] </w:t>
                    </w:r>
                  </w:p>
                </w:tc>
                <w:tc>
                  <w:tcPr>
                    <w:tcW w:w="0" w:type="auto"/>
                    <w:hideMark/>
                  </w:tcPr>
                  <w:p w14:paraId="4D9A0AD0" w14:textId="77777777" w:rsidR="006B2EEA" w:rsidRPr="00521E49" w:rsidRDefault="006B2EEA">
                    <w:pPr>
                      <w:pStyle w:val="Bibliography"/>
                      <w:rPr>
                        <w:noProof/>
                      </w:rPr>
                    </w:pPr>
                    <w:r w:rsidRPr="00521E49">
                      <w:rPr>
                        <w:noProof/>
                      </w:rPr>
                      <w:t xml:space="preserve">"Protection of On-Site Personnel in the Event of a Radiation Accident", Documents of the NRPB, Volume 16, No 1, 2005. </w:t>
                    </w:r>
                  </w:p>
                </w:tc>
              </w:tr>
            </w:tbl>
            <w:p w14:paraId="2381A5AF" w14:textId="77777777" w:rsidR="006B2EEA" w:rsidRDefault="006B2EEA">
              <w:pPr>
                <w:divId w:val="708071725"/>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3" w:name="_Toc89268373"/>
      <w:bookmarkStart w:id="14" w:name="_Toc156293672"/>
      <w:r w:rsidRPr="003B4701">
        <w:lastRenderedPageBreak/>
        <w:t>Glossary and Abbreviations</w:t>
      </w:r>
      <w:bookmarkEnd w:id="13"/>
      <w:bookmarkEnd w:id="14"/>
    </w:p>
    <w:p w14:paraId="566E03A9" w14:textId="44289FD1" w:rsidR="00F41FEC" w:rsidRPr="00F41FEC" w:rsidRDefault="00F41FEC" w:rsidP="00F7687C">
      <w:pPr>
        <w:tabs>
          <w:tab w:val="left" w:pos="1440"/>
        </w:tabs>
        <w:spacing w:line="240" w:lineRule="auto"/>
        <w:contextualSpacing/>
      </w:pPr>
      <w:r w:rsidRPr="00F41FEC">
        <w:t>AHSB</w:t>
      </w:r>
      <w:r w:rsidRPr="00F41FEC">
        <w:tab/>
        <w:t>(UKAEA) Health and S</w:t>
      </w:r>
      <w:r>
        <w:t>afety Branch</w:t>
      </w:r>
    </w:p>
    <w:p w14:paraId="0EA9F3BD" w14:textId="1D97D4E3" w:rsidR="00F41FEC" w:rsidRPr="00F41FEC" w:rsidRDefault="00F41FEC" w:rsidP="00F7687C">
      <w:pPr>
        <w:tabs>
          <w:tab w:val="left" w:pos="1440"/>
        </w:tabs>
        <w:spacing w:line="240" w:lineRule="auto"/>
        <w:contextualSpacing/>
      </w:pPr>
      <w:r w:rsidRPr="00F41FEC">
        <w:t>ALARP</w:t>
      </w:r>
      <w:r>
        <w:tab/>
        <w:t>As Low As Reasonably Practicable</w:t>
      </w:r>
    </w:p>
    <w:p w14:paraId="1206EF59" w14:textId="4683AE62" w:rsidR="00F41FEC" w:rsidRPr="00F41FEC" w:rsidRDefault="00F41FEC" w:rsidP="00F7687C">
      <w:pPr>
        <w:tabs>
          <w:tab w:val="left" w:pos="1440"/>
        </w:tabs>
        <w:spacing w:line="240" w:lineRule="auto"/>
        <w:contextualSpacing/>
      </w:pPr>
      <w:r w:rsidRPr="00F41FEC">
        <w:t>ANS</w:t>
      </w:r>
      <w:r>
        <w:tab/>
        <w:t>American Nuclear Society</w:t>
      </w:r>
    </w:p>
    <w:p w14:paraId="453334A4" w14:textId="65694F18" w:rsidR="00F41FEC" w:rsidRDefault="00F41FEC" w:rsidP="00F7687C">
      <w:pPr>
        <w:tabs>
          <w:tab w:val="left" w:pos="1440"/>
        </w:tabs>
        <w:spacing w:line="240" w:lineRule="auto"/>
        <w:contextualSpacing/>
      </w:pPr>
      <w:r w:rsidRPr="00F41FEC">
        <w:t>ANSI</w:t>
      </w:r>
      <w:r w:rsidRPr="00F41FEC">
        <w:tab/>
        <w:t>A</w:t>
      </w:r>
      <w:r>
        <w:t>merican National Standards Institute</w:t>
      </w:r>
    </w:p>
    <w:p w14:paraId="6FB830B2" w14:textId="1728F562" w:rsidR="007B3953" w:rsidRPr="00F41FEC" w:rsidRDefault="007B3953" w:rsidP="00F7687C">
      <w:pPr>
        <w:tabs>
          <w:tab w:val="left" w:pos="1440"/>
        </w:tabs>
        <w:spacing w:line="240" w:lineRule="auto"/>
        <w:contextualSpacing/>
      </w:pPr>
      <w:r>
        <w:t>BS</w:t>
      </w:r>
      <w:r>
        <w:tab/>
        <w:t>British Standard</w:t>
      </w:r>
    </w:p>
    <w:p w14:paraId="46FA23BA" w14:textId="32A67D7F" w:rsidR="00F41FEC" w:rsidRPr="00F41FEC" w:rsidRDefault="00F41FEC" w:rsidP="00F7687C">
      <w:pPr>
        <w:tabs>
          <w:tab w:val="left" w:pos="1440"/>
        </w:tabs>
        <w:spacing w:line="240" w:lineRule="auto"/>
        <w:contextualSpacing/>
      </w:pPr>
      <w:r w:rsidRPr="00F41FEC">
        <w:t>CBA</w:t>
      </w:r>
      <w:r w:rsidR="007B3953">
        <w:tab/>
        <w:t>Cost Benefit Analysis</w:t>
      </w:r>
    </w:p>
    <w:p w14:paraId="7EAE5F23" w14:textId="798DF0EA" w:rsidR="00F41FEC" w:rsidRPr="007B3953" w:rsidRDefault="00F41FEC" w:rsidP="00F7687C">
      <w:pPr>
        <w:tabs>
          <w:tab w:val="left" w:pos="1440"/>
        </w:tabs>
        <w:spacing w:line="240" w:lineRule="auto"/>
        <w:contextualSpacing/>
      </w:pPr>
      <w:r w:rsidRPr="007B3953">
        <w:t>DBA</w:t>
      </w:r>
      <w:r w:rsidR="007B3953">
        <w:tab/>
        <w:t>Design Basis Analysis</w:t>
      </w:r>
    </w:p>
    <w:p w14:paraId="48A9C7D7" w14:textId="5D17AB58" w:rsidR="00F41FEC" w:rsidRPr="00F41FEC" w:rsidRDefault="00F41FEC" w:rsidP="00F7687C">
      <w:pPr>
        <w:tabs>
          <w:tab w:val="left" w:pos="1440"/>
        </w:tabs>
        <w:spacing w:line="240" w:lineRule="auto"/>
        <w:contextualSpacing/>
      </w:pPr>
      <w:r w:rsidRPr="00F41FEC">
        <w:t>DCA/DCP</w:t>
      </w:r>
      <w:r w:rsidR="007B3953">
        <w:tab/>
        <w:t>Double Contingency Approach / Double Contingency Principle</w:t>
      </w:r>
    </w:p>
    <w:p w14:paraId="78ED864C" w14:textId="51096CD0" w:rsidR="007B3953" w:rsidRDefault="007B3953" w:rsidP="00F7687C">
      <w:pPr>
        <w:tabs>
          <w:tab w:val="left" w:pos="1440"/>
        </w:tabs>
        <w:spacing w:line="240" w:lineRule="auto"/>
        <w:contextualSpacing/>
      </w:pPr>
      <w:r>
        <w:t>ECR</w:t>
      </w:r>
      <w:r>
        <w:tab/>
        <w:t>Engineering Principle: Criticality Safety</w:t>
      </w:r>
    </w:p>
    <w:p w14:paraId="2FC57261" w14:textId="7DBF457C" w:rsidR="007B3953" w:rsidRDefault="007B3953" w:rsidP="00F7687C">
      <w:pPr>
        <w:tabs>
          <w:tab w:val="left" w:pos="1440"/>
        </w:tabs>
        <w:spacing w:line="240" w:lineRule="auto"/>
        <w:contextualSpacing/>
      </w:pPr>
      <w:r>
        <w:t>FP</w:t>
      </w:r>
      <w:r>
        <w:tab/>
        <w:t>Fundamental Principle</w:t>
      </w:r>
    </w:p>
    <w:p w14:paraId="0E593EA1" w14:textId="77B2761E" w:rsidR="007B3953" w:rsidRDefault="007B3953" w:rsidP="00F7687C">
      <w:pPr>
        <w:tabs>
          <w:tab w:val="left" w:pos="1440"/>
        </w:tabs>
        <w:spacing w:line="240" w:lineRule="auto"/>
        <w:contextualSpacing/>
      </w:pPr>
      <w:r>
        <w:t>HAZOP</w:t>
      </w:r>
      <w:r>
        <w:tab/>
        <w:t>Hazard and Operability (study)</w:t>
      </w:r>
    </w:p>
    <w:p w14:paraId="4EC2F49F" w14:textId="7015370B"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21D70843" w14:textId="2A5D7D06" w:rsidR="00ED03B2" w:rsidRDefault="00ED03B2" w:rsidP="00F7687C">
      <w:pPr>
        <w:tabs>
          <w:tab w:val="left" w:pos="1440"/>
        </w:tabs>
        <w:spacing w:line="240" w:lineRule="auto"/>
        <w:contextualSpacing/>
      </w:pPr>
      <w:r>
        <w:t>ICNC</w:t>
      </w:r>
      <w:r>
        <w:tab/>
        <w:t>International Conference on Nuclear Criticality Safety</w:t>
      </w:r>
    </w:p>
    <w:p w14:paraId="01E99CC6" w14:textId="3616825F" w:rsidR="00ED03B2" w:rsidRDefault="00ED03B2" w:rsidP="00F7687C">
      <w:pPr>
        <w:tabs>
          <w:tab w:val="left" w:pos="1440"/>
        </w:tabs>
        <w:spacing w:line="240" w:lineRule="auto"/>
        <w:contextualSpacing/>
      </w:pPr>
      <w:r>
        <w:t>ICSBEP</w:t>
      </w:r>
      <w:r>
        <w:tab/>
        <w:t>International Criticality Safety Benchmark Evaluation Project</w:t>
      </w:r>
    </w:p>
    <w:p w14:paraId="0D9BF5B5" w14:textId="4D93F8CB" w:rsidR="00ED03B2" w:rsidRDefault="00ED03B2" w:rsidP="00F7687C">
      <w:pPr>
        <w:tabs>
          <w:tab w:val="left" w:pos="1440"/>
        </w:tabs>
        <w:spacing w:line="240" w:lineRule="auto"/>
        <w:contextualSpacing/>
      </w:pPr>
      <w:r>
        <w:t>IRR17</w:t>
      </w:r>
      <w:r>
        <w:tab/>
        <w:t>The Ionising Radiations Regulations 2017</w:t>
      </w:r>
    </w:p>
    <w:p w14:paraId="620B5CFF" w14:textId="15EC3E2F" w:rsidR="00B62069" w:rsidRPr="00A50ACC" w:rsidRDefault="00B62069" w:rsidP="00F7687C">
      <w:pPr>
        <w:tabs>
          <w:tab w:val="left" w:pos="1440"/>
        </w:tabs>
        <w:spacing w:line="240" w:lineRule="auto"/>
        <w:contextualSpacing/>
        <w:rPr>
          <w:lang w:val="fr-FR"/>
        </w:rPr>
      </w:pPr>
      <w:r w:rsidRPr="00A50ACC">
        <w:rPr>
          <w:lang w:val="fr-FR"/>
        </w:rPr>
        <w:t>ISO</w:t>
      </w:r>
      <w:r w:rsidRPr="00A50ACC">
        <w:rPr>
          <w:lang w:val="fr-FR"/>
        </w:rPr>
        <w:tab/>
        <w:t>International Organisation for Standardisation</w:t>
      </w:r>
    </w:p>
    <w:p w14:paraId="41296DE1" w14:textId="6DF254C4" w:rsidR="00B62069" w:rsidRPr="00A50ACC" w:rsidRDefault="00B62069" w:rsidP="00F7687C">
      <w:pPr>
        <w:tabs>
          <w:tab w:val="left" w:pos="1440"/>
        </w:tabs>
        <w:spacing w:line="240" w:lineRule="auto"/>
        <w:contextualSpacing/>
        <w:rPr>
          <w:lang w:val="fr-FR"/>
        </w:rPr>
      </w:pPr>
      <w:r w:rsidRPr="00A50ACC">
        <w:rPr>
          <w:lang w:val="fr-FR"/>
        </w:rPr>
        <w:t>LC</w:t>
      </w:r>
      <w:r w:rsidRPr="00A50ACC">
        <w:rPr>
          <w:lang w:val="fr-FR"/>
        </w:rPr>
        <w:tab/>
        <w:t>Licence Condition</w:t>
      </w:r>
    </w:p>
    <w:p w14:paraId="2B24FBA1" w14:textId="3DD0F723" w:rsidR="00B62069" w:rsidRPr="00A50ACC" w:rsidRDefault="00B62069" w:rsidP="00F7687C">
      <w:pPr>
        <w:tabs>
          <w:tab w:val="left" w:pos="1440"/>
        </w:tabs>
        <w:spacing w:line="240" w:lineRule="auto"/>
        <w:contextualSpacing/>
        <w:rPr>
          <w:lang w:val="fr-FR"/>
        </w:rPr>
      </w:pPr>
      <w:r w:rsidRPr="00A50ACC">
        <w:rPr>
          <w:lang w:val="fr-FR"/>
        </w:rPr>
        <w:t>MOX</w:t>
      </w:r>
      <w:r w:rsidRPr="00A50ACC">
        <w:rPr>
          <w:lang w:val="fr-FR"/>
        </w:rPr>
        <w:tab/>
        <w:t>Mixed Oxide</w:t>
      </w:r>
    </w:p>
    <w:p w14:paraId="377E2E19" w14:textId="369082DE" w:rsidR="00B62069" w:rsidRPr="00A50ACC" w:rsidRDefault="00B62069" w:rsidP="00F7687C">
      <w:pPr>
        <w:tabs>
          <w:tab w:val="left" w:pos="1440"/>
        </w:tabs>
        <w:spacing w:line="240" w:lineRule="auto"/>
        <w:contextualSpacing/>
        <w:rPr>
          <w:lang w:val="fr-FR"/>
        </w:rPr>
      </w:pPr>
      <w:r w:rsidRPr="00A50ACC">
        <w:rPr>
          <w:lang w:val="fr-FR"/>
        </w:rPr>
        <w:t>NDA</w:t>
      </w:r>
      <w:r w:rsidRPr="00A50ACC">
        <w:rPr>
          <w:lang w:val="fr-FR"/>
        </w:rPr>
        <w:tab/>
        <w:t>Non-Destructive Assay</w:t>
      </w:r>
    </w:p>
    <w:p w14:paraId="59571E7C" w14:textId="5DDC7F30" w:rsidR="00B62069" w:rsidRDefault="00B62069" w:rsidP="00F7687C">
      <w:pPr>
        <w:tabs>
          <w:tab w:val="left" w:pos="1440"/>
        </w:tabs>
        <w:spacing w:line="240" w:lineRule="auto"/>
        <w:contextualSpacing/>
      </w:pPr>
      <w:r>
        <w:t>ONR</w:t>
      </w:r>
      <w:r>
        <w:tab/>
        <w:t>Office for Nuclear Regulation</w:t>
      </w:r>
    </w:p>
    <w:p w14:paraId="29F513AC" w14:textId="6A2EB7FC" w:rsidR="00B62069" w:rsidRDefault="00B62069" w:rsidP="00F7687C">
      <w:pPr>
        <w:tabs>
          <w:tab w:val="left" w:pos="1440"/>
        </w:tabs>
        <w:spacing w:line="240" w:lineRule="auto"/>
        <w:contextualSpacing/>
      </w:pPr>
      <w:r>
        <w:t>OR</w:t>
      </w:r>
      <w:r>
        <w:tab/>
        <w:t>Operating Rule</w:t>
      </w:r>
    </w:p>
    <w:p w14:paraId="699D25B2" w14:textId="17D23069" w:rsidR="00B62069" w:rsidRDefault="007E608F" w:rsidP="00F7687C">
      <w:pPr>
        <w:tabs>
          <w:tab w:val="left" w:pos="1440"/>
        </w:tabs>
        <w:spacing w:line="240" w:lineRule="auto"/>
        <w:contextualSpacing/>
      </w:pPr>
      <w:r>
        <w:t>PSA</w:t>
      </w:r>
      <w:r>
        <w:tab/>
        <w:t>Probabilistic Safety Analysis</w:t>
      </w:r>
    </w:p>
    <w:p w14:paraId="71601B89" w14:textId="7597EB75" w:rsidR="00F7687C" w:rsidRDefault="00F7687C" w:rsidP="00F7687C">
      <w:pPr>
        <w:tabs>
          <w:tab w:val="left" w:pos="1440"/>
        </w:tabs>
        <w:spacing w:line="240" w:lineRule="auto"/>
        <w:contextualSpacing/>
      </w:pPr>
      <w:r w:rsidRPr="0003328B">
        <w:t>SAP</w:t>
      </w:r>
      <w:r w:rsidRPr="0003328B">
        <w:tab/>
        <w:t>Safety Assessment Principle(s)</w:t>
      </w:r>
    </w:p>
    <w:p w14:paraId="7DB1E35E" w14:textId="1EAA7D51" w:rsidR="00F51242" w:rsidRPr="0003328B" w:rsidRDefault="00F51242" w:rsidP="00F7687C">
      <w:pPr>
        <w:tabs>
          <w:tab w:val="left" w:pos="1440"/>
        </w:tabs>
        <w:spacing w:line="240" w:lineRule="auto"/>
        <w:contextualSpacing/>
      </w:pPr>
      <w:r>
        <w:t>SQEP</w:t>
      </w:r>
      <w:r>
        <w:tab/>
        <w:t>Suitably Qualified and Experienced Person</w:t>
      </w:r>
    </w:p>
    <w:p w14:paraId="73C2D6E2" w14:textId="4C41DE70" w:rsidR="00F7687C" w:rsidRDefault="00F7687C" w:rsidP="00F7687C">
      <w:pPr>
        <w:tabs>
          <w:tab w:val="left" w:pos="1440"/>
        </w:tabs>
        <w:spacing w:line="240" w:lineRule="auto"/>
        <w:contextualSpacing/>
      </w:pPr>
      <w:r w:rsidRPr="0003328B">
        <w:t>TAG</w:t>
      </w:r>
      <w:r w:rsidRPr="0003328B">
        <w:tab/>
        <w:t>Technical Assessment Guide(s</w:t>
      </w:r>
      <w:r w:rsidR="007E608F">
        <w:t>)</w:t>
      </w:r>
    </w:p>
    <w:p w14:paraId="46B9C9F0" w14:textId="4E07EF99" w:rsidR="00E4127C" w:rsidRDefault="00E4127C" w:rsidP="00F7687C">
      <w:pPr>
        <w:tabs>
          <w:tab w:val="left" w:pos="1440"/>
        </w:tabs>
        <w:spacing w:line="240" w:lineRule="auto"/>
        <w:contextualSpacing/>
      </w:pPr>
      <w:r>
        <w:t>UKAEA</w:t>
      </w:r>
      <w:r>
        <w:tab/>
        <w:t>United Kingdom Atomic Energy Authority</w:t>
      </w:r>
    </w:p>
    <w:p w14:paraId="3870861B" w14:textId="06CC08C0" w:rsidR="00E4127C" w:rsidRPr="0003328B" w:rsidRDefault="00E4127C" w:rsidP="00F7687C">
      <w:pPr>
        <w:tabs>
          <w:tab w:val="left" w:pos="1440"/>
        </w:tabs>
        <w:spacing w:line="240" w:lineRule="auto"/>
        <w:contextualSpacing/>
      </w:pPr>
      <w:r>
        <w:t>UKHSA</w:t>
      </w:r>
      <w:r>
        <w:tab/>
        <w:t>United Kingdom Health Security Agency</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p w14:paraId="314C836D" w14:textId="2AC4C61F" w:rsidR="00372288" w:rsidRDefault="00372288" w:rsidP="00F7687C">
      <w:pPr>
        <w:tabs>
          <w:tab w:val="left" w:pos="1440"/>
        </w:tabs>
        <w:spacing w:line="240" w:lineRule="auto"/>
        <w:contextualSpacing/>
      </w:pPr>
      <w:r>
        <w:t>WPC</w:t>
      </w:r>
      <w:r>
        <w:tab/>
        <w:t>Working Party on Criticality</w:t>
      </w:r>
    </w:p>
    <w:sectPr w:rsidR="00372288"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4AFE8" w14:textId="77777777" w:rsidR="008448BA" w:rsidRDefault="008448BA" w:rsidP="007D199A">
      <w:pPr>
        <w:spacing w:after="0"/>
      </w:pPr>
      <w:r>
        <w:separator/>
      </w:r>
    </w:p>
    <w:p w14:paraId="241D34B8" w14:textId="77777777" w:rsidR="008448BA" w:rsidRDefault="008448BA"/>
    <w:p w14:paraId="0F7C3DBB" w14:textId="77777777" w:rsidR="008448BA" w:rsidRDefault="008448BA"/>
  </w:endnote>
  <w:endnote w:type="continuationSeparator" w:id="0">
    <w:p w14:paraId="67FB72F0" w14:textId="77777777" w:rsidR="008448BA" w:rsidRDefault="008448BA" w:rsidP="007D199A">
      <w:pPr>
        <w:spacing w:after="0"/>
      </w:pPr>
      <w:r>
        <w:continuationSeparator/>
      </w:r>
    </w:p>
    <w:p w14:paraId="347543B8" w14:textId="77777777" w:rsidR="008448BA" w:rsidRDefault="008448BA"/>
    <w:p w14:paraId="11B3BE37" w14:textId="77777777" w:rsidR="008448BA" w:rsidRDefault="00844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F806" w14:textId="77777777" w:rsidR="008448BA" w:rsidRPr="005E0344" w:rsidRDefault="008448BA" w:rsidP="005E0344">
      <w:pPr>
        <w:spacing w:after="120"/>
        <w:rPr>
          <w:color w:val="000000" w:themeColor="text2"/>
        </w:rPr>
      </w:pPr>
      <w:r w:rsidRPr="005E0344">
        <w:rPr>
          <w:color w:val="000000" w:themeColor="text2"/>
        </w:rPr>
        <w:separator/>
      </w:r>
    </w:p>
    <w:p w14:paraId="4AF1D8EB" w14:textId="77777777" w:rsidR="008448BA" w:rsidRDefault="008448BA"/>
  </w:footnote>
  <w:footnote w:type="continuationSeparator" w:id="0">
    <w:p w14:paraId="2A3AD07D" w14:textId="77777777" w:rsidR="008448BA" w:rsidRPr="005E0344" w:rsidRDefault="008448BA" w:rsidP="0090581D">
      <w:pPr>
        <w:spacing w:after="120"/>
        <w:rPr>
          <w:color w:val="000000" w:themeColor="text2"/>
        </w:rPr>
      </w:pPr>
      <w:r w:rsidRPr="005E0344">
        <w:rPr>
          <w:color w:val="000000" w:themeColor="text2"/>
        </w:rPr>
        <w:continuationSeparator/>
      </w:r>
    </w:p>
    <w:p w14:paraId="2D5D1E22" w14:textId="77777777" w:rsidR="008448BA" w:rsidRDefault="008448BA"/>
    <w:p w14:paraId="6859C635" w14:textId="77777777" w:rsidR="008448BA" w:rsidRDefault="008448BA"/>
  </w:footnote>
  <w:footnote w:type="continuationNotice" w:id="1">
    <w:p w14:paraId="78873296" w14:textId="77777777" w:rsidR="008448BA" w:rsidRDefault="008448BA">
      <w:pPr>
        <w:spacing w:after="0"/>
      </w:pPr>
    </w:p>
    <w:p w14:paraId="75AC8BE4" w14:textId="77777777" w:rsidR="008448BA" w:rsidRDefault="008448BA"/>
    <w:p w14:paraId="777F9D24" w14:textId="77777777" w:rsidR="008448BA" w:rsidRDefault="008448BA"/>
  </w:footnote>
  <w:footnote w:id="2">
    <w:p w14:paraId="3CE00B4C" w14:textId="5CD4767D" w:rsidR="003B6954" w:rsidRDefault="003B6954">
      <w:pPr>
        <w:pStyle w:val="FootnoteText"/>
      </w:pPr>
      <w:r>
        <w:rPr>
          <w:rStyle w:val="FootnoteReference"/>
        </w:rPr>
        <w:footnoteRef/>
      </w:r>
      <w:r>
        <w:t xml:space="preserve"> </w:t>
      </w:r>
      <w:r w:rsidR="00704610">
        <w:tab/>
      </w:r>
      <w:r w:rsidR="00FA0A63">
        <w:t>ALARP – As Low As Reasonably Practicable</w:t>
      </w:r>
    </w:p>
  </w:footnote>
  <w:footnote w:id="3">
    <w:p w14:paraId="184F33AD" w14:textId="676AD11D" w:rsidR="00704610" w:rsidRDefault="00704610" w:rsidP="00704610">
      <w:pPr>
        <w:pStyle w:val="FootnoteText"/>
        <w:ind w:left="284" w:hanging="284"/>
      </w:pPr>
      <w:r>
        <w:rPr>
          <w:rStyle w:val="FootnoteReference"/>
        </w:rPr>
        <w:footnoteRef/>
      </w:r>
      <w:r>
        <w:t xml:space="preserve"> </w:t>
      </w:r>
      <w:r>
        <w:tab/>
        <w:t xml:space="preserve">Formerly Public Health England </w:t>
      </w:r>
      <w:r w:rsidR="00F51242">
        <w:t xml:space="preserve">(PHE) </w:t>
      </w:r>
      <w:r>
        <w:t>and before that Health Protection Agency (HPA) and National Radiological Protection Board (NRPB)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87E9D35" w:rsidR="000B2BCD" w:rsidRPr="00046936" w:rsidRDefault="00D353BC"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3852B8">
          <w:rPr>
            <w:sz w:val="20"/>
            <w:szCs w:val="24"/>
          </w:rPr>
          <w:t>Criticality Safety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4509">
          <w:rPr>
            <w:sz w:val="20"/>
            <w:szCs w:val="24"/>
          </w:rPr>
          <w:t>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81296"/>
    <w:multiLevelType w:val="hybridMultilevel"/>
    <w:tmpl w:val="5536895C"/>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40A17DC"/>
    <w:multiLevelType w:val="hybridMultilevel"/>
    <w:tmpl w:val="F85A38CE"/>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379D3548"/>
    <w:multiLevelType w:val="hybridMultilevel"/>
    <w:tmpl w:val="882472BE"/>
    <w:lvl w:ilvl="0" w:tplc="B44C4B24">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D70FE"/>
    <w:multiLevelType w:val="hybridMultilevel"/>
    <w:tmpl w:val="0FCA21CA"/>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F97376"/>
    <w:multiLevelType w:val="hybridMultilevel"/>
    <w:tmpl w:val="9E14051E"/>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9"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7"/>
  </w:num>
  <w:num w:numId="13" w16cid:durableId="1367565994">
    <w:abstractNumId w:val="19"/>
  </w:num>
  <w:num w:numId="14" w16cid:durableId="1174225926">
    <w:abstractNumId w:val="14"/>
  </w:num>
  <w:num w:numId="15" w16cid:durableId="150562503">
    <w:abstractNumId w:val="27"/>
    <w:lvlOverride w:ilvl="0">
      <w:startOverride w:val="1"/>
    </w:lvlOverride>
  </w:num>
  <w:num w:numId="16" w16cid:durableId="708191280">
    <w:abstractNumId w:val="19"/>
    <w:lvlOverride w:ilvl="0">
      <w:startOverride w:val="1"/>
    </w:lvlOverride>
  </w:num>
  <w:num w:numId="17" w16cid:durableId="735981639">
    <w:abstractNumId w:val="14"/>
    <w:lvlOverride w:ilvl="0">
      <w:startOverride w:val="1"/>
    </w:lvlOverride>
  </w:num>
  <w:num w:numId="18" w16cid:durableId="966933876">
    <w:abstractNumId w:val="26"/>
  </w:num>
  <w:num w:numId="19" w16cid:durableId="985626502">
    <w:abstractNumId w:val="23"/>
  </w:num>
  <w:num w:numId="20" w16cid:durableId="2086879214">
    <w:abstractNumId w:val="13"/>
  </w:num>
  <w:num w:numId="21" w16cid:durableId="399718409">
    <w:abstractNumId w:val="30"/>
  </w:num>
  <w:num w:numId="22" w16cid:durableId="999388671">
    <w:abstractNumId w:val="22"/>
  </w:num>
  <w:num w:numId="23" w16cid:durableId="14912149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2"/>
  </w:num>
  <w:num w:numId="25" w16cid:durableId="20966315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1"/>
  </w:num>
  <w:num w:numId="27" w16cid:durableId="561334936">
    <w:abstractNumId w:val="11"/>
  </w:num>
  <w:num w:numId="28" w16cid:durableId="391512796">
    <w:abstractNumId w:val="10"/>
  </w:num>
  <w:num w:numId="29" w16cid:durableId="1960188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0"/>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1"/>
  </w:num>
  <w:num w:numId="33" w16cid:durableId="7413421">
    <w:abstractNumId w:val="29"/>
  </w:num>
  <w:num w:numId="34" w16cid:durableId="377974685">
    <w:abstractNumId w:val="25"/>
  </w:num>
  <w:num w:numId="35" w16cid:durableId="922030000">
    <w:abstractNumId w:val="18"/>
  </w:num>
  <w:num w:numId="36" w16cid:durableId="2083067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4130810">
    <w:abstractNumId w:val="24"/>
  </w:num>
  <w:num w:numId="38" w16cid:durableId="144471169">
    <w:abstractNumId w:val="17"/>
  </w:num>
  <w:num w:numId="39" w16cid:durableId="1050806388">
    <w:abstractNumId w:val="28"/>
  </w:num>
  <w:num w:numId="40" w16cid:durableId="2050714225">
    <w:abstractNumId w:val="15"/>
  </w:num>
  <w:num w:numId="41" w16cid:durableId="2066904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6FC"/>
    <w:rsid w:val="000022BE"/>
    <w:rsid w:val="00002F03"/>
    <w:rsid w:val="000032C9"/>
    <w:rsid w:val="00004C16"/>
    <w:rsid w:val="00011177"/>
    <w:rsid w:val="00011E40"/>
    <w:rsid w:val="00014814"/>
    <w:rsid w:val="00014B2D"/>
    <w:rsid w:val="00024522"/>
    <w:rsid w:val="00024B2E"/>
    <w:rsid w:val="00027F4F"/>
    <w:rsid w:val="00030430"/>
    <w:rsid w:val="0003078E"/>
    <w:rsid w:val="00031B89"/>
    <w:rsid w:val="0003693D"/>
    <w:rsid w:val="00037EE2"/>
    <w:rsid w:val="0004440F"/>
    <w:rsid w:val="00046936"/>
    <w:rsid w:val="00052C8A"/>
    <w:rsid w:val="00053EE6"/>
    <w:rsid w:val="000548C8"/>
    <w:rsid w:val="00055898"/>
    <w:rsid w:val="00056744"/>
    <w:rsid w:val="00056822"/>
    <w:rsid w:val="00062448"/>
    <w:rsid w:val="000637B0"/>
    <w:rsid w:val="00073637"/>
    <w:rsid w:val="00075605"/>
    <w:rsid w:val="00075C66"/>
    <w:rsid w:val="00081114"/>
    <w:rsid w:val="00082879"/>
    <w:rsid w:val="000858D4"/>
    <w:rsid w:val="00091EEA"/>
    <w:rsid w:val="000950B3"/>
    <w:rsid w:val="000A3F61"/>
    <w:rsid w:val="000A51C3"/>
    <w:rsid w:val="000B037A"/>
    <w:rsid w:val="000B2BCD"/>
    <w:rsid w:val="000C2DDC"/>
    <w:rsid w:val="000D1B05"/>
    <w:rsid w:val="000D2FD4"/>
    <w:rsid w:val="000E7A80"/>
    <w:rsid w:val="000F1B7B"/>
    <w:rsid w:val="000F2ED4"/>
    <w:rsid w:val="000F3932"/>
    <w:rsid w:val="0010134F"/>
    <w:rsid w:val="001028E8"/>
    <w:rsid w:val="00120EDF"/>
    <w:rsid w:val="00122FCC"/>
    <w:rsid w:val="00126752"/>
    <w:rsid w:val="00130B30"/>
    <w:rsid w:val="00131E06"/>
    <w:rsid w:val="001321E2"/>
    <w:rsid w:val="00133639"/>
    <w:rsid w:val="001343DF"/>
    <w:rsid w:val="00136064"/>
    <w:rsid w:val="00140E1C"/>
    <w:rsid w:val="001447A9"/>
    <w:rsid w:val="001455BF"/>
    <w:rsid w:val="001473D4"/>
    <w:rsid w:val="00147AE4"/>
    <w:rsid w:val="0015407B"/>
    <w:rsid w:val="00154468"/>
    <w:rsid w:val="00156389"/>
    <w:rsid w:val="00156B04"/>
    <w:rsid w:val="001571E5"/>
    <w:rsid w:val="00170739"/>
    <w:rsid w:val="00177666"/>
    <w:rsid w:val="001833F6"/>
    <w:rsid w:val="001849CA"/>
    <w:rsid w:val="00185410"/>
    <w:rsid w:val="00192352"/>
    <w:rsid w:val="001A0640"/>
    <w:rsid w:val="001A0905"/>
    <w:rsid w:val="001B15A0"/>
    <w:rsid w:val="001B51B4"/>
    <w:rsid w:val="001C4BB5"/>
    <w:rsid w:val="001C4D63"/>
    <w:rsid w:val="001D0DE0"/>
    <w:rsid w:val="001D3852"/>
    <w:rsid w:val="001D5AFF"/>
    <w:rsid w:val="001D74B4"/>
    <w:rsid w:val="001E03E1"/>
    <w:rsid w:val="001E266A"/>
    <w:rsid w:val="001F059F"/>
    <w:rsid w:val="00200811"/>
    <w:rsid w:val="00200CA1"/>
    <w:rsid w:val="0021338D"/>
    <w:rsid w:val="00213438"/>
    <w:rsid w:val="00214D43"/>
    <w:rsid w:val="00221ED0"/>
    <w:rsid w:val="002238B4"/>
    <w:rsid w:val="002319AB"/>
    <w:rsid w:val="002319AC"/>
    <w:rsid w:val="00234342"/>
    <w:rsid w:val="0024040D"/>
    <w:rsid w:val="00241825"/>
    <w:rsid w:val="00245A0D"/>
    <w:rsid w:val="00251158"/>
    <w:rsid w:val="002533FA"/>
    <w:rsid w:val="00255FA3"/>
    <w:rsid w:val="00257288"/>
    <w:rsid w:val="00261FB6"/>
    <w:rsid w:val="002629F8"/>
    <w:rsid w:val="00263396"/>
    <w:rsid w:val="002659FA"/>
    <w:rsid w:val="00267815"/>
    <w:rsid w:val="002721BA"/>
    <w:rsid w:val="00277DDD"/>
    <w:rsid w:val="00280DDF"/>
    <w:rsid w:val="00281256"/>
    <w:rsid w:val="00281B89"/>
    <w:rsid w:val="00283FEB"/>
    <w:rsid w:val="002917FF"/>
    <w:rsid w:val="00292ADF"/>
    <w:rsid w:val="002A0DEC"/>
    <w:rsid w:val="002A1954"/>
    <w:rsid w:val="002A780F"/>
    <w:rsid w:val="002B1C53"/>
    <w:rsid w:val="002D5F2E"/>
    <w:rsid w:val="002E0BE4"/>
    <w:rsid w:val="002E3B58"/>
    <w:rsid w:val="002E3E8A"/>
    <w:rsid w:val="002E6A6A"/>
    <w:rsid w:val="002F3397"/>
    <w:rsid w:val="0030380D"/>
    <w:rsid w:val="003040C8"/>
    <w:rsid w:val="003109FA"/>
    <w:rsid w:val="0031154C"/>
    <w:rsid w:val="00312411"/>
    <w:rsid w:val="00314E71"/>
    <w:rsid w:val="00323E71"/>
    <w:rsid w:val="00327B53"/>
    <w:rsid w:val="00341189"/>
    <w:rsid w:val="00345C1D"/>
    <w:rsid w:val="00346C8E"/>
    <w:rsid w:val="00347CA8"/>
    <w:rsid w:val="003526BC"/>
    <w:rsid w:val="00357A80"/>
    <w:rsid w:val="0036680C"/>
    <w:rsid w:val="00367BD5"/>
    <w:rsid w:val="0037176F"/>
    <w:rsid w:val="00372288"/>
    <w:rsid w:val="003754BB"/>
    <w:rsid w:val="00376165"/>
    <w:rsid w:val="00377E6F"/>
    <w:rsid w:val="003852B8"/>
    <w:rsid w:val="00385D43"/>
    <w:rsid w:val="0038761F"/>
    <w:rsid w:val="00390327"/>
    <w:rsid w:val="00393B78"/>
    <w:rsid w:val="003970B0"/>
    <w:rsid w:val="003A01E9"/>
    <w:rsid w:val="003B6954"/>
    <w:rsid w:val="003C0306"/>
    <w:rsid w:val="003C0B34"/>
    <w:rsid w:val="003C0DD8"/>
    <w:rsid w:val="003C114C"/>
    <w:rsid w:val="003C18C4"/>
    <w:rsid w:val="003C1EAE"/>
    <w:rsid w:val="003C268B"/>
    <w:rsid w:val="003C465D"/>
    <w:rsid w:val="003D0057"/>
    <w:rsid w:val="003D495D"/>
    <w:rsid w:val="003E098E"/>
    <w:rsid w:val="003E2F1A"/>
    <w:rsid w:val="003E2FAE"/>
    <w:rsid w:val="003E5C74"/>
    <w:rsid w:val="003E7D0E"/>
    <w:rsid w:val="003F2C1D"/>
    <w:rsid w:val="00404B0C"/>
    <w:rsid w:val="00405E9C"/>
    <w:rsid w:val="00407CF7"/>
    <w:rsid w:val="00414D40"/>
    <w:rsid w:val="00415E1A"/>
    <w:rsid w:val="00415ED6"/>
    <w:rsid w:val="00417CAF"/>
    <w:rsid w:val="00420A11"/>
    <w:rsid w:val="00422265"/>
    <w:rsid w:val="004243C2"/>
    <w:rsid w:val="00425C66"/>
    <w:rsid w:val="0042657E"/>
    <w:rsid w:val="0043514A"/>
    <w:rsid w:val="004373A7"/>
    <w:rsid w:val="00437D94"/>
    <w:rsid w:val="0044030C"/>
    <w:rsid w:val="004557F4"/>
    <w:rsid w:val="004638C7"/>
    <w:rsid w:val="0046443B"/>
    <w:rsid w:val="004648A4"/>
    <w:rsid w:val="00471380"/>
    <w:rsid w:val="004732F4"/>
    <w:rsid w:val="00476FE1"/>
    <w:rsid w:val="004855D4"/>
    <w:rsid w:val="00493A86"/>
    <w:rsid w:val="00494F0D"/>
    <w:rsid w:val="00496BFD"/>
    <w:rsid w:val="004A3DF2"/>
    <w:rsid w:val="004B0617"/>
    <w:rsid w:val="004B17F6"/>
    <w:rsid w:val="004B1A5C"/>
    <w:rsid w:val="004B4B4F"/>
    <w:rsid w:val="004C361D"/>
    <w:rsid w:val="004C4891"/>
    <w:rsid w:val="004C7CDB"/>
    <w:rsid w:val="004D2C89"/>
    <w:rsid w:val="004D51BA"/>
    <w:rsid w:val="004E3932"/>
    <w:rsid w:val="004F1E79"/>
    <w:rsid w:val="004F5F33"/>
    <w:rsid w:val="0050103A"/>
    <w:rsid w:val="00511B0F"/>
    <w:rsid w:val="00521E49"/>
    <w:rsid w:val="005251D6"/>
    <w:rsid w:val="00527169"/>
    <w:rsid w:val="0053129A"/>
    <w:rsid w:val="00536721"/>
    <w:rsid w:val="005431DA"/>
    <w:rsid w:val="00545904"/>
    <w:rsid w:val="00547B62"/>
    <w:rsid w:val="005504C2"/>
    <w:rsid w:val="00552DC1"/>
    <w:rsid w:val="0055388E"/>
    <w:rsid w:val="00561D5A"/>
    <w:rsid w:val="005754AE"/>
    <w:rsid w:val="00575A51"/>
    <w:rsid w:val="005763D7"/>
    <w:rsid w:val="00577FB5"/>
    <w:rsid w:val="005852D1"/>
    <w:rsid w:val="00587A22"/>
    <w:rsid w:val="00587E35"/>
    <w:rsid w:val="00590AC6"/>
    <w:rsid w:val="0059299D"/>
    <w:rsid w:val="00595C8C"/>
    <w:rsid w:val="00597747"/>
    <w:rsid w:val="005A269E"/>
    <w:rsid w:val="005A2C3C"/>
    <w:rsid w:val="005A4CDD"/>
    <w:rsid w:val="005B0EF8"/>
    <w:rsid w:val="005B57E4"/>
    <w:rsid w:val="005B5ABD"/>
    <w:rsid w:val="005B5DD1"/>
    <w:rsid w:val="005B7798"/>
    <w:rsid w:val="005B7FC8"/>
    <w:rsid w:val="005C140A"/>
    <w:rsid w:val="005C47A1"/>
    <w:rsid w:val="005C6763"/>
    <w:rsid w:val="005D3164"/>
    <w:rsid w:val="005E0344"/>
    <w:rsid w:val="005E0DAB"/>
    <w:rsid w:val="005E17B4"/>
    <w:rsid w:val="005E211F"/>
    <w:rsid w:val="005E440B"/>
    <w:rsid w:val="005F2C85"/>
    <w:rsid w:val="005F4509"/>
    <w:rsid w:val="005F70FF"/>
    <w:rsid w:val="00605ADB"/>
    <w:rsid w:val="00611C9F"/>
    <w:rsid w:val="00613782"/>
    <w:rsid w:val="00613DC7"/>
    <w:rsid w:val="00615EC0"/>
    <w:rsid w:val="0062032B"/>
    <w:rsid w:val="006211B2"/>
    <w:rsid w:val="00621BF6"/>
    <w:rsid w:val="006236EC"/>
    <w:rsid w:val="00627555"/>
    <w:rsid w:val="00627B76"/>
    <w:rsid w:val="00627EAF"/>
    <w:rsid w:val="006316C4"/>
    <w:rsid w:val="006322A0"/>
    <w:rsid w:val="006361FD"/>
    <w:rsid w:val="00637B24"/>
    <w:rsid w:val="0064226F"/>
    <w:rsid w:val="00653298"/>
    <w:rsid w:val="00660071"/>
    <w:rsid w:val="00663A7C"/>
    <w:rsid w:val="006661F1"/>
    <w:rsid w:val="00667DF2"/>
    <w:rsid w:val="00670968"/>
    <w:rsid w:val="00670B8D"/>
    <w:rsid w:val="00670DF1"/>
    <w:rsid w:val="00671345"/>
    <w:rsid w:val="00672103"/>
    <w:rsid w:val="00672A9B"/>
    <w:rsid w:val="00674646"/>
    <w:rsid w:val="00675884"/>
    <w:rsid w:val="006852BC"/>
    <w:rsid w:val="006966CA"/>
    <w:rsid w:val="00696D09"/>
    <w:rsid w:val="00696EE0"/>
    <w:rsid w:val="00697980"/>
    <w:rsid w:val="006A19EF"/>
    <w:rsid w:val="006A43D5"/>
    <w:rsid w:val="006A525B"/>
    <w:rsid w:val="006B2EEA"/>
    <w:rsid w:val="006B5B56"/>
    <w:rsid w:val="006C045F"/>
    <w:rsid w:val="006C192C"/>
    <w:rsid w:val="006C3489"/>
    <w:rsid w:val="006C4196"/>
    <w:rsid w:val="006C63B0"/>
    <w:rsid w:val="006C76A2"/>
    <w:rsid w:val="006C792E"/>
    <w:rsid w:val="006C7E2E"/>
    <w:rsid w:val="006D116C"/>
    <w:rsid w:val="006E12D9"/>
    <w:rsid w:val="006E200C"/>
    <w:rsid w:val="006E22C1"/>
    <w:rsid w:val="006E7C42"/>
    <w:rsid w:val="006F168A"/>
    <w:rsid w:val="006F5076"/>
    <w:rsid w:val="006F6009"/>
    <w:rsid w:val="00702CDB"/>
    <w:rsid w:val="0070321D"/>
    <w:rsid w:val="00704610"/>
    <w:rsid w:val="007068BA"/>
    <w:rsid w:val="00716AB1"/>
    <w:rsid w:val="00716B4C"/>
    <w:rsid w:val="00717316"/>
    <w:rsid w:val="00721D63"/>
    <w:rsid w:val="00732C7B"/>
    <w:rsid w:val="00734D2B"/>
    <w:rsid w:val="00737705"/>
    <w:rsid w:val="007405B2"/>
    <w:rsid w:val="007408D4"/>
    <w:rsid w:val="007420AC"/>
    <w:rsid w:val="00742617"/>
    <w:rsid w:val="00746A42"/>
    <w:rsid w:val="0075351E"/>
    <w:rsid w:val="00755738"/>
    <w:rsid w:val="00765C45"/>
    <w:rsid w:val="00775A44"/>
    <w:rsid w:val="00783AFA"/>
    <w:rsid w:val="00785427"/>
    <w:rsid w:val="0078632B"/>
    <w:rsid w:val="00790540"/>
    <w:rsid w:val="007968CA"/>
    <w:rsid w:val="007A43FF"/>
    <w:rsid w:val="007B3918"/>
    <w:rsid w:val="007B3953"/>
    <w:rsid w:val="007C09A9"/>
    <w:rsid w:val="007C0AD9"/>
    <w:rsid w:val="007C3C1D"/>
    <w:rsid w:val="007C3D70"/>
    <w:rsid w:val="007D199A"/>
    <w:rsid w:val="007D2EBE"/>
    <w:rsid w:val="007E1A31"/>
    <w:rsid w:val="007E1C07"/>
    <w:rsid w:val="007E608F"/>
    <w:rsid w:val="007F24B6"/>
    <w:rsid w:val="007F2A70"/>
    <w:rsid w:val="007F5EFE"/>
    <w:rsid w:val="007F6460"/>
    <w:rsid w:val="00803D94"/>
    <w:rsid w:val="008069E2"/>
    <w:rsid w:val="00806D68"/>
    <w:rsid w:val="00812B5E"/>
    <w:rsid w:val="0082025F"/>
    <w:rsid w:val="008229BA"/>
    <w:rsid w:val="00825EB2"/>
    <w:rsid w:val="008448BA"/>
    <w:rsid w:val="00845390"/>
    <w:rsid w:val="0084601B"/>
    <w:rsid w:val="00855688"/>
    <w:rsid w:val="008558BF"/>
    <w:rsid w:val="008574CC"/>
    <w:rsid w:val="008606F0"/>
    <w:rsid w:val="00862E42"/>
    <w:rsid w:val="00864394"/>
    <w:rsid w:val="00865489"/>
    <w:rsid w:val="0086553D"/>
    <w:rsid w:val="00874FEB"/>
    <w:rsid w:val="00881B6F"/>
    <w:rsid w:val="00882AA4"/>
    <w:rsid w:val="00883E22"/>
    <w:rsid w:val="00884E43"/>
    <w:rsid w:val="00887EC6"/>
    <w:rsid w:val="0089084C"/>
    <w:rsid w:val="00893409"/>
    <w:rsid w:val="00893D9F"/>
    <w:rsid w:val="008A2379"/>
    <w:rsid w:val="008A4329"/>
    <w:rsid w:val="008A523A"/>
    <w:rsid w:val="008A578E"/>
    <w:rsid w:val="008A5A87"/>
    <w:rsid w:val="008B1519"/>
    <w:rsid w:val="008B24CE"/>
    <w:rsid w:val="008B69E3"/>
    <w:rsid w:val="008B7BCC"/>
    <w:rsid w:val="008C038F"/>
    <w:rsid w:val="008C50C3"/>
    <w:rsid w:val="008C6FA5"/>
    <w:rsid w:val="008C7094"/>
    <w:rsid w:val="008D2B97"/>
    <w:rsid w:val="008D48DA"/>
    <w:rsid w:val="008D49A5"/>
    <w:rsid w:val="008D54BE"/>
    <w:rsid w:val="008D6C81"/>
    <w:rsid w:val="008E4DAB"/>
    <w:rsid w:val="008E6CF0"/>
    <w:rsid w:val="008F0D2A"/>
    <w:rsid w:val="008F1439"/>
    <w:rsid w:val="008F660E"/>
    <w:rsid w:val="008F7051"/>
    <w:rsid w:val="008F75EF"/>
    <w:rsid w:val="00900866"/>
    <w:rsid w:val="009033A9"/>
    <w:rsid w:val="00904152"/>
    <w:rsid w:val="0090581D"/>
    <w:rsid w:val="0090657A"/>
    <w:rsid w:val="0091439C"/>
    <w:rsid w:val="009168A4"/>
    <w:rsid w:val="0091797C"/>
    <w:rsid w:val="00920572"/>
    <w:rsid w:val="00920592"/>
    <w:rsid w:val="00920BF2"/>
    <w:rsid w:val="00921810"/>
    <w:rsid w:val="00926DE4"/>
    <w:rsid w:val="009349A9"/>
    <w:rsid w:val="00936C52"/>
    <w:rsid w:val="0095489B"/>
    <w:rsid w:val="009651F4"/>
    <w:rsid w:val="00965C46"/>
    <w:rsid w:val="00966FB9"/>
    <w:rsid w:val="009671CD"/>
    <w:rsid w:val="009751A9"/>
    <w:rsid w:val="00977B34"/>
    <w:rsid w:val="00980F9C"/>
    <w:rsid w:val="00981AC6"/>
    <w:rsid w:val="0098632B"/>
    <w:rsid w:val="00997852"/>
    <w:rsid w:val="00997BFB"/>
    <w:rsid w:val="009A5B91"/>
    <w:rsid w:val="009A7348"/>
    <w:rsid w:val="009B462C"/>
    <w:rsid w:val="009C15F3"/>
    <w:rsid w:val="009C1967"/>
    <w:rsid w:val="009D5B4C"/>
    <w:rsid w:val="009E07C2"/>
    <w:rsid w:val="009E0E52"/>
    <w:rsid w:val="009E3171"/>
    <w:rsid w:val="009F0FAE"/>
    <w:rsid w:val="009F2E4D"/>
    <w:rsid w:val="009F72F9"/>
    <w:rsid w:val="00A00205"/>
    <w:rsid w:val="00A00AF0"/>
    <w:rsid w:val="00A02BC4"/>
    <w:rsid w:val="00A04324"/>
    <w:rsid w:val="00A14B5A"/>
    <w:rsid w:val="00A2209A"/>
    <w:rsid w:val="00A3567F"/>
    <w:rsid w:val="00A37698"/>
    <w:rsid w:val="00A40A86"/>
    <w:rsid w:val="00A40CCD"/>
    <w:rsid w:val="00A41ED3"/>
    <w:rsid w:val="00A46D91"/>
    <w:rsid w:val="00A50ACC"/>
    <w:rsid w:val="00A56C01"/>
    <w:rsid w:val="00A61FF5"/>
    <w:rsid w:val="00A620F9"/>
    <w:rsid w:val="00A672B8"/>
    <w:rsid w:val="00A730D3"/>
    <w:rsid w:val="00A81D82"/>
    <w:rsid w:val="00A82890"/>
    <w:rsid w:val="00A84DFB"/>
    <w:rsid w:val="00A8606E"/>
    <w:rsid w:val="00A87430"/>
    <w:rsid w:val="00A93E33"/>
    <w:rsid w:val="00AA59AA"/>
    <w:rsid w:val="00AA6D10"/>
    <w:rsid w:val="00AB1B19"/>
    <w:rsid w:val="00AB4683"/>
    <w:rsid w:val="00AB6970"/>
    <w:rsid w:val="00AC1939"/>
    <w:rsid w:val="00AC4514"/>
    <w:rsid w:val="00AC7C05"/>
    <w:rsid w:val="00AD167C"/>
    <w:rsid w:val="00AD17C7"/>
    <w:rsid w:val="00AD4041"/>
    <w:rsid w:val="00AD4521"/>
    <w:rsid w:val="00AD78FC"/>
    <w:rsid w:val="00AE20F1"/>
    <w:rsid w:val="00AE302B"/>
    <w:rsid w:val="00AE4F54"/>
    <w:rsid w:val="00AF2936"/>
    <w:rsid w:val="00AF31F0"/>
    <w:rsid w:val="00B06EAF"/>
    <w:rsid w:val="00B11E55"/>
    <w:rsid w:val="00B21D0A"/>
    <w:rsid w:val="00B22DF1"/>
    <w:rsid w:val="00B259DF"/>
    <w:rsid w:val="00B44B1F"/>
    <w:rsid w:val="00B50450"/>
    <w:rsid w:val="00B54EC3"/>
    <w:rsid w:val="00B62069"/>
    <w:rsid w:val="00B63DFA"/>
    <w:rsid w:val="00B64141"/>
    <w:rsid w:val="00B64E72"/>
    <w:rsid w:val="00B719B0"/>
    <w:rsid w:val="00B73194"/>
    <w:rsid w:val="00B77913"/>
    <w:rsid w:val="00B824FB"/>
    <w:rsid w:val="00B82646"/>
    <w:rsid w:val="00B92E1A"/>
    <w:rsid w:val="00B97359"/>
    <w:rsid w:val="00B97A8F"/>
    <w:rsid w:val="00BA0E60"/>
    <w:rsid w:val="00BA139E"/>
    <w:rsid w:val="00BA4E58"/>
    <w:rsid w:val="00BA7074"/>
    <w:rsid w:val="00BB2989"/>
    <w:rsid w:val="00BB5EBA"/>
    <w:rsid w:val="00BB6C63"/>
    <w:rsid w:val="00BB7829"/>
    <w:rsid w:val="00BC04D4"/>
    <w:rsid w:val="00BD0FBD"/>
    <w:rsid w:val="00BD1457"/>
    <w:rsid w:val="00BD3825"/>
    <w:rsid w:val="00BE2AD9"/>
    <w:rsid w:val="00BE361F"/>
    <w:rsid w:val="00BF27FE"/>
    <w:rsid w:val="00BF4526"/>
    <w:rsid w:val="00C013E6"/>
    <w:rsid w:val="00C043B3"/>
    <w:rsid w:val="00C04D33"/>
    <w:rsid w:val="00C079AB"/>
    <w:rsid w:val="00C10E61"/>
    <w:rsid w:val="00C11DA5"/>
    <w:rsid w:val="00C14787"/>
    <w:rsid w:val="00C15231"/>
    <w:rsid w:val="00C1596D"/>
    <w:rsid w:val="00C15B8D"/>
    <w:rsid w:val="00C17010"/>
    <w:rsid w:val="00C20562"/>
    <w:rsid w:val="00C21414"/>
    <w:rsid w:val="00C215C3"/>
    <w:rsid w:val="00C219C1"/>
    <w:rsid w:val="00C23A96"/>
    <w:rsid w:val="00C249C6"/>
    <w:rsid w:val="00C32CC1"/>
    <w:rsid w:val="00C35166"/>
    <w:rsid w:val="00C35D86"/>
    <w:rsid w:val="00C426EC"/>
    <w:rsid w:val="00C53B86"/>
    <w:rsid w:val="00C54474"/>
    <w:rsid w:val="00C55C42"/>
    <w:rsid w:val="00C6483C"/>
    <w:rsid w:val="00C64AE9"/>
    <w:rsid w:val="00C66C1C"/>
    <w:rsid w:val="00C70CFF"/>
    <w:rsid w:val="00C718FE"/>
    <w:rsid w:val="00C8372B"/>
    <w:rsid w:val="00C8773D"/>
    <w:rsid w:val="00C87ABB"/>
    <w:rsid w:val="00C91831"/>
    <w:rsid w:val="00C92F5A"/>
    <w:rsid w:val="00C953DF"/>
    <w:rsid w:val="00CA2905"/>
    <w:rsid w:val="00CA7B44"/>
    <w:rsid w:val="00CB2615"/>
    <w:rsid w:val="00CC66C6"/>
    <w:rsid w:val="00CD17FB"/>
    <w:rsid w:val="00CD3A05"/>
    <w:rsid w:val="00CD48E3"/>
    <w:rsid w:val="00CE1DB2"/>
    <w:rsid w:val="00CE2709"/>
    <w:rsid w:val="00CE2D64"/>
    <w:rsid w:val="00CE6198"/>
    <w:rsid w:val="00CF6230"/>
    <w:rsid w:val="00D00100"/>
    <w:rsid w:val="00D017FC"/>
    <w:rsid w:val="00D0226A"/>
    <w:rsid w:val="00D07CA1"/>
    <w:rsid w:val="00D11028"/>
    <w:rsid w:val="00D1256B"/>
    <w:rsid w:val="00D13147"/>
    <w:rsid w:val="00D34D39"/>
    <w:rsid w:val="00D353BC"/>
    <w:rsid w:val="00D5715A"/>
    <w:rsid w:val="00D714EA"/>
    <w:rsid w:val="00D71687"/>
    <w:rsid w:val="00D71A4D"/>
    <w:rsid w:val="00D74813"/>
    <w:rsid w:val="00DA1815"/>
    <w:rsid w:val="00DA2A9A"/>
    <w:rsid w:val="00DA30BC"/>
    <w:rsid w:val="00DA69C2"/>
    <w:rsid w:val="00DA6D70"/>
    <w:rsid w:val="00DB6050"/>
    <w:rsid w:val="00DC117A"/>
    <w:rsid w:val="00DC2C34"/>
    <w:rsid w:val="00DC4909"/>
    <w:rsid w:val="00DD4137"/>
    <w:rsid w:val="00DE0C05"/>
    <w:rsid w:val="00DE2C87"/>
    <w:rsid w:val="00DE459A"/>
    <w:rsid w:val="00DF05A8"/>
    <w:rsid w:val="00DF27DA"/>
    <w:rsid w:val="00DF4DBE"/>
    <w:rsid w:val="00DF5E71"/>
    <w:rsid w:val="00E00D82"/>
    <w:rsid w:val="00E01077"/>
    <w:rsid w:val="00E0415E"/>
    <w:rsid w:val="00E10F34"/>
    <w:rsid w:val="00E14B51"/>
    <w:rsid w:val="00E204FA"/>
    <w:rsid w:val="00E20B32"/>
    <w:rsid w:val="00E221DC"/>
    <w:rsid w:val="00E269B5"/>
    <w:rsid w:val="00E30CCB"/>
    <w:rsid w:val="00E34607"/>
    <w:rsid w:val="00E40820"/>
    <w:rsid w:val="00E4127C"/>
    <w:rsid w:val="00E448FF"/>
    <w:rsid w:val="00E4658F"/>
    <w:rsid w:val="00E54A67"/>
    <w:rsid w:val="00E57DB9"/>
    <w:rsid w:val="00E61C0D"/>
    <w:rsid w:val="00E63EB4"/>
    <w:rsid w:val="00E641C1"/>
    <w:rsid w:val="00E64912"/>
    <w:rsid w:val="00E66160"/>
    <w:rsid w:val="00E67022"/>
    <w:rsid w:val="00E71329"/>
    <w:rsid w:val="00E809C1"/>
    <w:rsid w:val="00E830D7"/>
    <w:rsid w:val="00E8363B"/>
    <w:rsid w:val="00E84966"/>
    <w:rsid w:val="00E90780"/>
    <w:rsid w:val="00E92383"/>
    <w:rsid w:val="00E9489D"/>
    <w:rsid w:val="00EA1605"/>
    <w:rsid w:val="00EA1B3A"/>
    <w:rsid w:val="00EA2109"/>
    <w:rsid w:val="00EB6CDE"/>
    <w:rsid w:val="00EC31B4"/>
    <w:rsid w:val="00ED03B2"/>
    <w:rsid w:val="00ED4D4E"/>
    <w:rsid w:val="00ED7E77"/>
    <w:rsid w:val="00ED7EF1"/>
    <w:rsid w:val="00EE0C77"/>
    <w:rsid w:val="00EE123C"/>
    <w:rsid w:val="00EE4E54"/>
    <w:rsid w:val="00EE63DB"/>
    <w:rsid w:val="00EE76B1"/>
    <w:rsid w:val="00EF5961"/>
    <w:rsid w:val="00F04E22"/>
    <w:rsid w:val="00F22EBE"/>
    <w:rsid w:val="00F245C7"/>
    <w:rsid w:val="00F3284E"/>
    <w:rsid w:val="00F36C5F"/>
    <w:rsid w:val="00F37740"/>
    <w:rsid w:val="00F41FEC"/>
    <w:rsid w:val="00F436BB"/>
    <w:rsid w:val="00F44BEF"/>
    <w:rsid w:val="00F47145"/>
    <w:rsid w:val="00F51242"/>
    <w:rsid w:val="00F545BF"/>
    <w:rsid w:val="00F56152"/>
    <w:rsid w:val="00F5751C"/>
    <w:rsid w:val="00F61B86"/>
    <w:rsid w:val="00F63AA5"/>
    <w:rsid w:val="00F71B56"/>
    <w:rsid w:val="00F7687C"/>
    <w:rsid w:val="00F832C8"/>
    <w:rsid w:val="00F873B3"/>
    <w:rsid w:val="00FA0A63"/>
    <w:rsid w:val="00FA42B9"/>
    <w:rsid w:val="00FA755A"/>
    <w:rsid w:val="00FB2B0F"/>
    <w:rsid w:val="00FB3F53"/>
    <w:rsid w:val="00FB4F6B"/>
    <w:rsid w:val="00FB5FE1"/>
    <w:rsid w:val="00FC0E8D"/>
    <w:rsid w:val="00FC46EF"/>
    <w:rsid w:val="00FD31B3"/>
    <w:rsid w:val="00FD418B"/>
    <w:rsid w:val="00FD4204"/>
    <w:rsid w:val="00FD6DB6"/>
    <w:rsid w:val="00FE6EE6"/>
    <w:rsid w:val="00FF2C97"/>
    <w:rsid w:val="00FF3CCB"/>
    <w:rsid w:val="00FF4421"/>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D71A4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5754">
      <w:bodyDiv w:val="1"/>
      <w:marLeft w:val="0"/>
      <w:marRight w:val="0"/>
      <w:marTop w:val="0"/>
      <w:marBottom w:val="0"/>
      <w:divBdr>
        <w:top w:val="none" w:sz="0" w:space="0" w:color="auto"/>
        <w:left w:val="none" w:sz="0" w:space="0" w:color="auto"/>
        <w:bottom w:val="none" w:sz="0" w:space="0" w:color="auto"/>
        <w:right w:val="none" w:sz="0" w:space="0" w:color="auto"/>
      </w:divBdr>
    </w:div>
    <w:div w:id="4983922">
      <w:bodyDiv w:val="1"/>
      <w:marLeft w:val="0"/>
      <w:marRight w:val="0"/>
      <w:marTop w:val="0"/>
      <w:marBottom w:val="0"/>
      <w:divBdr>
        <w:top w:val="none" w:sz="0" w:space="0" w:color="auto"/>
        <w:left w:val="none" w:sz="0" w:space="0" w:color="auto"/>
        <w:bottom w:val="none" w:sz="0" w:space="0" w:color="auto"/>
        <w:right w:val="none" w:sz="0" w:space="0" w:color="auto"/>
      </w:divBdr>
    </w:div>
    <w:div w:id="8069036">
      <w:bodyDiv w:val="1"/>
      <w:marLeft w:val="0"/>
      <w:marRight w:val="0"/>
      <w:marTop w:val="0"/>
      <w:marBottom w:val="0"/>
      <w:divBdr>
        <w:top w:val="none" w:sz="0" w:space="0" w:color="auto"/>
        <w:left w:val="none" w:sz="0" w:space="0" w:color="auto"/>
        <w:bottom w:val="none" w:sz="0" w:space="0" w:color="auto"/>
        <w:right w:val="none" w:sz="0" w:space="0" w:color="auto"/>
      </w:divBdr>
    </w:div>
    <w:div w:id="14120822">
      <w:bodyDiv w:val="1"/>
      <w:marLeft w:val="0"/>
      <w:marRight w:val="0"/>
      <w:marTop w:val="0"/>
      <w:marBottom w:val="0"/>
      <w:divBdr>
        <w:top w:val="none" w:sz="0" w:space="0" w:color="auto"/>
        <w:left w:val="none" w:sz="0" w:space="0" w:color="auto"/>
        <w:bottom w:val="none" w:sz="0" w:space="0" w:color="auto"/>
        <w:right w:val="none" w:sz="0" w:space="0" w:color="auto"/>
      </w:divBdr>
    </w:div>
    <w:div w:id="15814346">
      <w:bodyDiv w:val="1"/>
      <w:marLeft w:val="0"/>
      <w:marRight w:val="0"/>
      <w:marTop w:val="0"/>
      <w:marBottom w:val="0"/>
      <w:divBdr>
        <w:top w:val="none" w:sz="0" w:space="0" w:color="auto"/>
        <w:left w:val="none" w:sz="0" w:space="0" w:color="auto"/>
        <w:bottom w:val="none" w:sz="0" w:space="0" w:color="auto"/>
        <w:right w:val="none" w:sz="0" w:space="0" w:color="auto"/>
      </w:divBdr>
    </w:div>
    <w:div w:id="18556104">
      <w:bodyDiv w:val="1"/>
      <w:marLeft w:val="0"/>
      <w:marRight w:val="0"/>
      <w:marTop w:val="0"/>
      <w:marBottom w:val="0"/>
      <w:divBdr>
        <w:top w:val="none" w:sz="0" w:space="0" w:color="auto"/>
        <w:left w:val="none" w:sz="0" w:space="0" w:color="auto"/>
        <w:bottom w:val="none" w:sz="0" w:space="0" w:color="auto"/>
        <w:right w:val="none" w:sz="0" w:space="0" w:color="auto"/>
      </w:divBdr>
    </w:div>
    <w:div w:id="19358901">
      <w:bodyDiv w:val="1"/>
      <w:marLeft w:val="0"/>
      <w:marRight w:val="0"/>
      <w:marTop w:val="0"/>
      <w:marBottom w:val="0"/>
      <w:divBdr>
        <w:top w:val="none" w:sz="0" w:space="0" w:color="auto"/>
        <w:left w:val="none" w:sz="0" w:space="0" w:color="auto"/>
        <w:bottom w:val="none" w:sz="0" w:space="0" w:color="auto"/>
        <w:right w:val="none" w:sz="0" w:space="0" w:color="auto"/>
      </w:divBdr>
    </w:div>
    <w:div w:id="21824955">
      <w:bodyDiv w:val="1"/>
      <w:marLeft w:val="0"/>
      <w:marRight w:val="0"/>
      <w:marTop w:val="0"/>
      <w:marBottom w:val="0"/>
      <w:divBdr>
        <w:top w:val="none" w:sz="0" w:space="0" w:color="auto"/>
        <w:left w:val="none" w:sz="0" w:space="0" w:color="auto"/>
        <w:bottom w:val="none" w:sz="0" w:space="0" w:color="auto"/>
        <w:right w:val="none" w:sz="0" w:space="0" w:color="auto"/>
      </w:divBdr>
    </w:div>
    <w:div w:id="25520691">
      <w:bodyDiv w:val="1"/>
      <w:marLeft w:val="0"/>
      <w:marRight w:val="0"/>
      <w:marTop w:val="0"/>
      <w:marBottom w:val="0"/>
      <w:divBdr>
        <w:top w:val="none" w:sz="0" w:space="0" w:color="auto"/>
        <w:left w:val="none" w:sz="0" w:space="0" w:color="auto"/>
        <w:bottom w:val="none" w:sz="0" w:space="0" w:color="auto"/>
        <w:right w:val="none" w:sz="0" w:space="0" w:color="auto"/>
      </w:divBdr>
    </w:div>
    <w:div w:id="26294793">
      <w:bodyDiv w:val="1"/>
      <w:marLeft w:val="0"/>
      <w:marRight w:val="0"/>
      <w:marTop w:val="0"/>
      <w:marBottom w:val="0"/>
      <w:divBdr>
        <w:top w:val="none" w:sz="0" w:space="0" w:color="auto"/>
        <w:left w:val="none" w:sz="0" w:space="0" w:color="auto"/>
        <w:bottom w:val="none" w:sz="0" w:space="0" w:color="auto"/>
        <w:right w:val="none" w:sz="0" w:space="0" w:color="auto"/>
      </w:divBdr>
    </w:div>
    <w:div w:id="27800249">
      <w:bodyDiv w:val="1"/>
      <w:marLeft w:val="0"/>
      <w:marRight w:val="0"/>
      <w:marTop w:val="0"/>
      <w:marBottom w:val="0"/>
      <w:divBdr>
        <w:top w:val="none" w:sz="0" w:space="0" w:color="auto"/>
        <w:left w:val="none" w:sz="0" w:space="0" w:color="auto"/>
        <w:bottom w:val="none" w:sz="0" w:space="0" w:color="auto"/>
        <w:right w:val="none" w:sz="0" w:space="0" w:color="auto"/>
      </w:divBdr>
    </w:div>
    <w:div w:id="28577960">
      <w:bodyDiv w:val="1"/>
      <w:marLeft w:val="0"/>
      <w:marRight w:val="0"/>
      <w:marTop w:val="0"/>
      <w:marBottom w:val="0"/>
      <w:divBdr>
        <w:top w:val="none" w:sz="0" w:space="0" w:color="auto"/>
        <w:left w:val="none" w:sz="0" w:space="0" w:color="auto"/>
        <w:bottom w:val="none" w:sz="0" w:space="0" w:color="auto"/>
        <w:right w:val="none" w:sz="0" w:space="0" w:color="auto"/>
      </w:divBdr>
    </w:div>
    <w:div w:id="31736823">
      <w:bodyDiv w:val="1"/>
      <w:marLeft w:val="0"/>
      <w:marRight w:val="0"/>
      <w:marTop w:val="0"/>
      <w:marBottom w:val="0"/>
      <w:divBdr>
        <w:top w:val="none" w:sz="0" w:space="0" w:color="auto"/>
        <w:left w:val="none" w:sz="0" w:space="0" w:color="auto"/>
        <w:bottom w:val="none" w:sz="0" w:space="0" w:color="auto"/>
        <w:right w:val="none" w:sz="0" w:space="0" w:color="auto"/>
      </w:divBdr>
    </w:div>
    <w:div w:id="33622794">
      <w:bodyDiv w:val="1"/>
      <w:marLeft w:val="0"/>
      <w:marRight w:val="0"/>
      <w:marTop w:val="0"/>
      <w:marBottom w:val="0"/>
      <w:divBdr>
        <w:top w:val="none" w:sz="0" w:space="0" w:color="auto"/>
        <w:left w:val="none" w:sz="0" w:space="0" w:color="auto"/>
        <w:bottom w:val="none" w:sz="0" w:space="0" w:color="auto"/>
        <w:right w:val="none" w:sz="0" w:space="0" w:color="auto"/>
      </w:divBdr>
    </w:div>
    <w:div w:id="34039119">
      <w:bodyDiv w:val="1"/>
      <w:marLeft w:val="0"/>
      <w:marRight w:val="0"/>
      <w:marTop w:val="0"/>
      <w:marBottom w:val="0"/>
      <w:divBdr>
        <w:top w:val="none" w:sz="0" w:space="0" w:color="auto"/>
        <w:left w:val="none" w:sz="0" w:space="0" w:color="auto"/>
        <w:bottom w:val="none" w:sz="0" w:space="0" w:color="auto"/>
        <w:right w:val="none" w:sz="0" w:space="0" w:color="auto"/>
      </w:divBdr>
    </w:div>
    <w:div w:id="36011717">
      <w:bodyDiv w:val="1"/>
      <w:marLeft w:val="0"/>
      <w:marRight w:val="0"/>
      <w:marTop w:val="0"/>
      <w:marBottom w:val="0"/>
      <w:divBdr>
        <w:top w:val="none" w:sz="0" w:space="0" w:color="auto"/>
        <w:left w:val="none" w:sz="0" w:space="0" w:color="auto"/>
        <w:bottom w:val="none" w:sz="0" w:space="0" w:color="auto"/>
        <w:right w:val="none" w:sz="0" w:space="0" w:color="auto"/>
      </w:divBdr>
    </w:div>
    <w:div w:id="36125910">
      <w:bodyDiv w:val="1"/>
      <w:marLeft w:val="0"/>
      <w:marRight w:val="0"/>
      <w:marTop w:val="0"/>
      <w:marBottom w:val="0"/>
      <w:divBdr>
        <w:top w:val="none" w:sz="0" w:space="0" w:color="auto"/>
        <w:left w:val="none" w:sz="0" w:space="0" w:color="auto"/>
        <w:bottom w:val="none" w:sz="0" w:space="0" w:color="auto"/>
        <w:right w:val="none" w:sz="0" w:space="0" w:color="auto"/>
      </w:divBdr>
    </w:div>
    <w:div w:id="39256068">
      <w:bodyDiv w:val="1"/>
      <w:marLeft w:val="0"/>
      <w:marRight w:val="0"/>
      <w:marTop w:val="0"/>
      <w:marBottom w:val="0"/>
      <w:divBdr>
        <w:top w:val="none" w:sz="0" w:space="0" w:color="auto"/>
        <w:left w:val="none" w:sz="0" w:space="0" w:color="auto"/>
        <w:bottom w:val="none" w:sz="0" w:space="0" w:color="auto"/>
        <w:right w:val="none" w:sz="0" w:space="0" w:color="auto"/>
      </w:divBdr>
    </w:div>
    <w:div w:id="44528110">
      <w:bodyDiv w:val="1"/>
      <w:marLeft w:val="0"/>
      <w:marRight w:val="0"/>
      <w:marTop w:val="0"/>
      <w:marBottom w:val="0"/>
      <w:divBdr>
        <w:top w:val="none" w:sz="0" w:space="0" w:color="auto"/>
        <w:left w:val="none" w:sz="0" w:space="0" w:color="auto"/>
        <w:bottom w:val="none" w:sz="0" w:space="0" w:color="auto"/>
        <w:right w:val="none" w:sz="0" w:space="0" w:color="auto"/>
      </w:divBdr>
    </w:div>
    <w:div w:id="49960709">
      <w:bodyDiv w:val="1"/>
      <w:marLeft w:val="0"/>
      <w:marRight w:val="0"/>
      <w:marTop w:val="0"/>
      <w:marBottom w:val="0"/>
      <w:divBdr>
        <w:top w:val="none" w:sz="0" w:space="0" w:color="auto"/>
        <w:left w:val="none" w:sz="0" w:space="0" w:color="auto"/>
        <w:bottom w:val="none" w:sz="0" w:space="0" w:color="auto"/>
        <w:right w:val="none" w:sz="0" w:space="0" w:color="auto"/>
      </w:divBdr>
    </w:div>
    <w:div w:id="59599333">
      <w:bodyDiv w:val="1"/>
      <w:marLeft w:val="0"/>
      <w:marRight w:val="0"/>
      <w:marTop w:val="0"/>
      <w:marBottom w:val="0"/>
      <w:divBdr>
        <w:top w:val="none" w:sz="0" w:space="0" w:color="auto"/>
        <w:left w:val="none" w:sz="0" w:space="0" w:color="auto"/>
        <w:bottom w:val="none" w:sz="0" w:space="0" w:color="auto"/>
        <w:right w:val="none" w:sz="0" w:space="0" w:color="auto"/>
      </w:divBdr>
    </w:div>
    <w:div w:id="61174070">
      <w:bodyDiv w:val="1"/>
      <w:marLeft w:val="0"/>
      <w:marRight w:val="0"/>
      <w:marTop w:val="0"/>
      <w:marBottom w:val="0"/>
      <w:divBdr>
        <w:top w:val="none" w:sz="0" w:space="0" w:color="auto"/>
        <w:left w:val="none" w:sz="0" w:space="0" w:color="auto"/>
        <w:bottom w:val="none" w:sz="0" w:space="0" w:color="auto"/>
        <w:right w:val="none" w:sz="0" w:space="0" w:color="auto"/>
      </w:divBdr>
    </w:div>
    <w:div w:id="62487866">
      <w:bodyDiv w:val="1"/>
      <w:marLeft w:val="0"/>
      <w:marRight w:val="0"/>
      <w:marTop w:val="0"/>
      <w:marBottom w:val="0"/>
      <w:divBdr>
        <w:top w:val="none" w:sz="0" w:space="0" w:color="auto"/>
        <w:left w:val="none" w:sz="0" w:space="0" w:color="auto"/>
        <w:bottom w:val="none" w:sz="0" w:space="0" w:color="auto"/>
        <w:right w:val="none" w:sz="0" w:space="0" w:color="auto"/>
      </w:divBdr>
    </w:div>
    <w:div w:id="62610171">
      <w:bodyDiv w:val="1"/>
      <w:marLeft w:val="0"/>
      <w:marRight w:val="0"/>
      <w:marTop w:val="0"/>
      <w:marBottom w:val="0"/>
      <w:divBdr>
        <w:top w:val="none" w:sz="0" w:space="0" w:color="auto"/>
        <w:left w:val="none" w:sz="0" w:space="0" w:color="auto"/>
        <w:bottom w:val="none" w:sz="0" w:space="0" w:color="auto"/>
        <w:right w:val="none" w:sz="0" w:space="0" w:color="auto"/>
      </w:divBdr>
    </w:div>
    <w:div w:id="63141053">
      <w:bodyDiv w:val="1"/>
      <w:marLeft w:val="0"/>
      <w:marRight w:val="0"/>
      <w:marTop w:val="0"/>
      <w:marBottom w:val="0"/>
      <w:divBdr>
        <w:top w:val="none" w:sz="0" w:space="0" w:color="auto"/>
        <w:left w:val="none" w:sz="0" w:space="0" w:color="auto"/>
        <w:bottom w:val="none" w:sz="0" w:space="0" w:color="auto"/>
        <w:right w:val="none" w:sz="0" w:space="0" w:color="auto"/>
      </w:divBdr>
    </w:div>
    <w:div w:id="63721209">
      <w:bodyDiv w:val="1"/>
      <w:marLeft w:val="0"/>
      <w:marRight w:val="0"/>
      <w:marTop w:val="0"/>
      <w:marBottom w:val="0"/>
      <w:divBdr>
        <w:top w:val="none" w:sz="0" w:space="0" w:color="auto"/>
        <w:left w:val="none" w:sz="0" w:space="0" w:color="auto"/>
        <w:bottom w:val="none" w:sz="0" w:space="0" w:color="auto"/>
        <w:right w:val="none" w:sz="0" w:space="0" w:color="auto"/>
      </w:divBdr>
    </w:div>
    <w:div w:id="65688017">
      <w:bodyDiv w:val="1"/>
      <w:marLeft w:val="0"/>
      <w:marRight w:val="0"/>
      <w:marTop w:val="0"/>
      <w:marBottom w:val="0"/>
      <w:divBdr>
        <w:top w:val="none" w:sz="0" w:space="0" w:color="auto"/>
        <w:left w:val="none" w:sz="0" w:space="0" w:color="auto"/>
        <w:bottom w:val="none" w:sz="0" w:space="0" w:color="auto"/>
        <w:right w:val="none" w:sz="0" w:space="0" w:color="auto"/>
      </w:divBdr>
    </w:div>
    <w:div w:id="69621168">
      <w:bodyDiv w:val="1"/>
      <w:marLeft w:val="0"/>
      <w:marRight w:val="0"/>
      <w:marTop w:val="0"/>
      <w:marBottom w:val="0"/>
      <w:divBdr>
        <w:top w:val="none" w:sz="0" w:space="0" w:color="auto"/>
        <w:left w:val="none" w:sz="0" w:space="0" w:color="auto"/>
        <w:bottom w:val="none" w:sz="0" w:space="0" w:color="auto"/>
        <w:right w:val="none" w:sz="0" w:space="0" w:color="auto"/>
      </w:divBdr>
    </w:div>
    <w:div w:id="76443852">
      <w:bodyDiv w:val="1"/>
      <w:marLeft w:val="0"/>
      <w:marRight w:val="0"/>
      <w:marTop w:val="0"/>
      <w:marBottom w:val="0"/>
      <w:divBdr>
        <w:top w:val="none" w:sz="0" w:space="0" w:color="auto"/>
        <w:left w:val="none" w:sz="0" w:space="0" w:color="auto"/>
        <w:bottom w:val="none" w:sz="0" w:space="0" w:color="auto"/>
        <w:right w:val="none" w:sz="0" w:space="0" w:color="auto"/>
      </w:divBdr>
    </w:div>
    <w:div w:id="77602593">
      <w:bodyDiv w:val="1"/>
      <w:marLeft w:val="0"/>
      <w:marRight w:val="0"/>
      <w:marTop w:val="0"/>
      <w:marBottom w:val="0"/>
      <w:divBdr>
        <w:top w:val="none" w:sz="0" w:space="0" w:color="auto"/>
        <w:left w:val="none" w:sz="0" w:space="0" w:color="auto"/>
        <w:bottom w:val="none" w:sz="0" w:space="0" w:color="auto"/>
        <w:right w:val="none" w:sz="0" w:space="0" w:color="auto"/>
      </w:divBdr>
    </w:div>
    <w:div w:id="77606823">
      <w:bodyDiv w:val="1"/>
      <w:marLeft w:val="0"/>
      <w:marRight w:val="0"/>
      <w:marTop w:val="0"/>
      <w:marBottom w:val="0"/>
      <w:divBdr>
        <w:top w:val="none" w:sz="0" w:space="0" w:color="auto"/>
        <w:left w:val="none" w:sz="0" w:space="0" w:color="auto"/>
        <w:bottom w:val="none" w:sz="0" w:space="0" w:color="auto"/>
        <w:right w:val="none" w:sz="0" w:space="0" w:color="auto"/>
      </w:divBdr>
    </w:div>
    <w:div w:id="77677847">
      <w:bodyDiv w:val="1"/>
      <w:marLeft w:val="0"/>
      <w:marRight w:val="0"/>
      <w:marTop w:val="0"/>
      <w:marBottom w:val="0"/>
      <w:divBdr>
        <w:top w:val="none" w:sz="0" w:space="0" w:color="auto"/>
        <w:left w:val="none" w:sz="0" w:space="0" w:color="auto"/>
        <w:bottom w:val="none" w:sz="0" w:space="0" w:color="auto"/>
        <w:right w:val="none" w:sz="0" w:space="0" w:color="auto"/>
      </w:divBdr>
    </w:div>
    <w:div w:id="78214494">
      <w:bodyDiv w:val="1"/>
      <w:marLeft w:val="0"/>
      <w:marRight w:val="0"/>
      <w:marTop w:val="0"/>
      <w:marBottom w:val="0"/>
      <w:divBdr>
        <w:top w:val="none" w:sz="0" w:space="0" w:color="auto"/>
        <w:left w:val="none" w:sz="0" w:space="0" w:color="auto"/>
        <w:bottom w:val="none" w:sz="0" w:space="0" w:color="auto"/>
        <w:right w:val="none" w:sz="0" w:space="0" w:color="auto"/>
      </w:divBdr>
    </w:div>
    <w:div w:id="79646672">
      <w:bodyDiv w:val="1"/>
      <w:marLeft w:val="0"/>
      <w:marRight w:val="0"/>
      <w:marTop w:val="0"/>
      <w:marBottom w:val="0"/>
      <w:divBdr>
        <w:top w:val="none" w:sz="0" w:space="0" w:color="auto"/>
        <w:left w:val="none" w:sz="0" w:space="0" w:color="auto"/>
        <w:bottom w:val="none" w:sz="0" w:space="0" w:color="auto"/>
        <w:right w:val="none" w:sz="0" w:space="0" w:color="auto"/>
      </w:divBdr>
    </w:div>
    <w:div w:id="83495463">
      <w:bodyDiv w:val="1"/>
      <w:marLeft w:val="0"/>
      <w:marRight w:val="0"/>
      <w:marTop w:val="0"/>
      <w:marBottom w:val="0"/>
      <w:divBdr>
        <w:top w:val="none" w:sz="0" w:space="0" w:color="auto"/>
        <w:left w:val="none" w:sz="0" w:space="0" w:color="auto"/>
        <w:bottom w:val="none" w:sz="0" w:space="0" w:color="auto"/>
        <w:right w:val="none" w:sz="0" w:space="0" w:color="auto"/>
      </w:divBdr>
    </w:div>
    <w:div w:id="83496080">
      <w:bodyDiv w:val="1"/>
      <w:marLeft w:val="0"/>
      <w:marRight w:val="0"/>
      <w:marTop w:val="0"/>
      <w:marBottom w:val="0"/>
      <w:divBdr>
        <w:top w:val="none" w:sz="0" w:space="0" w:color="auto"/>
        <w:left w:val="none" w:sz="0" w:space="0" w:color="auto"/>
        <w:bottom w:val="none" w:sz="0" w:space="0" w:color="auto"/>
        <w:right w:val="none" w:sz="0" w:space="0" w:color="auto"/>
      </w:divBdr>
    </w:div>
    <w:div w:id="84038156">
      <w:bodyDiv w:val="1"/>
      <w:marLeft w:val="0"/>
      <w:marRight w:val="0"/>
      <w:marTop w:val="0"/>
      <w:marBottom w:val="0"/>
      <w:divBdr>
        <w:top w:val="none" w:sz="0" w:space="0" w:color="auto"/>
        <w:left w:val="none" w:sz="0" w:space="0" w:color="auto"/>
        <w:bottom w:val="none" w:sz="0" w:space="0" w:color="auto"/>
        <w:right w:val="none" w:sz="0" w:space="0" w:color="auto"/>
      </w:divBdr>
    </w:div>
    <w:div w:id="86966321">
      <w:bodyDiv w:val="1"/>
      <w:marLeft w:val="0"/>
      <w:marRight w:val="0"/>
      <w:marTop w:val="0"/>
      <w:marBottom w:val="0"/>
      <w:divBdr>
        <w:top w:val="none" w:sz="0" w:space="0" w:color="auto"/>
        <w:left w:val="none" w:sz="0" w:space="0" w:color="auto"/>
        <w:bottom w:val="none" w:sz="0" w:space="0" w:color="auto"/>
        <w:right w:val="none" w:sz="0" w:space="0" w:color="auto"/>
      </w:divBdr>
    </w:div>
    <w:div w:id="907790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786349">
      <w:bodyDiv w:val="1"/>
      <w:marLeft w:val="0"/>
      <w:marRight w:val="0"/>
      <w:marTop w:val="0"/>
      <w:marBottom w:val="0"/>
      <w:divBdr>
        <w:top w:val="none" w:sz="0" w:space="0" w:color="auto"/>
        <w:left w:val="none" w:sz="0" w:space="0" w:color="auto"/>
        <w:bottom w:val="none" w:sz="0" w:space="0" w:color="auto"/>
        <w:right w:val="none" w:sz="0" w:space="0" w:color="auto"/>
      </w:divBdr>
    </w:div>
    <w:div w:id="93938923">
      <w:bodyDiv w:val="1"/>
      <w:marLeft w:val="0"/>
      <w:marRight w:val="0"/>
      <w:marTop w:val="0"/>
      <w:marBottom w:val="0"/>
      <w:divBdr>
        <w:top w:val="none" w:sz="0" w:space="0" w:color="auto"/>
        <w:left w:val="none" w:sz="0" w:space="0" w:color="auto"/>
        <w:bottom w:val="none" w:sz="0" w:space="0" w:color="auto"/>
        <w:right w:val="none" w:sz="0" w:space="0" w:color="auto"/>
      </w:divBdr>
    </w:div>
    <w:div w:id="94717477">
      <w:bodyDiv w:val="1"/>
      <w:marLeft w:val="0"/>
      <w:marRight w:val="0"/>
      <w:marTop w:val="0"/>
      <w:marBottom w:val="0"/>
      <w:divBdr>
        <w:top w:val="none" w:sz="0" w:space="0" w:color="auto"/>
        <w:left w:val="none" w:sz="0" w:space="0" w:color="auto"/>
        <w:bottom w:val="none" w:sz="0" w:space="0" w:color="auto"/>
        <w:right w:val="none" w:sz="0" w:space="0" w:color="auto"/>
      </w:divBdr>
    </w:div>
    <w:div w:id="95709916">
      <w:bodyDiv w:val="1"/>
      <w:marLeft w:val="0"/>
      <w:marRight w:val="0"/>
      <w:marTop w:val="0"/>
      <w:marBottom w:val="0"/>
      <w:divBdr>
        <w:top w:val="none" w:sz="0" w:space="0" w:color="auto"/>
        <w:left w:val="none" w:sz="0" w:space="0" w:color="auto"/>
        <w:bottom w:val="none" w:sz="0" w:space="0" w:color="auto"/>
        <w:right w:val="none" w:sz="0" w:space="0" w:color="auto"/>
      </w:divBdr>
    </w:div>
    <w:div w:id="96338258">
      <w:bodyDiv w:val="1"/>
      <w:marLeft w:val="0"/>
      <w:marRight w:val="0"/>
      <w:marTop w:val="0"/>
      <w:marBottom w:val="0"/>
      <w:divBdr>
        <w:top w:val="none" w:sz="0" w:space="0" w:color="auto"/>
        <w:left w:val="none" w:sz="0" w:space="0" w:color="auto"/>
        <w:bottom w:val="none" w:sz="0" w:space="0" w:color="auto"/>
        <w:right w:val="none" w:sz="0" w:space="0" w:color="auto"/>
      </w:divBdr>
    </w:div>
    <w:div w:id="96946428">
      <w:bodyDiv w:val="1"/>
      <w:marLeft w:val="0"/>
      <w:marRight w:val="0"/>
      <w:marTop w:val="0"/>
      <w:marBottom w:val="0"/>
      <w:divBdr>
        <w:top w:val="none" w:sz="0" w:space="0" w:color="auto"/>
        <w:left w:val="none" w:sz="0" w:space="0" w:color="auto"/>
        <w:bottom w:val="none" w:sz="0" w:space="0" w:color="auto"/>
        <w:right w:val="none" w:sz="0" w:space="0" w:color="auto"/>
      </w:divBdr>
    </w:div>
    <w:div w:id="96951389">
      <w:bodyDiv w:val="1"/>
      <w:marLeft w:val="0"/>
      <w:marRight w:val="0"/>
      <w:marTop w:val="0"/>
      <w:marBottom w:val="0"/>
      <w:divBdr>
        <w:top w:val="none" w:sz="0" w:space="0" w:color="auto"/>
        <w:left w:val="none" w:sz="0" w:space="0" w:color="auto"/>
        <w:bottom w:val="none" w:sz="0" w:space="0" w:color="auto"/>
        <w:right w:val="none" w:sz="0" w:space="0" w:color="auto"/>
      </w:divBdr>
    </w:div>
    <w:div w:id="97607600">
      <w:bodyDiv w:val="1"/>
      <w:marLeft w:val="0"/>
      <w:marRight w:val="0"/>
      <w:marTop w:val="0"/>
      <w:marBottom w:val="0"/>
      <w:divBdr>
        <w:top w:val="none" w:sz="0" w:space="0" w:color="auto"/>
        <w:left w:val="none" w:sz="0" w:space="0" w:color="auto"/>
        <w:bottom w:val="none" w:sz="0" w:space="0" w:color="auto"/>
        <w:right w:val="none" w:sz="0" w:space="0" w:color="auto"/>
      </w:divBdr>
    </w:div>
    <w:div w:id="98762947">
      <w:bodyDiv w:val="1"/>
      <w:marLeft w:val="0"/>
      <w:marRight w:val="0"/>
      <w:marTop w:val="0"/>
      <w:marBottom w:val="0"/>
      <w:divBdr>
        <w:top w:val="none" w:sz="0" w:space="0" w:color="auto"/>
        <w:left w:val="none" w:sz="0" w:space="0" w:color="auto"/>
        <w:bottom w:val="none" w:sz="0" w:space="0" w:color="auto"/>
        <w:right w:val="none" w:sz="0" w:space="0" w:color="auto"/>
      </w:divBdr>
    </w:div>
    <w:div w:id="99381162">
      <w:bodyDiv w:val="1"/>
      <w:marLeft w:val="0"/>
      <w:marRight w:val="0"/>
      <w:marTop w:val="0"/>
      <w:marBottom w:val="0"/>
      <w:divBdr>
        <w:top w:val="none" w:sz="0" w:space="0" w:color="auto"/>
        <w:left w:val="none" w:sz="0" w:space="0" w:color="auto"/>
        <w:bottom w:val="none" w:sz="0" w:space="0" w:color="auto"/>
        <w:right w:val="none" w:sz="0" w:space="0" w:color="auto"/>
      </w:divBdr>
    </w:div>
    <w:div w:id="103965111">
      <w:bodyDiv w:val="1"/>
      <w:marLeft w:val="0"/>
      <w:marRight w:val="0"/>
      <w:marTop w:val="0"/>
      <w:marBottom w:val="0"/>
      <w:divBdr>
        <w:top w:val="none" w:sz="0" w:space="0" w:color="auto"/>
        <w:left w:val="none" w:sz="0" w:space="0" w:color="auto"/>
        <w:bottom w:val="none" w:sz="0" w:space="0" w:color="auto"/>
        <w:right w:val="none" w:sz="0" w:space="0" w:color="auto"/>
      </w:divBdr>
    </w:div>
    <w:div w:id="107161332">
      <w:bodyDiv w:val="1"/>
      <w:marLeft w:val="0"/>
      <w:marRight w:val="0"/>
      <w:marTop w:val="0"/>
      <w:marBottom w:val="0"/>
      <w:divBdr>
        <w:top w:val="none" w:sz="0" w:space="0" w:color="auto"/>
        <w:left w:val="none" w:sz="0" w:space="0" w:color="auto"/>
        <w:bottom w:val="none" w:sz="0" w:space="0" w:color="auto"/>
        <w:right w:val="none" w:sz="0" w:space="0" w:color="auto"/>
      </w:divBdr>
    </w:div>
    <w:div w:id="107510059">
      <w:bodyDiv w:val="1"/>
      <w:marLeft w:val="0"/>
      <w:marRight w:val="0"/>
      <w:marTop w:val="0"/>
      <w:marBottom w:val="0"/>
      <w:divBdr>
        <w:top w:val="none" w:sz="0" w:space="0" w:color="auto"/>
        <w:left w:val="none" w:sz="0" w:space="0" w:color="auto"/>
        <w:bottom w:val="none" w:sz="0" w:space="0" w:color="auto"/>
        <w:right w:val="none" w:sz="0" w:space="0" w:color="auto"/>
      </w:divBdr>
    </w:div>
    <w:div w:id="107816979">
      <w:bodyDiv w:val="1"/>
      <w:marLeft w:val="0"/>
      <w:marRight w:val="0"/>
      <w:marTop w:val="0"/>
      <w:marBottom w:val="0"/>
      <w:divBdr>
        <w:top w:val="none" w:sz="0" w:space="0" w:color="auto"/>
        <w:left w:val="none" w:sz="0" w:space="0" w:color="auto"/>
        <w:bottom w:val="none" w:sz="0" w:space="0" w:color="auto"/>
        <w:right w:val="none" w:sz="0" w:space="0" w:color="auto"/>
      </w:divBdr>
    </w:div>
    <w:div w:id="111218116">
      <w:bodyDiv w:val="1"/>
      <w:marLeft w:val="0"/>
      <w:marRight w:val="0"/>
      <w:marTop w:val="0"/>
      <w:marBottom w:val="0"/>
      <w:divBdr>
        <w:top w:val="none" w:sz="0" w:space="0" w:color="auto"/>
        <w:left w:val="none" w:sz="0" w:space="0" w:color="auto"/>
        <w:bottom w:val="none" w:sz="0" w:space="0" w:color="auto"/>
        <w:right w:val="none" w:sz="0" w:space="0" w:color="auto"/>
      </w:divBdr>
    </w:div>
    <w:div w:id="114830776">
      <w:bodyDiv w:val="1"/>
      <w:marLeft w:val="0"/>
      <w:marRight w:val="0"/>
      <w:marTop w:val="0"/>
      <w:marBottom w:val="0"/>
      <w:divBdr>
        <w:top w:val="none" w:sz="0" w:space="0" w:color="auto"/>
        <w:left w:val="none" w:sz="0" w:space="0" w:color="auto"/>
        <w:bottom w:val="none" w:sz="0" w:space="0" w:color="auto"/>
        <w:right w:val="none" w:sz="0" w:space="0" w:color="auto"/>
      </w:divBdr>
    </w:div>
    <w:div w:id="116217881">
      <w:bodyDiv w:val="1"/>
      <w:marLeft w:val="0"/>
      <w:marRight w:val="0"/>
      <w:marTop w:val="0"/>
      <w:marBottom w:val="0"/>
      <w:divBdr>
        <w:top w:val="none" w:sz="0" w:space="0" w:color="auto"/>
        <w:left w:val="none" w:sz="0" w:space="0" w:color="auto"/>
        <w:bottom w:val="none" w:sz="0" w:space="0" w:color="auto"/>
        <w:right w:val="none" w:sz="0" w:space="0" w:color="auto"/>
      </w:divBdr>
    </w:div>
    <w:div w:id="116686057">
      <w:bodyDiv w:val="1"/>
      <w:marLeft w:val="0"/>
      <w:marRight w:val="0"/>
      <w:marTop w:val="0"/>
      <w:marBottom w:val="0"/>
      <w:divBdr>
        <w:top w:val="none" w:sz="0" w:space="0" w:color="auto"/>
        <w:left w:val="none" w:sz="0" w:space="0" w:color="auto"/>
        <w:bottom w:val="none" w:sz="0" w:space="0" w:color="auto"/>
        <w:right w:val="none" w:sz="0" w:space="0" w:color="auto"/>
      </w:divBdr>
    </w:div>
    <w:div w:id="116802159">
      <w:bodyDiv w:val="1"/>
      <w:marLeft w:val="0"/>
      <w:marRight w:val="0"/>
      <w:marTop w:val="0"/>
      <w:marBottom w:val="0"/>
      <w:divBdr>
        <w:top w:val="none" w:sz="0" w:space="0" w:color="auto"/>
        <w:left w:val="none" w:sz="0" w:space="0" w:color="auto"/>
        <w:bottom w:val="none" w:sz="0" w:space="0" w:color="auto"/>
        <w:right w:val="none" w:sz="0" w:space="0" w:color="auto"/>
      </w:divBdr>
    </w:div>
    <w:div w:id="122161601">
      <w:bodyDiv w:val="1"/>
      <w:marLeft w:val="0"/>
      <w:marRight w:val="0"/>
      <w:marTop w:val="0"/>
      <w:marBottom w:val="0"/>
      <w:divBdr>
        <w:top w:val="none" w:sz="0" w:space="0" w:color="auto"/>
        <w:left w:val="none" w:sz="0" w:space="0" w:color="auto"/>
        <w:bottom w:val="none" w:sz="0" w:space="0" w:color="auto"/>
        <w:right w:val="none" w:sz="0" w:space="0" w:color="auto"/>
      </w:divBdr>
    </w:div>
    <w:div w:id="125129376">
      <w:bodyDiv w:val="1"/>
      <w:marLeft w:val="0"/>
      <w:marRight w:val="0"/>
      <w:marTop w:val="0"/>
      <w:marBottom w:val="0"/>
      <w:divBdr>
        <w:top w:val="none" w:sz="0" w:space="0" w:color="auto"/>
        <w:left w:val="none" w:sz="0" w:space="0" w:color="auto"/>
        <w:bottom w:val="none" w:sz="0" w:space="0" w:color="auto"/>
        <w:right w:val="none" w:sz="0" w:space="0" w:color="auto"/>
      </w:divBdr>
    </w:div>
    <w:div w:id="127015849">
      <w:bodyDiv w:val="1"/>
      <w:marLeft w:val="0"/>
      <w:marRight w:val="0"/>
      <w:marTop w:val="0"/>
      <w:marBottom w:val="0"/>
      <w:divBdr>
        <w:top w:val="none" w:sz="0" w:space="0" w:color="auto"/>
        <w:left w:val="none" w:sz="0" w:space="0" w:color="auto"/>
        <w:bottom w:val="none" w:sz="0" w:space="0" w:color="auto"/>
        <w:right w:val="none" w:sz="0" w:space="0" w:color="auto"/>
      </w:divBdr>
    </w:div>
    <w:div w:id="127087431">
      <w:bodyDiv w:val="1"/>
      <w:marLeft w:val="0"/>
      <w:marRight w:val="0"/>
      <w:marTop w:val="0"/>
      <w:marBottom w:val="0"/>
      <w:divBdr>
        <w:top w:val="none" w:sz="0" w:space="0" w:color="auto"/>
        <w:left w:val="none" w:sz="0" w:space="0" w:color="auto"/>
        <w:bottom w:val="none" w:sz="0" w:space="0" w:color="auto"/>
        <w:right w:val="none" w:sz="0" w:space="0" w:color="auto"/>
      </w:divBdr>
    </w:div>
    <w:div w:id="128792571">
      <w:bodyDiv w:val="1"/>
      <w:marLeft w:val="0"/>
      <w:marRight w:val="0"/>
      <w:marTop w:val="0"/>
      <w:marBottom w:val="0"/>
      <w:divBdr>
        <w:top w:val="none" w:sz="0" w:space="0" w:color="auto"/>
        <w:left w:val="none" w:sz="0" w:space="0" w:color="auto"/>
        <w:bottom w:val="none" w:sz="0" w:space="0" w:color="auto"/>
        <w:right w:val="none" w:sz="0" w:space="0" w:color="auto"/>
      </w:divBdr>
    </w:div>
    <w:div w:id="131364071">
      <w:bodyDiv w:val="1"/>
      <w:marLeft w:val="0"/>
      <w:marRight w:val="0"/>
      <w:marTop w:val="0"/>
      <w:marBottom w:val="0"/>
      <w:divBdr>
        <w:top w:val="none" w:sz="0" w:space="0" w:color="auto"/>
        <w:left w:val="none" w:sz="0" w:space="0" w:color="auto"/>
        <w:bottom w:val="none" w:sz="0" w:space="0" w:color="auto"/>
        <w:right w:val="none" w:sz="0" w:space="0" w:color="auto"/>
      </w:divBdr>
    </w:div>
    <w:div w:id="133179176">
      <w:bodyDiv w:val="1"/>
      <w:marLeft w:val="0"/>
      <w:marRight w:val="0"/>
      <w:marTop w:val="0"/>
      <w:marBottom w:val="0"/>
      <w:divBdr>
        <w:top w:val="none" w:sz="0" w:space="0" w:color="auto"/>
        <w:left w:val="none" w:sz="0" w:space="0" w:color="auto"/>
        <w:bottom w:val="none" w:sz="0" w:space="0" w:color="auto"/>
        <w:right w:val="none" w:sz="0" w:space="0" w:color="auto"/>
      </w:divBdr>
    </w:div>
    <w:div w:id="135298526">
      <w:bodyDiv w:val="1"/>
      <w:marLeft w:val="0"/>
      <w:marRight w:val="0"/>
      <w:marTop w:val="0"/>
      <w:marBottom w:val="0"/>
      <w:divBdr>
        <w:top w:val="none" w:sz="0" w:space="0" w:color="auto"/>
        <w:left w:val="none" w:sz="0" w:space="0" w:color="auto"/>
        <w:bottom w:val="none" w:sz="0" w:space="0" w:color="auto"/>
        <w:right w:val="none" w:sz="0" w:space="0" w:color="auto"/>
      </w:divBdr>
    </w:div>
    <w:div w:id="135609687">
      <w:bodyDiv w:val="1"/>
      <w:marLeft w:val="0"/>
      <w:marRight w:val="0"/>
      <w:marTop w:val="0"/>
      <w:marBottom w:val="0"/>
      <w:divBdr>
        <w:top w:val="none" w:sz="0" w:space="0" w:color="auto"/>
        <w:left w:val="none" w:sz="0" w:space="0" w:color="auto"/>
        <w:bottom w:val="none" w:sz="0" w:space="0" w:color="auto"/>
        <w:right w:val="none" w:sz="0" w:space="0" w:color="auto"/>
      </w:divBdr>
    </w:div>
    <w:div w:id="139856087">
      <w:bodyDiv w:val="1"/>
      <w:marLeft w:val="0"/>
      <w:marRight w:val="0"/>
      <w:marTop w:val="0"/>
      <w:marBottom w:val="0"/>
      <w:divBdr>
        <w:top w:val="none" w:sz="0" w:space="0" w:color="auto"/>
        <w:left w:val="none" w:sz="0" w:space="0" w:color="auto"/>
        <w:bottom w:val="none" w:sz="0" w:space="0" w:color="auto"/>
        <w:right w:val="none" w:sz="0" w:space="0" w:color="auto"/>
      </w:divBdr>
    </w:div>
    <w:div w:id="143550734">
      <w:bodyDiv w:val="1"/>
      <w:marLeft w:val="0"/>
      <w:marRight w:val="0"/>
      <w:marTop w:val="0"/>
      <w:marBottom w:val="0"/>
      <w:divBdr>
        <w:top w:val="none" w:sz="0" w:space="0" w:color="auto"/>
        <w:left w:val="none" w:sz="0" w:space="0" w:color="auto"/>
        <w:bottom w:val="none" w:sz="0" w:space="0" w:color="auto"/>
        <w:right w:val="none" w:sz="0" w:space="0" w:color="auto"/>
      </w:divBdr>
    </w:div>
    <w:div w:id="148056900">
      <w:bodyDiv w:val="1"/>
      <w:marLeft w:val="0"/>
      <w:marRight w:val="0"/>
      <w:marTop w:val="0"/>
      <w:marBottom w:val="0"/>
      <w:divBdr>
        <w:top w:val="none" w:sz="0" w:space="0" w:color="auto"/>
        <w:left w:val="none" w:sz="0" w:space="0" w:color="auto"/>
        <w:bottom w:val="none" w:sz="0" w:space="0" w:color="auto"/>
        <w:right w:val="none" w:sz="0" w:space="0" w:color="auto"/>
      </w:divBdr>
    </w:div>
    <w:div w:id="151219901">
      <w:bodyDiv w:val="1"/>
      <w:marLeft w:val="0"/>
      <w:marRight w:val="0"/>
      <w:marTop w:val="0"/>
      <w:marBottom w:val="0"/>
      <w:divBdr>
        <w:top w:val="none" w:sz="0" w:space="0" w:color="auto"/>
        <w:left w:val="none" w:sz="0" w:space="0" w:color="auto"/>
        <w:bottom w:val="none" w:sz="0" w:space="0" w:color="auto"/>
        <w:right w:val="none" w:sz="0" w:space="0" w:color="auto"/>
      </w:divBdr>
    </w:div>
    <w:div w:id="153380997">
      <w:bodyDiv w:val="1"/>
      <w:marLeft w:val="0"/>
      <w:marRight w:val="0"/>
      <w:marTop w:val="0"/>
      <w:marBottom w:val="0"/>
      <w:divBdr>
        <w:top w:val="none" w:sz="0" w:space="0" w:color="auto"/>
        <w:left w:val="none" w:sz="0" w:space="0" w:color="auto"/>
        <w:bottom w:val="none" w:sz="0" w:space="0" w:color="auto"/>
        <w:right w:val="none" w:sz="0" w:space="0" w:color="auto"/>
      </w:divBdr>
    </w:div>
    <w:div w:id="155145340">
      <w:bodyDiv w:val="1"/>
      <w:marLeft w:val="0"/>
      <w:marRight w:val="0"/>
      <w:marTop w:val="0"/>
      <w:marBottom w:val="0"/>
      <w:divBdr>
        <w:top w:val="none" w:sz="0" w:space="0" w:color="auto"/>
        <w:left w:val="none" w:sz="0" w:space="0" w:color="auto"/>
        <w:bottom w:val="none" w:sz="0" w:space="0" w:color="auto"/>
        <w:right w:val="none" w:sz="0" w:space="0" w:color="auto"/>
      </w:divBdr>
    </w:div>
    <w:div w:id="156309688">
      <w:bodyDiv w:val="1"/>
      <w:marLeft w:val="0"/>
      <w:marRight w:val="0"/>
      <w:marTop w:val="0"/>
      <w:marBottom w:val="0"/>
      <w:divBdr>
        <w:top w:val="none" w:sz="0" w:space="0" w:color="auto"/>
        <w:left w:val="none" w:sz="0" w:space="0" w:color="auto"/>
        <w:bottom w:val="none" w:sz="0" w:space="0" w:color="auto"/>
        <w:right w:val="none" w:sz="0" w:space="0" w:color="auto"/>
      </w:divBdr>
    </w:div>
    <w:div w:id="157615986">
      <w:bodyDiv w:val="1"/>
      <w:marLeft w:val="0"/>
      <w:marRight w:val="0"/>
      <w:marTop w:val="0"/>
      <w:marBottom w:val="0"/>
      <w:divBdr>
        <w:top w:val="none" w:sz="0" w:space="0" w:color="auto"/>
        <w:left w:val="none" w:sz="0" w:space="0" w:color="auto"/>
        <w:bottom w:val="none" w:sz="0" w:space="0" w:color="auto"/>
        <w:right w:val="none" w:sz="0" w:space="0" w:color="auto"/>
      </w:divBdr>
    </w:div>
    <w:div w:id="157892465">
      <w:bodyDiv w:val="1"/>
      <w:marLeft w:val="0"/>
      <w:marRight w:val="0"/>
      <w:marTop w:val="0"/>
      <w:marBottom w:val="0"/>
      <w:divBdr>
        <w:top w:val="none" w:sz="0" w:space="0" w:color="auto"/>
        <w:left w:val="none" w:sz="0" w:space="0" w:color="auto"/>
        <w:bottom w:val="none" w:sz="0" w:space="0" w:color="auto"/>
        <w:right w:val="none" w:sz="0" w:space="0" w:color="auto"/>
      </w:divBdr>
    </w:div>
    <w:div w:id="159085238">
      <w:bodyDiv w:val="1"/>
      <w:marLeft w:val="0"/>
      <w:marRight w:val="0"/>
      <w:marTop w:val="0"/>
      <w:marBottom w:val="0"/>
      <w:divBdr>
        <w:top w:val="none" w:sz="0" w:space="0" w:color="auto"/>
        <w:left w:val="none" w:sz="0" w:space="0" w:color="auto"/>
        <w:bottom w:val="none" w:sz="0" w:space="0" w:color="auto"/>
        <w:right w:val="none" w:sz="0" w:space="0" w:color="auto"/>
      </w:divBdr>
    </w:div>
    <w:div w:id="160506333">
      <w:bodyDiv w:val="1"/>
      <w:marLeft w:val="0"/>
      <w:marRight w:val="0"/>
      <w:marTop w:val="0"/>
      <w:marBottom w:val="0"/>
      <w:divBdr>
        <w:top w:val="none" w:sz="0" w:space="0" w:color="auto"/>
        <w:left w:val="none" w:sz="0" w:space="0" w:color="auto"/>
        <w:bottom w:val="none" w:sz="0" w:space="0" w:color="auto"/>
        <w:right w:val="none" w:sz="0" w:space="0" w:color="auto"/>
      </w:divBdr>
    </w:div>
    <w:div w:id="161508118">
      <w:bodyDiv w:val="1"/>
      <w:marLeft w:val="0"/>
      <w:marRight w:val="0"/>
      <w:marTop w:val="0"/>
      <w:marBottom w:val="0"/>
      <w:divBdr>
        <w:top w:val="none" w:sz="0" w:space="0" w:color="auto"/>
        <w:left w:val="none" w:sz="0" w:space="0" w:color="auto"/>
        <w:bottom w:val="none" w:sz="0" w:space="0" w:color="auto"/>
        <w:right w:val="none" w:sz="0" w:space="0" w:color="auto"/>
      </w:divBdr>
    </w:div>
    <w:div w:id="162744230">
      <w:bodyDiv w:val="1"/>
      <w:marLeft w:val="0"/>
      <w:marRight w:val="0"/>
      <w:marTop w:val="0"/>
      <w:marBottom w:val="0"/>
      <w:divBdr>
        <w:top w:val="none" w:sz="0" w:space="0" w:color="auto"/>
        <w:left w:val="none" w:sz="0" w:space="0" w:color="auto"/>
        <w:bottom w:val="none" w:sz="0" w:space="0" w:color="auto"/>
        <w:right w:val="none" w:sz="0" w:space="0" w:color="auto"/>
      </w:divBdr>
    </w:div>
    <w:div w:id="163202594">
      <w:bodyDiv w:val="1"/>
      <w:marLeft w:val="0"/>
      <w:marRight w:val="0"/>
      <w:marTop w:val="0"/>
      <w:marBottom w:val="0"/>
      <w:divBdr>
        <w:top w:val="none" w:sz="0" w:space="0" w:color="auto"/>
        <w:left w:val="none" w:sz="0" w:space="0" w:color="auto"/>
        <w:bottom w:val="none" w:sz="0" w:space="0" w:color="auto"/>
        <w:right w:val="none" w:sz="0" w:space="0" w:color="auto"/>
      </w:divBdr>
    </w:div>
    <w:div w:id="165756490">
      <w:bodyDiv w:val="1"/>
      <w:marLeft w:val="0"/>
      <w:marRight w:val="0"/>
      <w:marTop w:val="0"/>
      <w:marBottom w:val="0"/>
      <w:divBdr>
        <w:top w:val="none" w:sz="0" w:space="0" w:color="auto"/>
        <w:left w:val="none" w:sz="0" w:space="0" w:color="auto"/>
        <w:bottom w:val="none" w:sz="0" w:space="0" w:color="auto"/>
        <w:right w:val="none" w:sz="0" w:space="0" w:color="auto"/>
      </w:divBdr>
    </w:div>
    <w:div w:id="166598283">
      <w:bodyDiv w:val="1"/>
      <w:marLeft w:val="0"/>
      <w:marRight w:val="0"/>
      <w:marTop w:val="0"/>
      <w:marBottom w:val="0"/>
      <w:divBdr>
        <w:top w:val="none" w:sz="0" w:space="0" w:color="auto"/>
        <w:left w:val="none" w:sz="0" w:space="0" w:color="auto"/>
        <w:bottom w:val="none" w:sz="0" w:space="0" w:color="auto"/>
        <w:right w:val="none" w:sz="0" w:space="0" w:color="auto"/>
      </w:divBdr>
    </w:div>
    <w:div w:id="168183285">
      <w:bodyDiv w:val="1"/>
      <w:marLeft w:val="0"/>
      <w:marRight w:val="0"/>
      <w:marTop w:val="0"/>
      <w:marBottom w:val="0"/>
      <w:divBdr>
        <w:top w:val="none" w:sz="0" w:space="0" w:color="auto"/>
        <w:left w:val="none" w:sz="0" w:space="0" w:color="auto"/>
        <w:bottom w:val="none" w:sz="0" w:space="0" w:color="auto"/>
        <w:right w:val="none" w:sz="0" w:space="0" w:color="auto"/>
      </w:divBdr>
    </w:div>
    <w:div w:id="170529571">
      <w:bodyDiv w:val="1"/>
      <w:marLeft w:val="0"/>
      <w:marRight w:val="0"/>
      <w:marTop w:val="0"/>
      <w:marBottom w:val="0"/>
      <w:divBdr>
        <w:top w:val="none" w:sz="0" w:space="0" w:color="auto"/>
        <w:left w:val="none" w:sz="0" w:space="0" w:color="auto"/>
        <w:bottom w:val="none" w:sz="0" w:space="0" w:color="auto"/>
        <w:right w:val="none" w:sz="0" w:space="0" w:color="auto"/>
      </w:divBdr>
    </w:div>
    <w:div w:id="171647899">
      <w:bodyDiv w:val="1"/>
      <w:marLeft w:val="0"/>
      <w:marRight w:val="0"/>
      <w:marTop w:val="0"/>
      <w:marBottom w:val="0"/>
      <w:divBdr>
        <w:top w:val="none" w:sz="0" w:space="0" w:color="auto"/>
        <w:left w:val="none" w:sz="0" w:space="0" w:color="auto"/>
        <w:bottom w:val="none" w:sz="0" w:space="0" w:color="auto"/>
        <w:right w:val="none" w:sz="0" w:space="0" w:color="auto"/>
      </w:divBdr>
    </w:div>
    <w:div w:id="180167451">
      <w:bodyDiv w:val="1"/>
      <w:marLeft w:val="0"/>
      <w:marRight w:val="0"/>
      <w:marTop w:val="0"/>
      <w:marBottom w:val="0"/>
      <w:divBdr>
        <w:top w:val="none" w:sz="0" w:space="0" w:color="auto"/>
        <w:left w:val="none" w:sz="0" w:space="0" w:color="auto"/>
        <w:bottom w:val="none" w:sz="0" w:space="0" w:color="auto"/>
        <w:right w:val="none" w:sz="0" w:space="0" w:color="auto"/>
      </w:divBdr>
    </w:div>
    <w:div w:id="180318634">
      <w:bodyDiv w:val="1"/>
      <w:marLeft w:val="0"/>
      <w:marRight w:val="0"/>
      <w:marTop w:val="0"/>
      <w:marBottom w:val="0"/>
      <w:divBdr>
        <w:top w:val="none" w:sz="0" w:space="0" w:color="auto"/>
        <w:left w:val="none" w:sz="0" w:space="0" w:color="auto"/>
        <w:bottom w:val="none" w:sz="0" w:space="0" w:color="auto"/>
        <w:right w:val="none" w:sz="0" w:space="0" w:color="auto"/>
      </w:divBdr>
    </w:div>
    <w:div w:id="180441677">
      <w:bodyDiv w:val="1"/>
      <w:marLeft w:val="0"/>
      <w:marRight w:val="0"/>
      <w:marTop w:val="0"/>
      <w:marBottom w:val="0"/>
      <w:divBdr>
        <w:top w:val="none" w:sz="0" w:space="0" w:color="auto"/>
        <w:left w:val="none" w:sz="0" w:space="0" w:color="auto"/>
        <w:bottom w:val="none" w:sz="0" w:space="0" w:color="auto"/>
        <w:right w:val="none" w:sz="0" w:space="0" w:color="auto"/>
      </w:divBdr>
    </w:div>
    <w:div w:id="183791102">
      <w:bodyDiv w:val="1"/>
      <w:marLeft w:val="0"/>
      <w:marRight w:val="0"/>
      <w:marTop w:val="0"/>
      <w:marBottom w:val="0"/>
      <w:divBdr>
        <w:top w:val="none" w:sz="0" w:space="0" w:color="auto"/>
        <w:left w:val="none" w:sz="0" w:space="0" w:color="auto"/>
        <w:bottom w:val="none" w:sz="0" w:space="0" w:color="auto"/>
        <w:right w:val="none" w:sz="0" w:space="0" w:color="auto"/>
      </w:divBdr>
    </w:div>
    <w:div w:id="185021868">
      <w:bodyDiv w:val="1"/>
      <w:marLeft w:val="0"/>
      <w:marRight w:val="0"/>
      <w:marTop w:val="0"/>
      <w:marBottom w:val="0"/>
      <w:divBdr>
        <w:top w:val="none" w:sz="0" w:space="0" w:color="auto"/>
        <w:left w:val="none" w:sz="0" w:space="0" w:color="auto"/>
        <w:bottom w:val="none" w:sz="0" w:space="0" w:color="auto"/>
        <w:right w:val="none" w:sz="0" w:space="0" w:color="auto"/>
      </w:divBdr>
    </w:div>
    <w:div w:id="186217288">
      <w:bodyDiv w:val="1"/>
      <w:marLeft w:val="0"/>
      <w:marRight w:val="0"/>
      <w:marTop w:val="0"/>
      <w:marBottom w:val="0"/>
      <w:divBdr>
        <w:top w:val="none" w:sz="0" w:space="0" w:color="auto"/>
        <w:left w:val="none" w:sz="0" w:space="0" w:color="auto"/>
        <w:bottom w:val="none" w:sz="0" w:space="0" w:color="auto"/>
        <w:right w:val="none" w:sz="0" w:space="0" w:color="auto"/>
      </w:divBdr>
    </w:div>
    <w:div w:id="187137656">
      <w:bodyDiv w:val="1"/>
      <w:marLeft w:val="0"/>
      <w:marRight w:val="0"/>
      <w:marTop w:val="0"/>
      <w:marBottom w:val="0"/>
      <w:divBdr>
        <w:top w:val="none" w:sz="0" w:space="0" w:color="auto"/>
        <w:left w:val="none" w:sz="0" w:space="0" w:color="auto"/>
        <w:bottom w:val="none" w:sz="0" w:space="0" w:color="auto"/>
        <w:right w:val="none" w:sz="0" w:space="0" w:color="auto"/>
      </w:divBdr>
    </w:div>
    <w:div w:id="187837961">
      <w:bodyDiv w:val="1"/>
      <w:marLeft w:val="0"/>
      <w:marRight w:val="0"/>
      <w:marTop w:val="0"/>
      <w:marBottom w:val="0"/>
      <w:divBdr>
        <w:top w:val="none" w:sz="0" w:space="0" w:color="auto"/>
        <w:left w:val="none" w:sz="0" w:space="0" w:color="auto"/>
        <w:bottom w:val="none" w:sz="0" w:space="0" w:color="auto"/>
        <w:right w:val="none" w:sz="0" w:space="0" w:color="auto"/>
      </w:divBdr>
    </w:div>
    <w:div w:id="189997412">
      <w:bodyDiv w:val="1"/>
      <w:marLeft w:val="0"/>
      <w:marRight w:val="0"/>
      <w:marTop w:val="0"/>
      <w:marBottom w:val="0"/>
      <w:divBdr>
        <w:top w:val="none" w:sz="0" w:space="0" w:color="auto"/>
        <w:left w:val="none" w:sz="0" w:space="0" w:color="auto"/>
        <w:bottom w:val="none" w:sz="0" w:space="0" w:color="auto"/>
        <w:right w:val="none" w:sz="0" w:space="0" w:color="auto"/>
      </w:divBdr>
    </w:div>
    <w:div w:id="190845020">
      <w:bodyDiv w:val="1"/>
      <w:marLeft w:val="0"/>
      <w:marRight w:val="0"/>
      <w:marTop w:val="0"/>
      <w:marBottom w:val="0"/>
      <w:divBdr>
        <w:top w:val="none" w:sz="0" w:space="0" w:color="auto"/>
        <w:left w:val="none" w:sz="0" w:space="0" w:color="auto"/>
        <w:bottom w:val="none" w:sz="0" w:space="0" w:color="auto"/>
        <w:right w:val="none" w:sz="0" w:space="0" w:color="auto"/>
      </w:divBdr>
    </w:div>
    <w:div w:id="191648444">
      <w:bodyDiv w:val="1"/>
      <w:marLeft w:val="0"/>
      <w:marRight w:val="0"/>
      <w:marTop w:val="0"/>
      <w:marBottom w:val="0"/>
      <w:divBdr>
        <w:top w:val="none" w:sz="0" w:space="0" w:color="auto"/>
        <w:left w:val="none" w:sz="0" w:space="0" w:color="auto"/>
        <w:bottom w:val="none" w:sz="0" w:space="0" w:color="auto"/>
        <w:right w:val="none" w:sz="0" w:space="0" w:color="auto"/>
      </w:divBdr>
    </w:div>
    <w:div w:id="191920013">
      <w:bodyDiv w:val="1"/>
      <w:marLeft w:val="0"/>
      <w:marRight w:val="0"/>
      <w:marTop w:val="0"/>
      <w:marBottom w:val="0"/>
      <w:divBdr>
        <w:top w:val="none" w:sz="0" w:space="0" w:color="auto"/>
        <w:left w:val="none" w:sz="0" w:space="0" w:color="auto"/>
        <w:bottom w:val="none" w:sz="0" w:space="0" w:color="auto"/>
        <w:right w:val="none" w:sz="0" w:space="0" w:color="auto"/>
      </w:divBdr>
    </w:div>
    <w:div w:id="193157079">
      <w:bodyDiv w:val="1"/>
      <w:marLeft w:val="0"/>
      <w:marRight w:val="0"/>
      <w:marTop w:val="0"/>
      <w:marBottom w:val="0"/>
      <w:divBdr>
        <w:top w:val="none" w:sz="0" w:space="0" w:color="auto"/>
        <w:left w:val="none" w:sz="0" w:space="0" w:color="auto"/>
        <w:bottom w:val="none" w:sz="0" w:space="0" w:color="auto"/>
        <w:right w:val="none" w:sz="0" w:space="0" w:color="auto"/>
      </w:divBdr>
    </w:div>
    <w:div w:id="197353173">
      <w:bodyDiv w:val="1"/>
      <w:marLeft w:val="0"/>
      <w:marRight w:val="0"/>
      <w:marTop w:val="0"/>
      <w:marBottom w:val="0"/>
      <w:divBdr>
        <w:top w:val="none" w:sz="0" w:space="0" w:color="auto"/>
        <w:left w:val="none" w:sz="0" w:space="0" w:color="auto"/>
        <w:bottom w:val="none" w:sz="0" w:space="0" w:color="auto"/>
        <w:right w:val="none" w:sz="0" w:space="0" w:color="auto"/>
      </w:divBdr>
    </w:div>
    <w:div w:id="198669052">
      <w:bodyDiv w:val="1"/>
      <w:marLeft w:val="0"/>
      <w:marRight w:val="0"/>
      <w:marTop w:val="0"/>
      <w:marBottom w:val="0"/>
      <w:divBdr>
        <w:top w:val="none" w:sz="0" w:space="0" w:color="auto"/>
        <w:left w:val="none" w:sz="0" w:space="0" w:color="auto"/>
        <w:bottom w:val="none" w:sz="0" w:space="0" w:color="auto"/>
        <w:right w:val="none" w:sz="0" w:space="0" w:color="auto"/>
      </w:divBdr>
    </w:div>
    <w:div w:id="198980169">
      <w:bodyDiv w:val="1"/>
      <w:marLeft w:val="0"/>
      <w:marRight w:val="0"/>
      <w:marTop w:val="0"/>
      <w:marBottom w:val="0"/>
      <w:divBdr>
        <w:top w:val="none" w:sz="0" w:space="0" w:color="auto"/>
        <w:left w:val="none" w:sz="0" w:space="0" w:color="auto"/>
        <w:bottom w:val="none" w:sz="0" w:space="0" w:color="auto"/>
        <w:right w:val="none" w:sz="0" w:space="0" w:color="auto"/>
      </w:divBdr>
    </w:div>
    <w:div w:id="200868806">
      <w:bodyDiv w:val="1"/>
      <w:marLeft w:val="0"/>
      <w:marRight w:val="0"/>
      <w:marTop w:val="0"/>
      <w:marBottom w:val="0"/>
      <w:divBdr>
        <w:top w:val="none" w:sz="0" w:space="0" w:color="auto"/>
        <w:left w:val="none" w:sz="0" w:space="0" w:color="auto"/>
        <w:bottom w:val="none" w:sz="0" w:space="0" w:color="auto"/>
        <w:right w:val="none" w:sz="0" w:space="0" w:color="auto"/>
      </w:divBdr>
    </w:div>
    <w:div w:id="20159407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3197">
      <w:bodyDiv w:val="1"/>
      <w:marLeft w:val="0"/>
      <w:marRight w:val="0"/>
      <w:marTop w:val="0"/>
      <w:marBottom w:val="0"/>
      <w:divBdr>
        <w:top w:val="none" w:sz="0" w:space="0" w:color="auto"/>
        <w:left w:val="none" w:sz="0" w:space="0" w:color="auto"/>
        <w:bottom w:val="none" w:sz="0" w:space="0" w:color="auto"/>
        <w:right w:val="none" w:sz="0" w:space="0" w:color="auto"/>
      </w:divBdr>
    </w:div>
    <w:div w:id="205683814">
      <w:bodyDiv w:val="1"/>
      <w:marLeft w:val="0"/>
      <w:marRight w:val="0"/>
      <w:marTop w:val="0"/>
      <w:marBottom w:val="0"/>
      <w:divBdr>
        <w:top w:val="none" w:sz="0" w:space="0" w:color="auto"/>
        <w:left w:val="none" w:sz="0" w:space="0" w:color="auto"/>
        <w:bottom w:val="none" w:sz="0" w:space="0" w:color="auto"/>
        <w:right w:val="none" w:sz="0" w:space="0" w:color="auto"/>
      </w:divBdr>
    </w:div>
    <w:div w:id="210117172">
      <w:bodyDiv w:val="1"/>
      <w:marLeft w:val="0"/>
      <w:marRight w:val="0"/>
      <w:marTop w:val="0"/>
      <w:marBottom w:val="0"/>
      <w:divBdr>
        <w:top w:val="none" w:sz="0" w:space="0" w:color="auto"/>
        <w:left w:val="none" w:sz="0" w:space="0" w:color="auto"/>
        <w:bottom w:val="none" w:sz="0" w:space="0" w:color="auto"/>
        <w:right w:val="none" w:sz="0" w:space="0" w:color="auto"/>
      </w:divBdr>
    </w:div>
    <w:div w:id="218443945">
      <w:bodyDiv w:val="1"/>
      <w:marLeft w:val="0"/>
      <w:marRight w:val="0"/>
      <w:marTop w:val="0"/>
      <w:marBottom w:val="0"/>
      <w:divBdr>
        <w:top w:val="none" w:sz="0" w:space="0" w:color="auto"/>
        <w:left w:val="none" w:sz="0" w:space="0" w:color="auto"/>
        <w:bottom w:val="none" w:sz="0" w:space="0" w:color="auto"/>
        <w:right w:val="none" w:sz="0" w:space="0" w:color="auto"/>
      </w:divBdr>
    </w:div>
    <w:div w:id="219679401">
      <w:bodyDiv w:val="1"/>
      <w:marLeft w:val="0"/>
      <w:marRight w:val="0"/>
      <w:marTop w:val="0"/>
      <w:marBottom w:val="0"/>
      <w:divBdr>
        <w:top w:val="none" w:sz="0" w:space="0" w:color="auto"/>
        <w:left w:val="none" w:sz="0" w:space="0" w:color="auto"/>
        <w:bottom w:val="none" w:sz="0" w:space="0" w:color="auto"/>
        <w:right w:val="none" w:sz="0" w:space="0" w:color="auto"/>
      </w:divBdr>
    </w:div>
    <w:div w:id="221452886">
      <w:bodyDiv w:val="1"/>
      <w:marLeft w:val="0"/>
      <w:marRight w:val="0"/>
      <w:marTop w:val="0"/>
      <w:marBottom w:val="0"/>
      <w:divBdr>
        <w:top w:val="none" w:sz="0" w:space="0" w:color="auto"/>
        <w:left w:val="none" w:sz="0" w:space="0" w:color="auto"/>
        <w:bottom w:val="none" w:sz="0" w:space="0" w:color="auto"/>
        <w:right w:val="none" w:sz="0" w:space="0" w:color="auto"/>
      </w:divBdr>
    </w:div>
    <w:div w:id="222956457">
      <w:bodyDiv w:val="1"/>
      <w:marLeft w:val="0"/>
      <w:marRight w:val="0"/>
      <w:marTop w:val="0"/>
      <w:marBottom w:val="0"/>
      <w:divBdr>
        <w:top w:val="none" w:sz="0" w:space="0" w:color="auto"/>
        <w:left w:val="none" w:sz="0" w:space="0" w:color="auto"/>
        <w:bottom w:val="none" w:sz="0" w:space="0" w:color="auto"/>
        <w:right w:val="none" w:sz="0" w:space="0" w:color="auto"/>
      </w:divBdr>
    </w:div>
    <w:div w:id="226458125">
      <w:bodyDiv w:val="1"/>
      <w:marLeft w:val="0"/>
      <w:marRight w:val="0"/>
      <w:marTop w:val="0"/>
      <w:marBottom w:val="0"/>
      <w:divBdr>
        <w:top w:val="none" w:sz="0" w:space="0" w:color="auto"/>
        <w:left w:val="none" w:sz="0" w:space="0" w:color="auto"/>
        <w:bottom w:val="none" w:sz="0" w:space="0" w:color="auto"/>
        <w:right w:val="none" w:sz="0" w:space="0" w:color="auto"/>
      </w:divBdr>
    </w:div>
    <w:div w:id="226765341">
      <w:bodyDiv w:val="1"/>
      <w:marLeft w:val="0"/>
      <w:marRight w:val="0"/>
      <w:marTop w:val="0"/>
      <w:marBottom w:val="0"/>
      <w:divBdr>
        <w:top w:val="none" w:sz="0" w:space="0" w:color="auto"/>
        <w:left w:val="none" w:sz="0" w:space="0" w:color="auto"/>
        <w:bottom w:val="none" w:sz="0" w:space="0" w:color="auto"/>
        <w:right w:val="none" w:sz="0" w:space="0" w:color="auto"/>
      </w:divBdr>
    </w:div>
    <w:div w:id="228348593">
      <w:bodyDiv w:val="1"/>
      <w:marLeft w:val="0"/>
      <w:marRight w:val="0"/>
      <w:marTop w:val="0"/>
      <w:marBottom w:val="0"/>
      <w:divBdr>
        <w:top w:val="none" w:sz="0" w:space="0" w:color="auto"/>
        <w:left w:val="none" w:sz="0" w:space="0" w:color="auto"/>
        <w:bottom w:val="none" w:sz="0" w:space="0" w:color="auto"/>
        <w:right w:val="none" w:sz="0" w:space="0" w:color="auto"/>
      </w:divBdr>
    </w:div>
    <w:div w:id="228393247">
      <w:bodyDiv w:val="1"/>
      <w:marLeft w:val="0"/>
      <w:marRight w:val="0"/>
      <w:marTop w:val="0"/>
      <w:marBottom w:val="0"/>
      <w:divBdr>
        <w:top w:val="none" w:sz="0" w:space="0" w:color="auto"/>
        <w:left w:val="none" w:sz="0" w:space="0" w:color="auto"/>
        <w:bottom w:val="none" w:sz="0" w:space="0" w:color="auto"/>
        <w:right w:val="none" w:sz="0" w:space="0" w:color="auto"/>
      </w:divBdr>
    </w:div>
    <w:div w:id="230626125">
      <w:bodyDiv w:val="1"/>
      <w:marLeft w:val="0"/>
      <w:marRight w:val="0"/>
      <w:marTop w:val="0"/>
      <w:marBottom w:val="0"/>
      <w:divBdr>
        <w:top w:val="none" w:sz="0" w:space="0" w:color="auto"/>
        <w:left w:val="none" w:sz="0" w:space="0" w:color="auto"/>
        <w:bottom w:val="none" w:sz="0" w:space="0" w:color="auto"/>
        <w:right w:val="none" w:sz="0" w:space="0" w:color="auto"/>
      </w:divBdr>
    </w:div>
    <w:div w:id="231086138">
      <w:bodyDiv w:val="1"/>
      <w:marLeft w:val="0"/>
      <w:marRight w:val="0"/>
      <w:marTop w:val="0"/>
      <w:marBottom w:val="0"/>
      <w:divBdr>
        <w:top w:val="none" w:sz="0" w:space="0" w:color="auto"/>
        <w:left w:val="none" w:sz="0" w:space="0" w:color="auto"/>
        <w:bottom w:val="none" w:sz="0" w:space="0" w:color="auto"/>
        <w:right w:val="none" w:sz="0" w:space="0" w:color="auto"/>
      </w:divBdr>
    </w:div>
    <w:div w:id="231163134">
      <w:bodyDiv w:val="1"/>
      <w:marLeft w:val="0"/>
      <w:marRight w:val="0"/>
      <w:marTop w:val="0"/>
      <w:marBottom w:val="0"/>
      <w:divBdr>
        <w:top w:val="none" w:sz="0" w:space="0" w:color="auto"/>
        <w:left w:val="none" w:sz="0" w:space="0" w:color="auto"/>
        <w:bottom w:val="none" w:sz="0" w:space="0" w:color="auto"/>
        <w:right w:val="none" w:sz="0" w:space="0" w:color="auto"/>
      </w:divBdr>
    </w:div>
    <w:div w:id="231895187">
      <w:bodyDiv w:val="1"/>
      <w:marLeft w:val="0"/>
      <w:marRight w:val="0"/>
      <w:marTop w:val="0"/>
      <w:marBottom w:val="0"/>
      <w:divBdr>
        <w:top w:val="none" w:sz="0" w:space="0" w:color="auto"/>
        <w:left w:val="none" w:sz="0" w:space="0" w:color="auto"/>
        <w:bottom w:val="none" w:sz="0" w:space="0" w:color="auto"/>
        <w:right w:val="none" w:sz="0" w:space="0" w:color="auto"/>
      </w:divBdr>
    </w:div>
    <w:div w:id="232325797">
      <w:bodyDiv w:val="1"/>
      <w:marLeft w:val="0"/>
      <w:marRight w:val="0"/>
      <w:marTop w:val="0"/>
      <w:marBottom w:val="0"/>
      <w:divBdr>
        <w:top w:val="none" w:sz="0" w:space="0" w:color="auto"/>
        <w:left w:val="none" w:sz="0" w:space="0" w:color="auto"/>
        <w:bottom w:val="none" w:sz="0" w:space="0" w:color="auto"/>
        <w:right w:val="none" w:sz="0" w:space="0" w:color="auto"/>
      </w:divBdr>
    </w:div>
    <w:div w:id="234896189">
      <w:bodyDiv w:val="1"/>
      <w:marLeft w:val="0"/>
      <w:marRight w:val="0"/>
      <w:marTop w:val="0"/>
      <w:marBottom w:val="0"/>
      <w:divBdr>
        <w:top w:val="none" w:sz="0" w:space="0" w:color="auto"/>
        <w:left w:val="none" w:sz="0" w:space="0" w:color="auto"/>
        <w:bottom w:val="none" w:sz="0" w:space="0" w:color="auto"/>
        <w:right w:val="none" w:sz="0" w:space="0" w:color="auto"/>
      </w:divBdr>
    </w:div>
    <w:div w:id="235475691">
      <w:bodyDiv w:val="1"/>
      <w:marLeft w:val="0"/>
      <w:marRight w:val="0"/>
      <w:marTop w:val="0"/>
      <w:marBottom w:val="0"/>
      <w:divBdr>
        <w:top w:val="none" w:sz="0" w:space="0" w:color="auto"/>
        <w:left w:val="none" w:sz="0" w:space="0" w:color="auto"/>
        <w:bottom w:val="none" w:sz="0" w:space="0" w:color="auto"/>
        <w:right w:val="none" w:sz="0" w:space="0" w:color="auto"/>
      </w:divBdr>
    </w:div>
    <w:div w:id="241259213">
      <w:bodyDiv w:val="1"/>
      <w:marLeft w:val="0"/>
      <w:marRight w:val="0"/>
      <w:marTop w:val="0"/>
      <w:marBottom w:val="0"/>
      <w:divBdr>
        <w:top w:val="none" w:sz="0" w:space="0" w:color="auto"/>
        <w:left w:val="none" w:sz="0" w:space="0" w:color="auto"/>
        <w:bottom w:val="none" w:sz="0" w:space="0" w:color="auto"/>
        <w:right w:val="none" w:sz="0" w:space="0" w:color="auto"/>
      </w:divBdr>
    </w:div>
    <w:div w:id="241454462">
      <w:bodyDiv w:val="1"/>
      <w:marLeft w:val="0"/>
      <w:marRight w:val="0"/>
      <w:marTop w:val="0"/>
      <w:marBottom w:val="0"/>
      <w:divBdr>
        <w:top w:val="none" w:sz="0" w:space="0" w:color="auto"/>
        <w:left w:val="none" w:sz="0" w:space="0" w:color="auto"/>
        <w:bottom w:val="none" w:sz="0" w:space="0" w:color="auto"/>
        <w:right w:val="none" w:sz="0" w:space="0" w:color="auto"/>
      </w:divBdr>
    </w:div>
    <w:div w:id="244219428">
      <w:bodyDiv w:val="1"/>
      <w:marLeft w:val="0"/>
      <w:marRight w:val="0"/>
      <w:marTop w:val="0"/>
      <w:marBottom w:val="0"/>
      <w:divBdr>
        <w:top w:val="none" w:sz="0" w:space="0" w:color="auto"/>
        <w:left w:val="none" w:sz="0" w:space="0" w:color="auto"/>
        <w:bottom w:val="none" w:sz="0" w:space="0" w:color="auto"/>
        <w:right w:val="none" w:sz="0" w:space="0" w:color="auto"/>
      </w:divBdr>
    </w:div>
    <w:div w:id="244458203">
      <w:bodyDiv w:val="1"/>
      <w:marLeft w:val="0"/>
      <w:marRight w:val="0"/>
      <w:marTop w:val="0"/>
      <w:marBottom w:val="0"/>
      <w:divBdr>
        <w:top w:val="none" w:sz="0" w:space="0" w:color="auto"/>
        <w:left w:val="none" w:sz="0" w:space="0" w:color="auto"/>
        <w:bottom w:val="none" w:sz="0" w:space="0" w:color="auto"/>
        <w:right w:val="none" w:sz="0" w:space="0" w:color="auto"/>
      </w:divBdr>
    </w:div>
    <w:div w:id="246572905">
      <w:bodyDiv w:val="1"/>
      <w:marLeft w:val="0"/>
      <w:marRight w:val="0"/>
      <w:marTop w:val="0"/>
      <w:marBottom w:val="0"/>
      <w:divBdr>
        <w:top w:val="none" w:sz="0" w:space="0" w:color="auto"/>
        <w:left w:val="none" w:sz="0" w:space="0" w:color="auto"/>
        <w:bottom w:val="none" w:sz="0" w:space="0" w:color="auto"/>
        <w:right w:val="none" w:sz="0" w:space="0" w:color="auto"/>
      </w:divBdr>
    </w:div>
    <w:div w:id="248080547">
      <w:bodyDiv w:val="1"/>
      <w:marLeft w:val="0"/>
      <w:marRight w:val="0"/>
      <w:marTop w:val="0"/>
      <w:marBottom w:val="0"/>
      <w:divBdr>
        <w:top w:val="none" w:sz="0" w:space="0" w:color="auto"/>
        <w:left w:val="none" w:sz="0" w:space="0" w:color="auto"/>
        <w:bottom w:val="none" w:sz="0" w:space="0" w:color="auto"/>
        <w:right w:val="none" w:sz="0" w:space="0" w:color="auto"/>
      </w:divBdr>
    </w:div>
    <w:div w:id="248395396">
      <w:bodyDiv w:val="1"/>
      <w:marLeft w:val="0"/>
      <w:marRight w:val="0"/>
      <w:marTop w:val="0"/>
      <w:marBottom w:val="0"/>
      <w:divBdr>
        <w:top w:val="none" w:sz="0" w:space="0" w:color="auto"/>
        <w:left w:val="none" w:sz="0" w:space="0" w:color="auto"/>
        <w:bottom w:val="none" w:sz="0" w:space="0" w:color="auto"/>
        <w:right w:val="none" w:sz="0" w:space="0" w:color="auto"/>
      </w:divBdr>
    </w:div>
    <w:div w:id="250891453">
      <w:bodyDiv w:val="1"/>
      <w:marLeft w:val="0"/>
      <w:marRight w:val="0"/>
      <w:marTop w:val="0"/>
      <w:marBottom w:val="0"/>
      <w:divBdr>
        <w:top w:val="none" w:sz="0" w:space="0" w:color="auto"/>
        <w:left w:val="none" w:sz="0" w:space="0" w:color="auto"/>
        <w:bottom w:val="none" w:sz="0" w:space="0" w:color="auto"/>
        <w:right w:val="none" w:sz="0" w:space="0" w:color="auto"/>
      </w:divBdr>
    </w:div>
    <w:div w:id="252054930">
      <w:bodyDiv w:val="1"/>
      <w:marLeft w:val="0"/>
      <w:marRight w:val="0"/>
      <w:marTop w:val="0"/>
      <w:marBottom w:val="0"/>
      <w:divBdr>
        <w:top w:val="none" w:sz="0" w:space="0" w:color="auto"/>
        <w:left w:val="none" w:sz="0" w:space="0" w:color="auto"/>
        <w:bottom w:val="none" w:sz="0" w:space="0" w:color="auto"/>
        <w:right w:val="none" w:sz="0" w:space="0" w:color="auto"/>
      </w:divBdr>
    </w:div>
    <w:div w:id="255485785">
      <w:bodyDiv w:val="1"/>
      <w:marLeft w:val="0"/>
      <w:marRight w:val="0"/>
      <w:marTop w:val="0"/>
      <w:marBottom w:val="0"/>
      <w:divBdr>
        <w:top w:val="none" w:sz="0" w:space="0" w:color="auto"/>
        <w:left w:val="none" w:sz="0" w:space="0" w:color="auto"/>
        <w:bottom w:val="none" w:sz="0" w:space="0" w:color="auto"/>
        <w:right w:val="none" w:sz="0" w:space="0" w:color="auto"/>
      </w:divBdr>
    </w:div>
    <w:div w:id="255552571">
      <w:bodyDiv w:val="1"/>
      <w:marLeft w:val="0"/>
      <w:marRight w:val="0"/>
      <w:marTop w:val="0"/>
      <w:marBottom w:val="0"/>
      <w:divBdr>
        <w:top w:val="none" w:sz="0" w:space="0" w:color="auto"/>
        <w:left w:val="none" w:sz="0" w:space="0" w:color="auto"/>
        <w:bottom w:val="none" w:sz="0" w:space="0" w:color="auto"/>
        <w:right w:val="none" w:sz="0" w:space="0" w:color="auto"/>
      </w:divBdr>
    </w:div>
    <w:div w:id="256716609">
      <w:bodyDiv w:val="1"/>
      <w:marLeft w:val="0"/>
      <w:marRight w:val="0"/>
      <w:marTop w:val="0"/>
      <w:marBottom w:val="0"/>
      <w:divBdr>
        <w:top w:val="none" w:sz="0" w:space="0" w:color="auto"/>
        <w:left w:val="none" w:sz="0" w:space="0" w:color="auto"/>
        <w:bottom w:val="none" w:sz="0" w:space="0" w:color="auto"/>
        <w:right w:val="none" w:sz="0" w:space="0" w:color="auto"/>
      </w:divBdr>
    </w:div>
    <w:div w:id="256987848">
      <w:bodyDiv w:val="1"/>
      <w:marLeft w:val="0"/>
      <w:marRight w:val="0"/>
      <w:marTop w:val="0"/>
      <w:marBottom w:val="0"/>
      <w:divBdr>
        <w:top w:val="none" w:sz="0" w:space="0" w:color="auto"/>
        <w:left w:val="none" w:sz="0" w:space="0" w:color="auto"/>
        <w:bottom w:val="none" w:sz="0" w:space="0" w:color="auto"/>
        <w:right w:val="none" w:sz="0" w:space="0" w:color="auto"/>
      </w:divBdr>
    </w:div>
    <w:div w:id="259994529">
      <w:bodyDiv w:val="1"/>
      <w:marLeft w:val="0"/>
      <w:marRight w:val="0"/>
      <w:marTop w:val="0"/>
      <w:marBottom w:val="0"/>
      <w:divBdr>
        <w:top w:val="none" w:sz="0" w:space="0" w:color="auto"/>
        <w:left w:val="none" w:sz="0" w:space="0" w:color="auto"/>
        <w:bottom w:val="none" w:sz="0" w:space="0" w:color="auto"/>
        <w:right w:val="none" w:sz="0" w:space="0" w:color="auto"/>
      </w:divBdr>
    </w:div>
    <w:div w:id="262031022">
      <w:bodyDiv w:val="1"/>
      <w:marLeft w:val="0"/>
      <w:marRight w:val="0"/>
      <w:marTop w:val="0"/>
      <w:marBottom w:val="0"/>
      <w:divBdr>
        <w:top w:val="none" w:sz="0" w:space="0" w:color="auto"/>
        <w:left w:val="none" w:sz="0" w:space="0" w:color="auto"/>
        <w:bottom w:val="none" w:sz="0" w:space="0" w:color="auto"/>
        <w:right w:val="none" w:sz="0" w:space="0" w:color="auto"/>
      </w:divBdr>
    </w:div>
    <w:div w:id="262037280">
      <w:bodyDiv w:val="1"/>
      <w:marLeft w:val="0"/>
      <w:marRight w:val="0"/>
      <w:marTop w:val="0"/>
      <w:marBottom w:val="0"/>
      <w:divBdr>
        <w:top w:val="none" w:sz="0" w:space="0" w:color="auto"/>
        <w:left w:val="none" w:sz="0" w:space="0" w:color="auto"/>
        <w:bottom w:val="none" w:sz="0" w:space="0" w:color="auto"/>
        <w:right w:val="none" w:sz="0" w:space="0" w:color="auto"/>
      </w:divBdr>
    </w:div>
    <w:div w:id="267279550">
      <w:bodyDiv w:val="1"/>
      <w:marLeft w:val="0"/>
      <w:marRight w:val="0"/>
      <w:marTop w:val="0"/>
      <w:marBottom w:val="0"/>
      <w:divBdr>
        <w:top w:val="none" w:sz="0" w:space="0" w:color="auto"/>
        <w:left w:val="none" w:sz="0" w:space="0" w:color="auto"/>
        <w:bottom w:val="none" w:sz="0" w:space="0" w:color="auto"/>
        <w:right w:val="none" w:sz="0" w:space="0" w:color="auto"/>
      </w:divBdr>
    </w:div>
    <w:div w:id="267667585">
      <w:bodyDiv w:val="1"/>
      <w:marLeft w:val="0"/>
      <w:marRight w:val="0"/>
      <w:marTop w:val="0"/>
      <w:marBottom w:val="0"/>
      <w:divBdr>
        <w:top w:val="none" w:sz="0" w:space="0" w:color="auto"/>
        <w:left w:val="none" w:sz="0" w:space="0" w:color="auto"/>
        <w:bottom w:val="none" w:sz="0" w:space="0" w:color="auto"/>
        <w:right w:val="none" w:sz="0" w:space="0" w:color="auto"/>
      </w:divBdr>
    </w:div>
    <w:div w:id="267926788">
      <w:bodyDiv w:val="1"/>
      <w:marLeft w:val="0"/>
      <w:marRight w:val="0"/>
      <w:marTop w:val="0"/>
      <w:marBottom w:val="0"/>
      <w:divBdr>
        <w:top w:val="none" w:sz="0" w:space="0" w:color="auto"/>
        <w:left w:val="none" w:sz="0" w:space="0" w:color="auto"/>
        <w:bottom w:val="none" w:sz="0" w:space="0" w:color="auto"/>
        <w:right w:val="none" w:sz="0" w:space="0" w:color="auto"/>
      </w:divBdr>
    </w:div>
    <w:div w:id="269048633">
      <w:bodyDiv w:val="1"/>
      <w:marLeft w:val="0"/>
      <w:marRight w:val="0"/>
      <w:marTop w:val="0"/>
      <w:marBottom w:val="0"/>
      <w:divBdr>
        <w:top w:val="none" w:sz="0" w:space="0" w:color="auto"/>
        <w:left w:val="none" w:sz="0" w:space="0" w:color="auto"/>
        <w:bottom w:val="none" w:sz="0" w:space="0" w:color="auto"/>
        <w:right w:val="none" w:sz="0" w:space="0" w:color="auto"/>
      </w:divBdr>
    </w:div>
    <w:div w:id="270355801">
      <w:bodyDiv w:val="1"/>
      <w:marLeft w:val="0"/>
      <w:marRight w:val="0"/>
      <w:marTop w:val="0"/>
      <w:marBottom w:val="0"/>
      <w:divBdr>
        <w:top w:val="none" w:sz="0" w:space="0" w:color="auto"/>
        <w:left w:val="none" w:sz="0" w:space="0" w:color="auto"/>
        <w:bottom w:val="none" w:sz="0" w:space="0" w:color="auto"/>
        <w:right w:val="none" w:sz="0" w:space="0" w:color="auto"/>
      </w:divBdr>
    </w:div>
    <w:div w:id="271279319">
      <w:bodyDiv w:val="1"/>
      <w:marLeft w:val="0"/>
      <w:marRight w:val="0"/>
      <w:marTop w:val="0"/>
      <w:marBottom w:val="0"/>
      <w:divBdr>
        <w:top w:val="none" w:sz="0" w:space="0" w:color="auto"/>
        <w:left w:val="none" w:sz="0" w:space="0" w:color="auto"/>
        <w:bottom w:val="none" w:sz="0" w:space="0" w:color="auto"/>
        <w:right w:val="none" w:sz="0" w:space="0" w:color="auto"/>
      </w:divBdr>
    </w:div>
    <w:div w:id="274556972">
      <w:bodyDiv w:val="1"/>
      <w:marLeft w:val="0"/>
      <w:marRight w:val="0"/>
      <w:marTop w:val="0"/>
      <w:marBottom w:val="0"/>
      <w:divBdr>
        <w:top w:val="none" w:sz="0" w:space="0" w:color="auto"/>
        <w:left w:val="none" w:sz="0" w:space="0" w:color="auto"/>
        <w:bottom w:val="none" w:sz="0" w:space="0" w:color="auto"/>
        <w:right w:val="none" w:sz="0" w:space="0" w:color="auto"/>
      </w:divBdr>
    </w:div>
    <w:div w:id="275143451">
      <w:bodyDiv w:val="1"/>
      <w:marLeft w:val="0"/>
      <w:marRight w:val="0"/>
      <w:marTop w:val="0"/>
      <w:marBottom w:val="0"/>
      <w:divBdr>
        <w:top w:val="none" w:sz="0" w:space="0" w:color="auto"/>
        <w:left w:val="none" w:sz="0" w:space="0" w:color="auto"/>
        <w:bottom w:val="none" w:sz="0" w:space="0" w:color="auto"/>
        <w:right w:val="none" w:sz="0" w:space="0" w:color="auto"/>
      </w:divBdr>
    </w:div>
    <w:div w:id="276446132">
      <w:bodyDiv w:val="1"/>
      <w:marLeft w:val="0"/>
      <w:marRight w:val="0"/>
      <w:marTop w:val="0"/>
      <w:marBottom w:val="0"/>
      <w:divBdr>
        <w:top w:val="none" w:sz="0" w:space="0" w:color="auto"/>
        <w:left w:val="none" w:sz="0" w:space="0" w:color="auto"/>
        <w:bottom w:val="none" w:sz="0" w:space="0" w:color="auto"/>
        <w:right w:val="none" w:sz="0" w:space="0" w:color="auto"/>
      </w:divBdr>
    </w:div>
    <w:div w:id="279265562">
      <w:bodyDiv w:val="1"/>
      <w:marLeft w:val="0"/>
      <w:marRight w:val="0"/>
      <w:marTop w:val="0"/>
      <w:marBottom w:val="0"/>
      <w:divBdr>
        <w:top w:val="none" w:sz="0" w:space="0" w:color="auto"/>
        <w:left w:val="none" w:sz="0" w:space="0" w:color="auto"/>
        <w:bottom w:val="none" w:sz="0" w:space="0" w:color="auto"/>
        <w:right w:val="none" w:sz="0" w:space="0" w:color="auto"/>
      </w:divBdr>
    </w:div>
    <w:div w:id="280845496">
      <w:bodyDiv w:val="1"/>
      <w:marLeft w:val="0"/>
      <w:marRight w:val="0"/>
      <w:marTop w:val="0"/>
      <w:marBottom w:val="0"/>
      <w:divBdr>
        <w:top w:val="none" w:sz="0" w:space="0" w:color="auto"/>
        <w:left w:val="none" w:sz="0" w:space="0" w:color="auto"/>
        <w:bottom w:val="none" w:sz="0" w:space="0" w:color="auto"/>
        <w:right w:val="none" w:sz="0" w:space="0" w:color="auto"/>
      </w:divBdr>
    </w:div>
    <w:div w:id="281771970">
      <w:bodyDiv w:val="1"/>
      <w:marLeft w:val="0"/>
      <w:marRight w:val="0"/>
      <w:marTop w:val="0"/>
      <w:marBottom w:val="0"/>
      <w:divBdr>
        <w:top w:val="none" w:sz="0" w:space="0" w:color="auto"/>
        <w:left w:val="none" w:sz="0" w:space="0" w:color="auto"/>
        <w:bottom w:val="none" w:sz="0" w:space="0" w:color="auto"/>
        <w:right w:val="none" w:sz="0" w:space="0" w:color="auto"/>
      </w:divBdr>
    </w:div>
    <w:div w:id="282155831">
      <w:bodyDiv w:val="1"/>
      <w:marLeft w:val="0"/>
      <w:marRight w:val="0"/>
      <w:marTop w:val="0"/>
      <w:marBottom w:val="0"/>
      <w:divBdr>
        <w:top w:val="none" w:sz="0" w:space="0" w:color="auto"/>
        <w:left w:val="none" w:sz="0" w:space="0" w:color="auto"/>
        <w:bottom w:val="none" w:sz="0" w:space="0" w:color="auto"/>
        <w:right w:val="none" w:sz="0" w:space="0" w:color="auto"/>
      </w:divBdr>
    </w:div>
    <w:div w:id="282686759">
      <w:bodyDiv w:val="1"/>
      <w:marLeft w:val="0"/>
      <w:marRight w:val="0"/>
      <w:marTop w:val="0"/>
      <w:marBottom w:val="0"/>
      <w:divBdr>
        <w:top w:val="none" w:sz="0" w:space="0" w:color="auto"/>
        <w:left w:val="none" w:sz="0" w:space="0" w:color="auto"/>
        <w:bottom w:val="none" w:sz="0" w:space="0" w:color="auto"/>
        <w:right w:val="none" w:sz="0" w:space="0" w:color="auto"/>
      </w:divBdr>
    </w:div>
    <w:div w:id="282809134">
      <w:bodyDiv w:val="1"/>
      <w:marLeft w:val="0"/>
      <w:marRight w:val="0"/>
      <w:marTop w:val="0"/>
      <w:marBottom w:val="0"/>
      <w:divBdr>
        <w:top w:val="none" w:sz="0" w:space="0" w:color="auto"/>
        <w:left w:val="none" w:sz="0" w:space="0" w:color="auto"/>
        <w:bottom w:val="none" w:sz="0" w:space="0" w:color="auto"/>
        <w:right w:val="none" w:sz="0" w:space="0" w:color="auto"/>
      </w:divBdr>
    </w:div>
    <w:div w:id="283191339">
      <w:bodyDiv w:val="1"/>
      <w:marLeft w:val="0"/>
      <w:marRight w:val="0"/>
      <w:marTop w:val="0"/>
      <w:marBottom w:val="0"/>
      <w:divBdr>
        <w:top w:val="none" w:sz="0" w:space="0" w:color="auto"/>
        <w:left w:val="none" w:sz="0" w:space="0" w:color="auto"/>
        <w:bottom w:val="none" w:sz="0" w:space="0" w:color="auto"/>
        <w:right w:val="none" w:sz="0" w:space="0" w:color="auto"/>
      </w:divBdr>
    </w:div>
    <w:div w:id="288435461">
      <w:bodyDiv w:val="1"/>
      <w:marLeft w:val="0"/>
      <w:marRight w:val="0"/>
      <w:marTop w:val="0"/>
      <w:marBottom w:val="0"/>
      <w:divBdr>
        <w:top w:val="none" w:sz="0" w:space="0" w:color="auto"/>
        <w:left w:val="none" w:sz="0" w:space="0" w:color="auto"/>
        <w:bottom w:val="none" w:sz="0" w:space="0" w:color="auto"/>
        <w:right w:val="none" w:sz="0" w:space="0" w:color="auto"/>
      </w:divBdr>
    </w:div>
    <w:div w:id="290329692">
      <w:bodyDiv w:val="1"/>
      <w:marLeft w:val="0"/>
      <w:marRight w:val="0"/>
      <w:marTop w:val="0"/>
      <w:marBottom w:val="0"/>
      <w:divBdr>
        <w:top w:val="none" w:sz="0" w:space="0" w:color="auto"/>
        <w:left w:val="none" w:sz="0" w:space="0" w:color="auto"/>
        <w:bottom w:val="none" w:sz="0" w:space="0" w:color="auto"/>
        <w:right w:val="none" w:sz="0" w:space="0" w:color="auto"/>
      </w:divBdr>
    </w:div>
    <w:div w:id="290330875">
      <w:bodyDiv w:val="1"/>
      <w:marLeft w:val="0"/>
      <w:marRight w:val="0"/>
      <w:marTop w:val="0"/>
      <w:marBottom w:val="0"/>
      <w:divBdr>
        <w:top w:val="none" w:sz="0" w:space="0" w:color="auto"/>
        <w:left w:val="none" w:sz="0" w:space="0" w:color="auto"/>
        <w:bottom w:val="none" w:sz="0" w:space="0" w:color="auto"/>
        <w:right w:val="none" w:sz="0" w:space="0" w:color="auto"/>
      </w:divBdr>
    </w:div>
    <w:div w:id="297147222">
      <w:bodyDiv w:val="1"/>
      <w:marLeft w:val="0"/>
      <w:marRight w:val="0"/>
      <w:marTop w:val="0"/>
      <w:marBottom w:val="0"/>
      <w:divBdr>
        <w:top w:val="none" w:sz="0" w:space="0" w:color="auto"/>
        <w:left w:val="none" w:sz="0" w:space="0" w:color="auto"/>
        <w:bottom w:val="none" w:sz="0" w:space="0" w:color="auto"/>
        <w:right w:val="none" w:sz="0" w:space="0" w:color="auto"/>
      </w:divBdr>
    </w:div>
    <w:div w:id="297222347">
      <w:bodyDiv w:val="1"/>
      <w:marLeft w:val="0"/>
      <w:marRight w:val="0"/>
      <w:marTop w:val="0"/>
      <w:marBottom w:val="0"/>
      <w:divBdr>
        <w:top w:val="none" w:sz="0" w:space="0" w:color="auto"/>
        <w:left w:val="none" w:sz="0" w:space="0" w:color="auto"/>
        <w:bottom w:val="none" w:sz="0" w:space="0" w:color="auto"/>
        <w:right w:val="none" w:sz="0" w:space="0" w:color="auto"/>
      </w:divBdr>
    </w:div>
    <w:div w:id="299002858">
      <w:bodyDiv w:val="1"/>
      <w:marLeft w:val="0"/>
      <w:marRight w:val="0"/>
      <w:marTop w:val="0"/>
      <w:marBottom w:val="0"/>
      <w:divBdr>
        <w:top w:val="none" w:sz="0" w:space="0" w:color="auto"/>
        <w:left w:val="none" w:sz="0" w:space="0" w:color="auto"/>
        <w:bottom w:val="none" w:sz="0" w:space="0" w:color="auto"/>
        <w:right w:val="none" w:sz="0" w:space="0" w:color="auto"/>
      </w:divBdr>
    </w:div>
    <w:div w:id="303898619">
      <w:bodyDiv w:val="1"/>
      <w:marLeft w:val="0"/>
      <w:marRight w:val="0"/>
      <w:marTop w:val="0"/>
      <w:marBottom w:val="0"/>
      <w:divBdr>
        <w:top w:val="none" w:sz="0" w:space="0" w:color="auto"/>
        <w:left w:val="none" w:sz="0" w:space="0" w:color="auto"/>
        <w:bottom w:val="none" w:sz="0" w:space="0" w:color="auto"/>
        <w:right w:val="none" w:sz="0" w:space="0" w:color="auto"/>
      </w:divBdr>
    </w:div>
    <w:div w:id="305940737">
      <w:bodyDiv w:val="1"/>
      <w:marLeft w:val="0"/>
      <w:marRight w:val="0"/>
      <w:marTop w:val="0"/>
      <w:marBottom w:val="0"/>
      <w:divBdr>
        <w:top w:val="none" w:sz="0" w:space="0" w:color="auto"/>
        <w:left w:val="none" w:sz="0" w:space="0" w:color="auto"/>
        <w:bottom w:val="none" w:sz="0" w:space="0" w:color="auto"/>
        <w:right w:val="none" w:sz="0" w:space="0" w:color="auto"/>
      </w:divBdr>
    </w:div>
    <w:div w:id="308436817">
      <w:bodyDiv w:val="1"/>
      <w:marLeft w:val="0"/>
      <w:marRight w:val="0"/>
      <w:marTop w:val="0"/>
      <w:marBottom w:val="0"/>
      <w:divBdr>
        <w:top w:val="none" w:sz="0" w:space="0" w:color="auto"/>
        <w:left w:val="none" w:sz="0" w:space="0" w:color="auto"/>
        <w:bottom w:val="none" w:sz="0" w:space="0" w:color="auto"/>
        <w:right w:val="none" w:sz="0" w:space="0" w:color="auto"/>
      </w:divBdr>
    </w:div>
    <w:div w:id="311562750">
      <w:bodyDiv w:val="1"/>
      <w:marLeft w:val="0"/>
      <w:marRight w:val="0"/>
      <w:marTop w:val="0"/>
      <w:marBottom w:val="0"/>
      <w:divBdr>
        <w:top w:val="none" w:sz="0" w:space="0" w:color="auto"/>
        <w:left w:val="none" w:sz="0" w:space="0" w:color="auto"/>
        <w:bottom w:val="none" w:sz="0" w:space="0" w:color="auto"/>
        <w:right w:val="none" w:sz="0" w:space="0" w:color="auto"/>
      </w:divBdr>
    </w:div>
    <w:div w:id="312611498">
      <w:bodyDiv w:val="1"/>
      <w:marLeft w:val="0"/>
      <w:marRight w:val="0"/>
      <w:marTop w:val="0"/>
      <w:marBottom w:val="0"/>
      <w:divBdr>
        <w:top w:val="none" w:sz="0" w:space="0" w:color="auto"/>
        <w:left w:val="none" w:sz="0" w:space="0" w:color="auto"/>
        <w:bottom w:val="none" w:sz="0" w:space="0" w:color="auto"/>
        <w:right w:val="none" w:sz="0" w:space="0" w:color="auto"/>
      </w:divBdr>
    </w:div>
    <w:div w:id="314262726">
      <w:bodyDiv w:val="1"/>
      <w:marLeft w:val="0"/>
      <w:marRight w:val="0"/>
      <w:marTop w:val="0"/>
      <w:marBottom w:val="0"/>
      <w:divBdr>
        <w:top w:val="none" w:sz="0" w:space="0" w:color="auto"/>
        <w:left w:val="none" w:sz="0" w:space="0" w:color="auto"/>
        <w:bottom w:val="none" w:sz="0" w:space="0" w:color="auto"/>
        <w:right w:val="none" w:sz="0" w:space="0" w:color="auto"/>
      </w:divBdr>
    </w:div>
    <w:div w:id="315884189">
      <w:bodyDiv w:val="1"/>
      <w:marLeft w:val="0"/>
      <w:marRight w:val="0"/>
      <w:marTop w:val="0"/>
      <w:marBottom w:val="0"/>
      <w:divBdr>
        <w:top w:val="none" w:sz="0" w:space="0" w:color="auto"/>
        <w:left w:val="none" w:sz="0" w:space="0" w:color="auto"/>
        <w:bottom w:val="none" w:sz="0" w:space="0" w:color="auto"/>
        <w:right w:val="none" w:sz="0" w:space="0" w:color="auto"/>
      </w:divBdr>
    </w:div>
    <w:div w:id="317657733">
      <w:bodyDiv w:val="1"/>
      <w:marLeft w:val="0"/>
      <w:marRight w:val="0"/>
      <w:marTop w:val="0"/>
      <w:marBottom w:val="0"/>
      <w:divBdr>
        <w:top w:val="none" w:sz="0" w:space="0" w:color="auto"/>
        <w:left w:val="none" w:sz="0" w:space="0" w:color="auto"/>
        <w:bottom w:val="none" w:sz="0" w:space="0" w:color="auto"/>
        <w:right w:val="none" w:sz="0" w:space="0" w:color="auto"/>
      </w:divBdr>
    </w:div>
    <w:div w:id="319772127">
      <w:bodyDiv w:val="1"/>
      <w:marLeft w:val="0"/>
      <w:marRight w:val="0"/>
      <w:marTop w:val="0"/>
      <w:marBottom w:val="0"/>
      <w:divBdr>
        <w:top w:val="none" w:sz="0" w:space="0" w:color="auto"/>
        <w:left w:val="none" w:sz="0" w:space="0" w:color="auto"/>
        <w:bottom w:val="none" w:sz="0" w:space="0" w:color="auto"/>
        <w:right w:val="none" w:sz="0" w:space="0" w:color="auto"/>
      </w:divBdr>
    </w:div>
    <w:div w:id="320305700">
      <w:bodyDiv w:val="1"/>
      <w:marLeft w:val="0"/>
      <w:marRight w:val="0"/>
      <w:marTop w:val="0"/>
      <w:marBottom w:val="0"/>
      <w:divBdr>
        <w:top w:val="none" w:sz="0" w:space="0" w:color="auto"/>
        <w:left w:val="none" w:sz="0" w:space="0" w:color="auto"/>
        <w:bottom w:val="none" w:sz="0" w:space="0" w:color="auto"/>
        <w:right w:val="none" w:sz="0" w:space="0" w:color="auto"/>
      </w:divBdr>
    </w:div>
    <w:div w:id="322659037">
      <w:bodyDiv w:val="1"/>
      <w:marLeft w:val="0"/>
      <w:marRight w:val="0"/>
      <w:marTop w:val="0"/>
      <w:marBottom w:val="0"/>
      <w:divBdr>
        <w:top w:val="none" w:sz="0" w:space="0" w:color="auto"/>
        <w:left w:val="none" w:sz="0" w:space="0" w:color="auto"/>
        <w:bottom w:val="none" w:sz="0" w:space="0" w:color="auto"/>
        <w:right w:val="none" w:sz="0" w:space="0" w:color="auto"/>
      </w:divBdr>
    </w:div>
    <w:div w:id="323896848">
      <w:bodyDiv w:val="1"/>
      <w:marLeft w:val="0"/>
      <w:marRight w:val="0"/>
      <w:marTop w:val="0"/>
      <w:marBottom w:val="0"/>
      <w:divBdr>
        <w:top w:val="none" w:sz="0" w:space="0" w:color="auto"/>
        <w:left w:val="none" w:sz="0" w:space="0" w:color="auto"/>
        <w:bottom w:val="none" w:sz="0" w:space="0" w:color="auto"/>
        <w:right w:val="none" w:sz="0" w:space="0" w:color="auto"/>
      </w:divBdr>
    </w:div>
    <w:div w:id="325522463">
      <w:bodyDiv w:val="1"/>
      <w:marLeft w:val="0"/>
      <w:marRight w:val="0"/>
      <w:marTop w:val="0"/>
      <w:marBottom w:val="0"/>
      <w:divBdr>
        <w:top w:val="none" w:sz="0" w:space="0" w:color="auto"/>
        <w:left w:val="none" w:sz="0" w:space="0" w:color="auto"/>
        <w:bottom w:val="none" w:sz="0" w:space="0" w:color="auto"/>
        <w:right w:val="none" w:sz="0" w:space="0" w:color="auto"/>
      </w:divBdr>
    </w:div>
    <w:div w:id="328024473">
      <w:bodyDiv w:val="1"/>
      <w:marLeft w:val="0"/>
      <w:marRight w:val="0"/>
      <w:marTop w:val="0"/>
      <w:marBottom w:val="0"/>
      <w:divBdr>
        <w:top w:val="none" w:sz="0" w:space="0" w:color="auto"/>
        <w:left w:val="none" w:sz="0" w:space="0" w:color="auto"/>
        <w:bottom w:val="none" w:sz="0" w:space="0" w:color="auto"/>
        <w:right w:val="none" w:sz="0" w:space="0" w:color="auto"/>
      </w:divBdr>
    </w:div>
    <w:div w:id="328095106">
      <w:bodyDiv w:val="1"/>
      <w:marLeft w:val="0"/>
      <w:marRight w:val="0"/>
      <w:marTop w:val="0"/>
      <w:marBottom w:val="0"/>
      <w:divBdr>
        <w:top w:val="none" w:sz="0" w:space="0" w:color="auto"/>
        <w:left w:val="none" w:sz="0" w:space="0" w:color="auto"/>
        <w:bottom w:val="none" w:sz="0" w:space="0" w:color="auto"/>
        <w:right w:val="none" w:sz="0" w:space="0" w:color="auto"/>
      </w:divBdr>
    </w:div>
    <w:div w:id="328489270">
      <w:bodyDiv w:val="1"/>
      <w:marLeft w:val="0"/>
      <w:marRight w:val="0"/>
      <w:marTop w:val="0"/>
      <w:marBottom w:val="0"/>
      <w:divBdr>
        <w:top w:val="none" w:sz="0" w:space="0" w:color="auto"/>
        <w:left w:val="none" w:sz="0" w:space="0" w:color="auto"/>
        <w:bottom w:val="none" w:sz="0" w:space="0" w:color="auto"/>
        <w:right w:val="none" w:sz="0" w:space="0" w:color="auto"/>
      </w:divBdr>
    </w:div>
    <w:div w:id="328559284">
      <w:bodyDiv w:val="1"/>
      <w:marLeft w:val="0"/>
      <w:marRight w:val="0"/>
      <w:marTop w:val="0"/>
      <w:marBottom w:val="0"/>
      <w:divBdr>
        <w:top w:val="none" w:sz="0" w:space="0" w:color="auto"/>
        <w:left w:val="none" w:sz="0" w:space="0" w:color="auto"/>
        <w:bottom w:val="none" w:sz="0" w:space="0" w:color="auto"/>
        <w:right w:val="none" w:sz="0" w:space="0" w:color="auto"/>
      </w:divBdr>
    </w:div>
    <w:div w:id="3326832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658704">
      <w:bodyDiv w:val="1"/>
      <w:marLeft w:val="0"/>
      <w:marRight w:val="0"/>
      <w:marTop w:val="0"/>
      <w:marBottom w:val="0"/>
      <w:divBdr>
        <w:top w:val="none" w:sz="0" w:space="0" w:color="auto"/>
        <w:left w:val="none" w:sz="0" w:space="0" w:color="auto"/>
        <w:bottom w:val="none" w:sz="0" w:space="0" w:color="auto"/>
        <w:right w:val="none" w:sz="0" w:space="0" w:color="auto"/>
      </w:divBdr>
    </w:div>
    <w:div w:id="336882928">
      <w:bodyDiv w:val="1"/>
      <w:marLeft w:val="0"/>
      <w:marRight w:val="0"/>
      <w:marTop w:val="0"/>
      <w:marBottom w:val="0"/>
      <w:divBdr>
        <w:top w:val="none" w:sz="0" w:space="0" w:color="auto"/>
        <w:left w:val="none" w:sz="0" w:space="0" w:color="auto"/>
        <w:bottom w:val="none" w:sz="0" w:space="0" w:color="auto"/>
        <w:right w:val="none" w:sz="0" w:space="0" w:color="auto"/>
      </w:divBdr>
    </w:div>
    <w:div w:id="337464616">
      <w:bodyDiv w:val="1"/>
      <w:marLeft w:val="0"/>
      <w:marRight w:val="0"/>
      <w:marTop w:val="0"/>
      <w:marBottom w:val="0"/>
      <w:divBdr>
        <w:top w:val="none" w:sz="0" w:space="0" w:color="auto"/>
        <w:left w:val="none" w:sz="0" w:space="0" w:color="auto"/>
        <w:bottom w:val="none" w:sz="0" w:space="0" w:color="auto"/>
        <w:right w:val="none" w:sz="0" w:space="0" w:color="auto"/>
      </w:divBdr>
    </w:div>
    <w:div w:id="337852758">
      <w:bodyDiv w:val="1"/>
      <w:marLeft w:val="0"/>
      <w:marRight w:val="0"/>
      <w:marTop w:val="0"/>
      <w:marBottom w:val="0"/>
      <w:divBdr>
        <w:top w:val="none" w:sz="0" w:space="0" w:color="auto"/>
        <w:left w:val="none" w:sz="0" w:space="0" w:color="auto"/>
        <w:bottom w:val="none" w:sz="0" w:space="0" w:color="auto"/>
        <w:right w:val="none" w:sz="0" w:space="0" w:color="auto"/>
      </w:divBdr>
    </w:div>
    <w:div w:id="341397392">
      <w:bodyDiv w:val="1"/>
      <w:marLeft w:val="0"/>
      <w:marRight w:val="0"/>
      <w:marTop w:val="0"/>
      <w:marBottom w:val="0"/>
      <w:divBdr>
        <w:top w:val="none" w:sz="0" w:space="0" w:color="auto"/>
        <w:left w:val="none" w:sz="0" w:space="0" w:color="auto"/>
        <w:bottom w:val="none" w:sz="0" w:space="0" w:color="auto"/>
        <w:right w:val="none" w:sz="0" w:space="0" w:color="auto"/>
      </w:divBdr>
    </w:div>
    <w:div w:id="34139852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596912">
      <w:bodyDiv w:val="1"/>
      <w:marLeft w:val="0"/>
      <w:marRight w:val="0"/>
      <w:marTop w:val="0"/>
      <w:marBottom w:val="0"/>
      <w:divBdr>
        <w:top w:val="none" w:sz="0" w:space="0" w:color="auto"/>
        <w:left w:val="none" w:sz="0" w:space="0" w:color="auto"/>
        <w:bottom w:val="none" w:sz="0" w:space="0" w:color="auto"/>
        <w:right w:val="none" w:sz="0" w:space="0" w:color="auto"/>
      </w:divBdr>
    </w:div>
    <w:div w:id="344788033">
      <w:bodyDiv w:val="1"/>
      <w:marLeft w:val="0"/>
      <w:marRight w:val="0"/>
      <w:marTop w:val="0"/>
      <w:marBottom w:val="0"/>
      <w:divBdr>
        <w:top w:val="none" w:sz="0" w:space="0" w:color="auto"/>
        <w:left w:val="none" w:sz="0" w:space="0" w:color="auto"/>
        <w:bottom w:val="none" w:sz="0" w:space="0" w:color="auto"/>
        <w:right w:val="none" w:sz="0" w:space="0" w:color="auto"/>
      </w:divBdr>
    </w:div>
    <w:div w:id="345981468">
      <w:bodyDiv w:val="1"/>
      <w:marLeft w:val="0"/>
      <w:marRight w:val="0"/>
      <w:marTop w:val="0"/>
      <w:marBottom w:val="0"/>
      <w:divBdr>
        <w:top w:val="none" w:sz="0" w:space="0" w:color="auto"/>
        <w:left w:val="none" w:sz="0" w:space="0" w:color="auto"/>
        <w:bottom w:val="none" w:sz="0" w:space="0" w:color="auto"/>
        <w:right w:val="none" w:sz="0" w:space="0" w:color="auto"/>
      </w:divBdr>
    </w:div>
    <w:div w:id="348145555">
      <w:bodyDiv w:val="1"/>
      <w:marLeft w:val="0"/>
      <w:marRight w:val="0"/>
      <w:marTop w:val="0"/>
      <w:marBottom w:val="0"/>
      <w:divBdr>
        <w:top w:val="none" w:sz="0" w:space="0" w:color="auto"/>
        <w:left w:val="none" w:sz="0" w:space="0" w:color="auto"/>
        <w:bottom w:val="none" w:sz="0" w:space="0" w:color="auto"/>
        <w:right w:val="none" w:sz="0" w:space="0" w:color="auto"/>
      </w:divBdr>
    </w:div>
    <w:div w:id="348416237">
      <w:bodyDiv w:val="1"/>
      <w:marLeft w:val="0"/>
      <w:marRight w:val="0"/>
      <w:marTop w:val="0"/>
      <w:marBottom w:val="0"/>
      <w:divBdr>
        <w:top w:val="none" w:sz="0" w:space="0" w:color="auto"/>
        <w:left w:val="none" w:sz="0" w:space="0" w:color="auto"/>
        <w:bottom w:val="none" w:sz="0" w:space="0" w:color="auto"/>
        <w:right w:val="none" w:sz="0" w:space="0" w:color="auto"/>
      </w:divBdr>
    </w:div>
    <w:div w:id="350181039">
      <w:bodyDiv w:val="1"/>
      <w:marLeft w:val="0"/>
      <w:marRight w:val="0"/>
      <w:marTop w:val="0"/>
      <w:marBottom w:val="0"/>
      <w:divBdr>
        <w:top w:val="none" w:sz="0" w:space="0" w:color="auto"/>
        <w:left w:val="none" w:sz="0" w:space="0" w:color="auto"/>
        <w:bottom w:val="none" w:sz="0" w:space="0" w:color="auto"/>
        <w:right w:val="none" w:sz="0" w:space="0" w:color="auto"/>
      </w:divBdr>
    </w:div>
    <w:div w:id="351078409">
      <w:bodyDiv w:val="1"/>
      <w:marLeft w:val="0"/>
      <w:marRight w:val="0"/>
      <w:marTop w:val="0"/>
      <w:marBottom w:val="0"/>
      <w:divBdr>
        <w:top w:val="none" w:sz="0" w:space="0" w:color="auto"/>
        <w:left w:val="none" w:sz="0" w:space="0" w:color="auto"/>
        <w:bottom w:val="none" w:sz="0" w:space="0" w:color="auto"/>
        <w:right w:val="none" w:sz="0" w:space="0" w:color="auto"/>
      </w:divBdr>
    </w:div>
    <w:div w:id="351497887">
      <w:bodyDiv w:val="1"/>
      <w:marLeft w:val="0"/>
      <w:marRight w:val="0"/>
      <w:marTop w:val="0"/>
      <w:marBottom w:val="0"/>
      <w:divBdr>
        <w:top w:val="none" w:sz="0" w:space="0" w:color="auto"/>
        <w:left w:val="none" w:sz="0" w:space="0" w:color="auto"/>
        <w:bottom w:val="none" w:sz="0" w:space="0" w:color="auto"/>
        <w:right w:val="none" w:sz="0" w:space="0" w:color="auto"/>
      </w:divBdr>
    </w:div>
    <w:div w:id="352653326">
      <w:bodyDiv w:val="1"/>
      <w:marLeft w:val="0"/>
      <w:marRight w:val="0"/>
      <w:marTop w:val="0"/>
      <w:marBottom w:val="0"/>
      <w:divBdr>
        <w:top w:val="none" w:sz="0" w:space="0" w:color="auto"/>
        <w:left w:val="none" w:sz="0" w:space="0" w:color="auto"/>
        <w:bottom w:val="none" w:sz="0" w:space="0" w:color="auto"/>
        <w:right w:val="none" w:sz="0" w:space="0" w:color="auto"/>
      </w:divBdr>
    </w:div>
    <w:div w:id="357245304">
      <w:bodyDiv w:val="1"/>
      <w:marLeft w:val="0"/>
      <w:marRight w:val="0"/>
      <w:marTop w:val="0"/>
      <w:marBottom w:val="0"/>
      <w:divBdr>
        <w:top w:val="none" w:sz="0" w:space="0" w:color="auto"/>
        <w:left w:val="none" w:sz="0" w:space="0" w:color="auto"/>
        <w:bottom w:val="none" w:sz="0" w:space="0" w:color="auto"/>
        <w:right w:val="none" w:sz="0" w:space="0" w:color="auto"/>
      </w:divBdr>
    </w:div>
    <w:div w:id="357434046">
      <w:bodyDiv w:val="1"/>
      <w:marLeft w:val="0"/>
      <w:marRight w:val="0"/>
      <w:marTop w:val="0"/>
      <w:marBottom w:val="0"/>
      <w:divBdr>
        <w:top w:val="none" w:sz="0" w:space="0" w:color="auto"/>
        <w:left w:val="none" w:sz="0" w:space="0" w:color="auto"/>
        <w:bottom w:val="none" w:sz="0" w:space="0" w:color="auto"/>
        <w:right w:val="none" w:sz="0" w:space="0" w:color="auto"/>
      </w:divBdr>
    </w:div>
    <w:div w:id="359671021">
      <w:bodyDiv w:val="1"/>
      <w:marLeft w:val="0"/>
      <w:marRight w:val="0"/>
      <w:marTop w:val="0"/>
      <w:marBottom w:val="0"/>
      <w:divBdr>
        <w:top w:val="none" w:sz="0" w:space="0" w:color="auto"/>
        <w:left w:val="none" w:sz="0" w:space="0" w:color="auto"/>
        <w:bottom w:val="none" w:sz="0" w:space="0" w:color="auto"/>
        <w:right w:val="none" w:sz="0" w:space="0" w:color="auto"/>
      </w:divBdr>
    </w:div>
    <w:div w:id="365300250">
      <w:bodyDiv w:val="1"/>
      <w:marLeft w:val="0"/>
      <w:marRight w:val="0"/>
      <w:marTop w:val="0"/>
      <w:marBottom w:val="0"/>
      <w:divBdr>
        <w:top w:val="none" w:sz="0" w:space="0" w:color="auto"/>
        <w:left w:val="none" w:sz="0" w:space="0" w:color="auto"/>
        <w:bottom w:val="none" w:sz="0" w:space="0" w:color="auto"/>
        <w:right w:val="none" w:sz="0" w:space="0" w:color="auto"/>
      </w:divBdr>
    </w:div>
    <w:div w:id="365957058">
      <w:bodyDiv w:val="1"/>
      <w:marLeft w:val="0"/>
      <w:marRight w:val="0"/>
      <w:marTop w:val="0"/>
      <w:marBottom w:val="0"/>
      <w:divBdr>
        <w:top w:val="none" w:sz="0" w:space="0" w:color="auto"/>
        <w:left w:val="none" w:sz="0" w:space="0" w:color="auto"/>
        <w:bottom w:val="none" w:sz="0" w:space="0" w:color="auto"/>
        <w:right w:val="none" w:sz="0" w:space="0" w:color="auto"/>
      </w:divBdr>
    </w:div>
    <w:div w:id="366489987">
      <w:bodyDiv w:val="1"/>
      <w:marLeft w:val="0"/>
      <w:marRight w:val="0"/>
      <w:marTop w:val="0"/>
      <w:marBottom w:val="0"/>
      <w:divBdr>
        <w:top w:val="none" w:sz="0" w:space="0" w:color="auto"/>
        <w:left w:val="none" w:sz="0" w:space="0" w:color="auto"/>
        <w:bottom w:val="none" w:sz="0" w:space="0" w:color="auto"/>
        <w:right w:val="none" w:sz="0" w:space="0" w:color="auto"/>
      </w:divBdr>
    </w:div>
    <w:div w:id="368065269">
      <w:bodyDiv w:val="1"/>
      <w:marLeft w:val="0"/>
      <w:marRight w:val="0"/>
      <w:marTop w:val="0"/>
      <w:marBottom w:val="0"/>
      <w:divBdr>
        <w:top w:val="none" w:sz="0" w:space="0" w:color="auto"/>
        <w:left w:val="none" w:sz="0" w:space="0" w:color="auto"/>
        <w:bottom w:val="none" w:sz="0" w:space="0" w:color="auto"/>
        <w:right w:val="none" w:sz="0" w:space="0" w:color="auto"/>
      </w:divBdr>
    </w:div>
    <w:div w:id="371811999">
      <w:bodyDiv w:val="1"/>
      <w:marLeft w:val="0"/>
      <w:marRight w:val="0"/>
      <w:marTop w:val="0"/>
      <w:marBottom w:val="0"/>
      <w:divBdr>
        <w:top w:val="none" w:sz="0" w:space="0" w:color="auto"/>
        <w:left w:val="none" w:sz="0" w:space="0" w:color="auto"/>
        <w:bottom w:val="none" w:sz="0" w:space="0" w:color="auto"/>
        <w:right w:val="none" w:sz="0" w:space="0" w:color="auto"/>
      </w:divBdr>
    </w:div>
    <w:div w:id="372728151">
      <w:bodyDiv w:val="1"/>
      <w:marLeft w:val="0"/>
      <w:marRight w:val="0"/>
      <w:marTop w:val="0"/>
      <w:marBottom w:val="0"/>
      <w:divBdr>
        <w:top w:val="none" w:sz="0" w:space="0" w:color="auto"/>
        <w:left w:val="none" w:sz="0" w:space="0" w:color="auto"/>
        <w:bottom w:val="none" w:sz="0" w:space="0" w:color="auto"/>
        <w:right w:val="none" w:sz="0" w:space="0" w:color="auto"/>
      </w:divBdr>
    </w:div>
    <w:div w:id="374163949">
      <w:bodyDiv w:val="1"/>
      <w:marLeft w:val="0"/>
      <w:marRight w:val="0"/>
      <w:marTop w:val="0"/>
      <w:marBottom w:val="0"/>
      <w:divBdr>
        <w:top w:val="none" w:sz="0" w:space="0" w:color="auto"/>
        <w:left w:val="none" w:sz="0" w:space="0" w:color="auto"/>
        <w:bottom w:val="none" w:sz="0" w:space="0" w:color="auto"/>
        <w:right w:val="none" w:sz="0" w:space="0" w:color="auto"/>
      </w:divBdr>
    </w:div>
    <w:div w:id="377048775">
      <w:bodyDiv w:val="1"/>
      <w:marLeft w:val="0"/>
      <w:marRight w:val="0"/>
      <w:marTop w:val="0"/>
      <w:marBottom w:val="0"/>
      <w:divBdr>
        <w:top w:val="none" w:sz="0" w:space="0" w:color="auto"/>
        <w:left w:val="none" w:sz="0" w:space="0" w:color="auto"/>
        <w:bottom w:val="none" w:sz="0" w:space="0" w:color="auto"/>
        <w:right w:val="none" w:sz="0" w:space="0" w:color="auto"/>
      </w:divBdr>
    </w:div>
    <w:div w:id="378669343">
      <w:bodyDiv w:val="1"/>
      <w:marLeft w:val="0"/>
      <w:marRight w:val="0"/>
      <w:marTop w:val="0"/>
      <w:marBottom w:val="0"/>
      <w:divBdr>
        <w:top w:val="none" w:sz="0" w:space="0" w:color="auto"/>
        <w:left w:val="none" w:sz="0" w:space="0" w:color="auto"/>
        <w:bottom w:val="none" w:sz="0" w:space="0" w:color="auto"/>
        <w:right w:val="none" w:sz="0" w:space="0" w:color="auto"/>
      </w:divBdr>
    </w:div>
    <w:div w:id="379936505">
      <w:bodyDiv w:val="1"/>
      <w:marLeft w:val="0"/>
      <w:marRight w:val="0"/>
      <w:marTop w:val="0"/>
      <w:marBottom w:val="0"/>
      <w:divBdr>
        <w:top w:val="none" w:sz="0" w:space="0" w:color="auto"/>
        <w:left w:val="none" w:sz="0" w:space="0" w:color="auto"/>
        <w:bottom w:val="none" w:sz="0" w:space="0" w:color="auto"/>
        <w:right w:val="none" w:sz="0" w:space="0" w:color="auto"/>
      </w:divBdr>
    </w:div>
    <w:div w:id="385492921">
      <w:bodyDiv w:val="1"/>
      <w:marLeft w:val="0"/>
      <w:marRight w:val="0"/>
      <w:marTop w:val="0"/>
      <w:marBottom w:val="0"/>
      <w:divBdr>
        <w:top w:val="none" w:sz="0" w:space="0" w:color="auto"/>
        <w:left w:val="none" w:sz="0" w:space="0" w:color="auto"/>
        <w:bottom w:val="none" w:sz="0" w:space="0" w:color="auto"/>
        <w:right w:val="none" w:sz="0" w:space="0" w:color="auto"/>
      </w:divBdr>
    </w:div>
    <w:div w:id="385955991">
      <w:bodyDiv w:val="1"/>
      <w:marLeft w:val="0"/>
      <w:marRight w:val="0"/>
      <w:marTop w:val="0"/>
      <w:marBottom w:val="0"/>
      <w:divBdr>
        <w:top w:val="none" w:sz="0" w:space="0" w:color="auto"/>
        <w:left w:val="none" w:sz="0" w:space="0" w:color="auto"/>
        <w:bottom w:val="none" w:sz="0" w:space="0" w:color="auto"/>
        <w:right w:val="none" w:sz="0" w:space="0" w:color="auto"/>
      </w:divBdr>
    </w:div>
    <w:div w:id="386150215">
      <w:bodyDiv w:val="1"/>
      <w:marLeft w:val="0"/>
      <w:marRight w:val="0"/>
      <w:marTop w:val="0"/>
      <w:marBottom w:val="0"/>
      <w:divBdr>
        <w:top w:val="none" w:sz="0" w:space="0" w:color="auto"/>
        <w:left w:val="none" w:sz="0" w:space="0" w:color="auto"/>
        <w:bottom w:val="none" w:sz="0" w:space="0" w:color="auto"/>
        <w:right w:val="none" w:sz="0" w:space="0" w:color="auto"/>
      </w:divBdr>
    </w:div>
    <w:div w:id="386537794">
      <w:bodyDiv w:val="1"/>
      <w:marLeft w:val="0"/>
      <w:marRight w:val="0"/>
      <w:marTop w:val="0"/>
      <w:marBottom w:val="0"/>
      <w:divBdr>
        <w:top w:val="none" w:sz="0" w:space="0" w:color="auto"/>
        <w:left w:val="none" w:sz="0" w:space="0" w:color="auto"/>
        <w:bottom w:val="none" w:sz="0" w:space="0" w:color="auto"/>
        <w:right w:val="none" w:sz="0" w:space="0" w:color="auto"/>
      </w:divBdr>
    </w:div>
    <w:div w:id="386607114">
      <w:bodyDiv w:val="1"/>
      <w:marLeft w:val="0"/>
      <w:marRight w:val="0"/>
      <w:marTop w:val="0"/>
      <w:marBottom w:val="0"/>
      <w:divBdr>
        <w:top w:val="none" w:sz="0" w:space="0" w:color="auto"/>
        <w:left w:val="none" w:sz="0" w:space="0" w:color="auto"/>
        <w:bottom w:val="none" w:sz="0" w:space="0" w:color="auto"/>
        <w:right w:val="none" w:sz="0" w:space="0" w:color="auto"/>
      </w:divBdr>
    </w:div>
    <w:div w:id="387068105">
      <w:bodyDiv w:val="1"/>
      <w:marLeft w:val="0"/>
      <w:marRight w:val="0"/>
      <w:marTop w:val="0"/>
      <w:marBottom w:val="0"/>
      <w:divBdr>
        <w:top w:val="none" w:sz="0" w:space="0" w:color="auto"/>
        <w:left w:val="none" w:sz="0" w:space="0" w:color="auto"/>
        <w:bottom w:val="none" w:sz="0" w:space="0" w:color="auto"/>
        <w:right w:val="none" w:sz="0" w:space="0" w:color="auto"/>
      </w:divBdr>
    </w:div>
    <w:div w:id="387071193">
      <w:bodyDiv w:val="1"/>
      <w:marLeft w:val="0"/>
      <w:marRight w:val="0"/>
      <w:marTop w:val="0"/>
      <w:marBottom w:val="0"/>
      <w:divBdr>
        <w:top w:val="none" w:sz="0" w:space="0" w:color="auto"/>
        <w:left w:val="none" w:sz="0" w:space="0" w:color="auto"/>
        <w:bottom w:val="none" w:sz="0" w:space="0" w:color="auto"/>
        <w:right w:val="none" w:sz="0" w:space="0" w:color="auto"/>
      </w:divBdr>
    </w:div>
    <w:div w:id="389498790">
      <w:bodyDiv w:val="1"/>
      <w:marLeft w:val="0"/>
      <w:marRight w:val="0"/>
      <w:marTop w:val="0"/>
      <w:marBottom w:val="0"/>
      <w:divBdr>
        <w:top w:val="none" w:sz="0" w:space="0" w:color="auto"/>
        <w:left w:val="none" w:sz="0" w:space="0" w:color="auto"/>
        <w:bottom w:val="none" w:sz="0" w:space="0" w:color="auto"/>
        <w:right w:val="none" w:sz="0" w:space="0" w:color="auto"/>
      </w:divBdr>
    </w:div>
    <w:div w:id="392394518">
      <w:bodyDiv w:val="1"/>
      <w:marLeft w:val="0"/>
      <w:marRight w:val="0"/>
      <w:marTop w:val="0"/>
      <w:marBottom w:val="0"/>
      <w:divBdr>
        <w:top w:val="none" w:sz="0" w:space="0" w:color="auto"/>
        <w:left w:val="none" w:sz="0" w:space="0" w:color="auto"/>
        <w:bottom w:val="none" w:sz="0" w:space="0" w:color="auto"/>
        <w:right w:val="none" w:sz="0" w:space="0" w:color="auto"/>
      </w:divBdr>
    </w:div>
    <w:div w:id="392701292">
      <w:bodyDiv w:val="1"/>
      <w:marLeft w:val="0"/>
      <w:marRight w:val="0"/>
      <w:marTop w:val="0"/>
      <w:marBottom w:val="0"/>
      <w:divBdr>
        <w:top w:val="none" w:sz="0" w:space="0" w:color="auto"/>
        <w:left w:val="none" w:sz="0" w:space="0" w:color="auto"/>
        <w:bottom w:val="none" w:sz="0" w:space="0" w:color="auto"/>
        <w:right w:val="none" w:sz="0" w:space="0" w:color="auto"/>
      </w:divBdr>
    </w:div>
    <w:div w:id="393242115">
      <w:bodyDiv w:val="1"/>
      <w:marLeft w:val="0"/>
      <w:marRight w:val="0"/>
      <w:marTop w:val="0"/>
      <w:marBottom w:val="0"/>
      <w:divBdr>
        <w:top w:val="none" w:sz="0" w:space="0" w:color="auto"/>
        <w:left w:val="none" w:sz="0" w:space="0" w:color="auto"/>
        <w:bottom w:val="none" w:sz="0" w:space="0" w:color="auto"/>
        <w:right w:val="none" w:sz="0" w:space="0" w:color="auto"/>
      </w:divBdr>
    </w:div>
    <w:div w:id="395708502">
      <w:bodyDiv w:val="1"/>
      <w:marLeft w:val="0"/>
      <w:marRight w:val="0"/>
      <w:marTop w:val="0"/>
      <w:marBottom w:val="0"/>
      <w:divBdr>
        <w:top w:val="none" w:sz="0" w:space="0" w:color="auto"/>
        <w:left w:val="none" w:sz="0" w:space="0" w:color="auto"/>
        <w:bottom w:val="none" w:sz="0" w:space="0" w:color="auto"/>
        <w:right w:val="none" w:sz="0" w:space="0" w:color="auto"/>
      </w:divBdr>
    </w:div>
    <w:div w:id="397483479">
      <w:bodyDiv w:val="1"/>
      <w:marLeft w:val="0"/>
      <w:marRight w:val="0"/>
      <w:marTop w:val="0"/>
      <w:marBottom w:val="0"/>
      <w:divBdr>
        <w:top w:val="none" w:sz="0" w:space="0" w:color="auto"/>
        <w:left w:val="none" w:sz="0" w:space="0" w:color="auto"/>
        <w:bottom w:val="none" w:sz="0" w:space="0" w:color="auto"/>
        <w:right w:val="none" w:sz="0" w:space="0" w:color="auto"/>
      </w:divBdr>
    </w:div>
    <w:div w:id="398094745">
      <w:bodyDiv w:val="1"/>
      <w:marLeft w:val="0"/>
      <w:marRight w:val="0"/>
      <w:marTop w:val="0"/>
      <w:marBottom w:val="0"/>
      <w:divBdr>
        <w:top w:val="none" w:sz="0" w:space="0" w:color="auto"/>
        <w:left w:val="none" w:sz="0" w:space="0" w:color="auto"/>
        <w:bottom w:val="none" w:sz="0" w:space="0" w:color="auto"/>
        <w:right w:val="none" w:sz="0" w:space="0" w:color="auto"/>
      </w:divBdr>
    </w:div>
    <w:div w:id="399013620">
      <w:bodyDiv w:val="1"/>
      <w:marLeft w:val="0"/>
      <w:marRight w:val="0"/>
      <w:marTop w:val="0"/>
      <w:marBottom w:val="0"/>
      <w:divBdr>
        <w:top w:val="none" w:sz="0" w:space="0" w:color="auto"/>
        <w:left w:val="none" w:sz="0" w:space="0" w:color="auto"/>
        <w:bottom w:val="none" w:sz="0" w:space="0" w:color="auto"/>
        <w:right w:val="none" w:sz="0" w:space="0" w:color="auto"/>
      </w:divBdr>
    </w:div>
    <w:div w:id="399450296">
      <w:bodyDiv w:val="1"/>
      <w:marLeft w:val="0"/>
      <w:marRight w:val="0"/>
      <w:marTop w:val="0"/>
      <w:marBottom w:val="0"/>
      <w:divBdr>
        <w:top w:val="none" w:sz="0" w:space="0" w:color="auto"/>
        <w:left w:val="none" w:sz="0" w:space="0" w:color="auto"/>
        <w:bottom w:val="none" w:sz="0" w:space="0" w:color="auto"/>
        <w:right w:val="none" w:sz="0" w:space="0" w:color="auto"/>
      </w:divBdr>
    </w:div>
    <w:div w:id="399644289">
      <w:bodyDiv w:val="1"/>
      <w:marLeft w:val="0"/>
      <w:marRight w:val="0"/>
      <w:marTop w:val="0"/>
      <w:marBottom w:val="0"/>
      <w:divBdr>
        <w:top w:val="none" w:sz="0" w:space="0" w:color="auto"/>
        <w:left w:val="none" w:sz="0" w:space="0" w:color="auto"/>
        <w:bottom w:val="none" w:sz="0" w:space="0" w:color="auto"/>
        <w:right w:val="none" w:sz="0" w:space="0" w:color="auto"/>
      </w:divBdr>
    </w:div>
    <w:div w:id="400298762">
      <w:bodyDiv w:val="1"/>
      <w:marLeft w:val="0"/>
      <w:marRight w:val="0"/>
      <w:marTop w:val="0"/>
      <w:marBottom w:val="0"/>
      <w:divBdr>
        <w:top w:val="none" w:sz="0" w:space="0" w:color="auto"/>
        <w:left w:val="none" w:sz="0" w:space="0" w:color="auto"/>
        <w:bottom w:val="none" w:sz="0" w:space="0" w:color="auto"/>
        <w:right w:val="none" w:sz="0" w:space="0" w:color="auto"/>
      </w:divBdr>
    </w:div>
    <w:div w:id="402027755">
      <w:bodyDiv w:val="1"/>
      <w:marLeft w:val="0"/>
      <w:marRight w:val="0"/>
      <w:marTop w:val="0"/>
      <w:marBottom w:val="0"/>
      <w:divBdr>
        <w:top w:val="none" w:sz="0" w:space="0" w:color="auto"/>
        <w:left w:val="none" w:sz="0" w:space="0" w:color="auto"/>
        <w:bottom w:val="none" w:sz="0" w:space="0" w:color="auto"/>
        <w:right w:val="none" w:sz="0" w:space="0" w:color="auto"/>
      </w:divBdr>
    </w:div>
    <w:div w:id="402601298">
      <w:bodyDiv w:val="1"/>
      <w:marLeft w:val="0"/>
      <w:marRight w:val="0"/>
      <w:marTop w:val="0"/>
      <w:marBottom w:val="0"/>
      <w:divBdr>
        <w:top w:val="none" w:sz="0" w:space="0" w:color="auto"/>
        <w:left w:val="none" w:sz="0" w:space="0" w:color="auto"/>
        <w:bottom w:val="none" w:sz="0" w:space="0" w:color="auto"/>
        <w:right w:val="none" w:sz="0" w:space="0" w:color="auto"/>
      </w:divBdr>
    </w:div>
    <w:div w:id="408187348">
      <w:bodyDiv w:val="1"/>
      <w:marLeft w:val="0"/>
      <w:marRight w:val="0"/>
      <w:marTop w:val="0"/>
      <w:marBottom w:val="0"/>
      <w:divBdr>
        <w:top w:val="none" w:sz="0" w:space="0" w:color="auto"/>
        <w:left w:val="none" w:sz="0" w:space="0" w:color="auto"/>
        <w:bottom w:val="none" w:sz="0" w:space="0" w:color="auto"/>
        <w:right w:val="none" w:sz="0" w:space="0" w:color="auto"/>
      </w:divBdr>
    </w:div>
    <w:div w:id="409352137">
      <w:bodyDiv w:val="1"/>
      <w:marLeft w:val="0"/>
      <w:marRight w:val="0"/>
      <w:marTop w:val="0"/>
      <w:marBottom w:val="0"/>
      <w:divBdr>
        <w:top w:val="none" w:sz="0" w:space="0" w:color="auto"/>
        <w:left w:val="none" w:sz="0" w:space="0" w:color="auto"/>
        <w:bottom w:val="none" w:sz="0" w:space="0" w:color="auto"/>
        <w:right w:val="none" w:sz="0" w:space="0" w:color="auto"/>
      </w:divBdr>
    </w:div>
    <w:div w:id="410009782">
      <w:bodyDiv w:val="1"/>
      <w:marLeft w:val="0"/>
      <w:marRight w:val="0"/>
      <w:marTop w:val="0"/>
      <w:marBottom w:val="0"/>
      <w:divBdr>
        <w:top w:val="none" w:sz="0" w:space="0" w:color="auto"/>
        <w:left w:val="none" w:sz="0" w:space="0" w:color="auto"/>
        <w:bottom w:val="none" w:sz="0" w:space="0" w:color="auto"/>
        <w:right w:val="none" w:sz="0" w:space="0" w:color="auto"/>
      </w:divBdr>
    </w:div>
    <w:div w:id="414401248">
      <w:bodyDiv w:val="1"/>
      <w:marLeft w:val="0"/>
      <w:marRight w:val="0"/>
      <w:marTop w:val="0"/>
      <w:marBottom w:val="0"/>
      <w:divBdr>
        <w:top w:val="none" w:sz="0" w:space="0" w:color="auto"/>
        <w:left w:val="none" w:sz="0" w:space="0" w:color="auto"/>
        <w:bottom w:val="none" w:sz="0" w:space="0" w:color="auto"/>
        <w:right w:val="none" w:sz="0" w:space="0" w:color="auto"/>
      </w:divBdr>
    </w:div>
    <w:div w:id="415902276">
      <w:bodyDiv w:val="1"/>
      <w:marLeft w:val="0"/>
      <w:marRight w:val="0"/>
      <w:marTop w:val="0"/>
      <w:marBottom w:val="0"/>
      <w:divBdr>
        <w:top w:val="none" w:sz="0" w:space="0" w:color="auto"/>
        <w:left w:val="none" w:sz="0" w:space="0" w:color="auto"/>
        <w:bottom w:val="none" w:sz="0" w:space="0" w:color="auto"/>
        <w:right w:val="none" w:sz="0" w:space="0" w:color="auto"/>
      </w:divBdr>
    </w:div>
    <w:div w:id="416561459">
      <w:bodyDiv w:val="1"/>
      <w:marLeft w:val="0"/>
      <w:marRight w:val="0"/>
      <w:marTop w:val="0"/>
      <w:marBottom w:val="0"/>
      <w:divBdr>
        <w:top w:val="none" w:sz="0" w:space="0" w:color="auto"/>
        <w:left w:val="none" w:sz="0" w:space="0" w:color="auto"/>
        <w:bottom w:val="none" w:sz="0" w:space="0" w:color="auto"/>
        <w:right w:val="none" w:sz="0" w:space="0" w:color="auto"/>
      </w:divBdr>
    </w:div>
    <w:div w:id="416830737">
      <w:bodyDiv w:val="1"/>
      <w:marLeft w:val="0"/>
      <w:marRight w:val="0"/>
      <w:marTop w:val="0"/>
      <w:marBottom w:val="0"/>
      <w:divBdr>
        <w:top w:val="none" w:sz="0" w:space="0" w:color="auto"/>
        <w:left w:val="none" w:sz="0" w:space="0" w:color="auto"/>
        <w:bottom w:val="none" w:sz="0" w:space="0" w:color="auto"/>
        <w:right w:val="none" w:sz="0" w:space="0" w:color="auto"/>
      </w:divBdr>
    </w:div>
    <w:div w:id="417990908">
      <w:bodyDiv w:val="1"/>
      <w:marLeft w:val="0"/>
      <w:marRight w:val="0"/>
      <w:marTop w:val="0"/>
      <w:marBottom w:val="0"/>
      <w:divBdr>
        <w:top w:val="none" w:sz="0" w:space="0" w:color="auto"/>
        <w:left w:val="none" w:sz="0" w:space="0" w:color="auto"/>
        <w:bottom w:val="none" w:sz="0" w:space="0" w:color="auto"/>
        <w:right w:val="none" w:sz="0" w:space="0" w:color="auto"/>
      </w:divBdr>
    </w:div>
    <w:div w:id="418868819">
      <w:bodyDiv w:val="1"/>
      <w:marLeft w:val="0"/>
      <w:marRight w:val="0"/>
      <w:marTop w:val="0"/>
      <w:marBottom w:val="0"/>
      <w:divBdr>
        <w:top w:val="none" w:sz="0" w:space="0" w:color="auto"/>
        <w:left w:val="none" w:sz="0" w:space="0" w:color="auto"/>
        <w:bottom w:val="none" w:sz="0" w:space="0" w:color="auto"/>
        <w:right w:val="none" w:sz="0" w:space="0" w:color="auto"/>
      </w:divBdr>
    </w:div>
    <w:div w:id="419178417">
      <w:bodyDiv w:val="1"/>
      <w:marLeft w:val="0"/>
      <w:marRight w:val="0"/>
      <w:marTop w:val="0"/>
      <w:marBottom w:val="0"/>
      <w:divBdr>
        <w:top w:val="none" w:sz="0" w:space="0" w:color="auto"/>
        <w:left w:val="none" w:sz="0" w:space="0" w:color="auto"/>
        <w:bottom w:val="none" w:sz="0" w:space="0" w:color="auto"/>
        <w:right w:val="none" w:sz="0" w:space="0" w:color="auto"/>
      </w:divBdr>
    </w:div>
    <w:div w:id="423577686">
      <w:bodyDiv w:val="1"/>
      <w:marLeft w:val="0"/>
      <w:marRight w:val="0"/>
      <w:marTop w:val="0"/>
      <w:marBottom w:val="0"/>
      <w:divBdr>
        <w:top w:val="none" w:sz="0" w:space="0" w:color="auto"/>
        <w:left w:val="none" w:sz="0" w:space="0" w:color="auto"/>
        <w:bottom w:val="none" w:sz="0" w:space="0" w:color="auto"/>
        <w:right w:val="none" w:sz="0" w:space="0" w:color="auto"/>
      </w:divBdr>
    </w:div>
    <w:div w:id="426970781">
      <w:bodyDiv w:val="1"/>
      <w:marLeft w:val="0"/>
      <w:marRight w:val="0"/>
      <w:marTop w:val="0"/>
      <w:marBottom w:val="0"/>
      <w:divBdr>
        <w:top w:val="none" w:sz="0" w:space="0" w:color="auto"/>
        <w:left w:val="none" w:sz="0" w:space="0" w:color="auto"/>
        <w:bottom w:val="none" w:sz="0" w:space="0" w:color="auto"/>
        <w:right w:val="none" w:sz="0" w:space="0" w:color="auto"/>
      </w:divBdr>
    </w:div>
    <w:div w:id="429201079">
      <w:bodyDiv w:val="1"/>
      <w:marLeft w:val="0"/>
      <w:marRight w:val="0"/>
      <w:marTop w:val="0"/>
      <w:marBottom w:val="0"/>
      <w:divBdr>
        <w:top w:val="none" w:sz="0" w:space="0" w:color="auto"/>
        <w:left w:val="none" w:sz="0" w:space="0" w:color="auto"/>
        <w:bottom w:val="none" w:sz="0" w:space="0" w:color="auto"/>
        <w:right w:val="none" w:sz="0" w:space="0" w:color="auto"/>
      </w:divBdr>
    </w:div>
    <w:div w:id="429860416">
      <w:bodyDiv w:val="1"/>
      <w:marLeft w:val="0"/>
      <w:marRight w:val="0"/>
      <w:marTop w:val="0"/>
      <w:marBottom w:val="0"/>
      <w:divBdr>
        <w:top w:val="none" w:sz="0" w:space="0" w:color="auto"/>
        <w:left w:val="none" w:sz="0" w:space="0" w:color="auto"/>
        <w:bottom w:val="none" w:sz="0" w:space="0" w:color="auto"/>
        <w:right w:val="none" w:sz="0" w:space="0" w:color="auto"/>
      </w:divBdr>
    </w:div>
    <w:div w:id="430004928">
      <w:bodyDiv w:val="1"/>
      <w:marLeft w:val="0"/>
      <w:marRight w:val="0"/>
      <w:marTop w:val="0"/>
      <w:marBottom w:val="0"/>
      <w:divBdr>
        <w:top w:val="none" w:sz="0" w:space="0" w:color="auto"/>
        <w:left w:val="none" w:sz="0" w:space="0" w:color="auto"/>
        <w:bottom w:val="none" w:sz="0" w:space="0" w:color="auto"/>
        <w:right w:val="none" w:sz="0" w:space="0" w:color="auto"/>
      </w:divBdr>
    </w:div>
    <w:div w:id="430513215">
      <w:bodyDiv w:val="1"/>
      <w:marLeft w:val="0"/>
      <w:marRight w:val="0"/>
      <w:marTop w:val="0"/>
      <w:marBottom w:val="0"/>
      <w:divBdr>
        <w:top w:val="none" w:sz="0" w:space="0" w:color="auto"/>
        <w:left w:val="none" w:sz="0" w:space="0" w:color="auto"/>
        <w:bottom w:val="none" w:sz="0" w:space="0" w:color="auto"/>
        <w:right w:val="none" w:sz="0" w:space="0" w:color="auto"/>
      </w:divBdr>
    </w:div>
    <w:div w:id="433671287">
      <w:bodyDiv w:val="1"/>
      <w:marLeft w:val="0"/>
      <w:marRight w:val="0"/>
      <w:marTop w:val="0"/>
      <w:marBottom w:val="0"/>
      <w:divBdr>
        <w:top w:val="none" w:sz="0" w:space="0" w:color="auto"/>
        <w:left w:val="none" w:sz="0" w:space="0" w:color="auto"/>
        <w:bottom w:val="none" w:sz="0" w:space="0" w:color="auto"/>
        <w:right w:val="none" w:sz="0" w:space="0" w:color="auto"/>
      </w:divBdr>
    </w:div>
    <w:div w:id="433945599">
      <w:bodyDiv w:val="1"/>
      <w:marLeft w:val="0"/>
      <w:marRight w:val="0"/>
      <w:marTop w:val="0"/>
      <w:marBottom w:val="0"/>
      <w:divBdr>
        <w:top w:val="none" w:sz="0" w:space="0" w:color="auto"/>
        <w:left w:val="none" w:sz="0" w:space="0" w:color="auto"/>
        <w:bottom w:val="none" w:sz="0" w:space="0" w:color="auto"/>
        <w:right w:val="none" w:sz="0" w:space="0" w:color="auto"/>
      </w:divBdr>
    </w:div>
    <w:div w:id="437026782">
      <w:bodyDiv w:val="1"/>
      <w:marLeft w:val="0"/>
      <w:marRight w:val="0"/>
      <w:marTop w:val="0"/>
      <w:marBottom w:val="0"/>
      <w:divBdr>
        <w:top w:val="none" w:sz="0" w:space="0" w:color="auto"/>
        <w:left w:val="none" w:sz="0" w:space="0" w:color="auto"/>
        <w:bottom w:val="none" w:sz="0" w:space="0" w:color="auto"/>
        <w:right w:val="none" w:sz="0" w:space="0" w:color="auto"/>
      </w:divBdr>
    </w:div>
    <w:div w:id="437986363">
      <w:bodyDiv w:val="1"/>
      <w:marLeft w:val="0"/>
      <w:marRight w:val="0"/>
      <w:marTop w:val="0"/>
      <w:marBottom w:val="0"/>
      <w:divBdr>
        <w:top w:val="none" w:sz="0" w:space="0" w:color="auto"/>
        <w:left w:val="none" w:sz="0" w:space="0" w:color="auto"/>
        <w:bottom w:val="none" w:sz="0" w:space="0" w:color="auto"/>
        <w:right w:val="none" w:sz="0" w:space="0" w:color="auto"/>
      </w:divBdr>
    </w:div>
    <w:div w:id="43813818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881255">
      <w:bodyDiv w:val="1"/>
      <w:marLeft w:val="0"/>
      <w:marRight w:val="0"/>
      <w:marTop w:val="0"/>
      <w:marBottom w:val="0"/>
      <w:divBdr>
        <w:top w:val="none" w:sz="0" w:space="0" w:color="auto"/>
        <w:left w:val="none" w:sz="0" w:space="0" w:color="auto"/>
        <w:bottom w:val="none" w:sz="0" w:space="0" w:color="auto"/>
        <w:right w:val="none" w:sz="0" w:space="0" w:color="auto"/>
      </w:divBdr>
    </w:div>
    <w:div w:id="441076638">
      <w:bodyDiv w:val="1"/>
      <w:marLeft w:val="0"/>
      <w:marRight w:val="0"/>
      <w:marTop w:val="0"/>
      <w:marBottom w:val="0"/>
      <w:divBdr>
        <w:top w:val="none" w:sz="0" w:space="0" w:color="auto"/>
        <w:left w:val="none" w:sz="0" w:space="0" w:color="auto"/>
        <w:bottom w:val="none" w:sz="0" w:space="0" w:color="auto"/>
        <w:right w:val="none" w:sz="0" w:space="0" w:color="auto"/>
      </w:divBdr>
    </w:div>
    <w:div w:id="441926110">
      <w:bodyDiv w:val="1"/>
      <w:marLeft w:val="0"/>
      <w:marRight w:val="0"/>
      <w:marTop w:val="0"/>
      <w:marBottom w:val="0"/>
      <w:divBdr>
        <w:top w:val="none" w:sz="0" w:space="0" w:color="auto"/>
        <w:left w:val="none" w:sz="0" w:space="0" w:color="auto"/>
        <w:bottom w:val="none" w:sz="0" w:space="0" w:color="auto"/>
        <w:right w:val="none" w:sz="0" w:space="0" w:color="auto"/>
      </w:divBdr>
    </w:div>
    <w:div w:id="444078324">
      <w:bodyDiv w:val="1"/>
      <w:marLeft w:val="0"/>
      <w:marRight w:val="0"/>
      <w:marTop w:val="0"/>
      <w:marBottom w:val="0"/>
      <w:divBdr>
        <w:top w:val="none" w:sz="0" w:space="0" w:color="auto"/>
        <w:left w:val="none" w:sz="0" w:space="0" w:color="auto"/>
        <w:bottom w:val="none" w:sz="0" w:space="0" w:color="auto"/>
        <w:right w:val="none" w:sz="0" w:space="0" w:color="auto"/>
      </w:divBdr>
    </w:div>
    <w:div w:id="450783155">
      <w:bodyDiv w:val="1"/>
      <w:marLeft w:val="0"/>
      <w:marRight w:val="0"/>
      <w:marTop w:val="0"/>
      <w:marBottom w:val="0"/>
      <w:divBdr>
        <w:top w:val="none" w:sz="0" w:space="0" w:color="auto"/>
        <w:left w:val="none" w:sz="0" w:space="0" w:color="auto"/>
        <w:bottom w:val="none" w:sz="0" w:space="0" w:color="auto"/>
        <w:right w:val="none" w:sz="0" w:space="0" w:color="auto"/>
      </w:divBdr>
    </w:div>
    <w:div w:id="453644571">
      <w:bodyDiv w:val="1"/>
      <w:marLeft w:val="0"/>
      <w:marRight w:val="0"/>
      <w:marTop w:val="0"/>
      <w:marBottom w:val="0"/>
      <w:divBdr>
        <w:top w:val="none" w:sz="0" w:space="0" w:color="auto"/>
        <w:left w:val="none" w:sz="0" w:space="0" w:color="auto"/>
        <w:bottom w:val="none" w:sz="0" w:space="0" w:color="auto"/>
        <w:right w:val="none" w:sz="0" w:space="0" w:color="auto"/>
      </w:divBdr>
    </w:div>
    <w:div w:id="455872308">
      <w:bodyDiv w:val="1"/>
      <w:marLeft w:val="0"/>
      <w:marRight w:val="0"/>
      <w:marTop w:val="0"/>
      <w:marBottom w:val="0"/>
      <w:divBdr>
        <w:top w:val="none" w:sz="0" w:space="0" w:color="auto"/>
        <w:left w:val="none" w:sz="0" w:space="0" w:color="auto"/>
        <w:bottom w:val="none" w:sz="0" w:space="0" w:color="auto"/>
        <w:right w:val="none" w:sz="0" w:space="0" w:color="auto"/>
      </w:divBdr>
    </w:div>
    <w:div w:id="4562639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89011">
      <w:bodyDiv w:val="1"/>
      <w:marLeft w:val="0"/>
      <w:marRight w:val="0"/>
      <w:marTop w:val="0"/>
      <w:marBottom w:val="0"/>
      <w:divBdr>
        <w:top w:val="none" w:sz="0" w:space="0" w:color="auto"/>
        <w:left w:val="none" w:sz="0" w:space="0" w:color="auto"/>
        <w:bottom w:val="none" w:sz="0" w:space="0" w:color="auto"/>
        <w:right w:val="none" w:sz="0" w:space="0" w:color="auto"/>
      </w:divBdr>
    </w:div>
    <w:div w:id="459736468">
      <w:bodyDiv w:val="1"/>
      <w:marLeft w:val="0"/>
      <w:marRight w:val="0"/>
      <w:marTop w:val="0"/>
      <w:marBottom w:val="0"/>
      <w:divBdr>
        <w:top w:val="none" w:sz="0" w:space="0" w:color="auto"/>
        <w:left w:val="none" w:sz="0" w:space="0" w:color="auto"/>
        <w:bottom w:val="none" w:sz="0" w:space="0" w:color="auto"/>
        <w:right w:val="none" w:sz="0" w:space="0" w:color="auto"/>
      </w:divBdr>
    </w:div>
    <w:div w:id="459886213">
      <w:bodyDiv w:val="1"/>
      <w:marLeft w:val="0"/>
      <w:marRight w:val="0"/>
      <w:marTop w:val="0"/>
      <w:marBottom w:val="0"/>
      <w:divBdr>
        <w:top w:val="none" w:sz="0" w:space="0" w:color="auto"/>
        <w:left w:val="none" w:sz="0" w:space="0" w:color="auto"/>
        <w:bottom w:val="none" w:sz="0" w:space="0" w:color="auto"/>
        <w:right w:val="none" w:sz="0" w:space="0" w:color="auto"/>
      </w:divBdr>
    </w:div>
    <w:div w:id="463040686">
      <w:bodyDiv w:val="1"/>
      <w:marLeft w:val="0"/>
      <w:marRight w:val="0"/>
      <w:marTop w:val="0"/>
      <w:marBottom w:val="0"/>
      <w:divBdr>
        <w:top w:val="none" w:sz="0" w:space="0" w:color="auto"/>
        <w:left w:val="none" w:sz="0" w:space="0" w:color="auto"/>
        <w:bottom w:val="none" w:sz="0" w:space="0" w:color="auto"/>
        <w:right w:val="none" w:sz="0" w:space="0" w:color="auto"/>
      </w:divBdr>
    </w:div>
    <w:div w:id="463474559">
      <w:bodyDiv w:val="1"/>
      <w:marLeft w:val="0"/>
      <w:marRight w:val="0"/>
      <w:marTop w:val="0"/>
      <w:marBottom w:val="0"/>
      <w:divBdr>
        <w:top w:val="none" w:sz="0" w:space="0" w:color="auto"/>
        <w:left w:val="none" w:sz="0" w:space="0" w:color="auto"/>
        <w:bottom w:val="none" w:sz="0" w:space="0" w:color="auto"/>
        <w:right w:val="none" w:sz="0" w:space="0" w:color="auto"/>
      </w:divBdr>
    </w:div>
    <w:div w:id="465245003">
      <w:bodyDiv w:val="1"/>
      <w:marLeft w:val="0"/>
      <w:marRight w:val="0"/>
      <w:marTop w:val="0"/>
      <w:marBottom w:val="0"/>
      <w:divBdr>
        <w:top w:val="none" w:sz="0" w:space="0" w:color="auto"/>
        <w:left w:val="none" w:sz="0" w:space="0" w:color="auto"/>
        <w:bottom w:val="none" w:sz="0" w:space="0" w:color="auto"/>
        <w:right w:val="none" w:sz="0" w:space="0" w:color="auto"/>
      </w:divBdr>
    </w:div>
    <w:div w:id="466316259">
      <w:bodyDiv w:val="1"/>
      <w:marLeft w:val="0"/>
      <w:marRight w:val="0"/>
      <w:marTop w:val="0"/>
      <w:marBottom w:val="0"/>
      <w:divBdr>
        <w:top w:val="none" w:sz="0" w:space="0" w:color="auto"/>
        <w:left w:val="none" w:sz="0" w:space="0" w:color="auto"/>
        <w:bottom w:val="none" w:sz="0" w:space="0" w:color="auto"/>
        <w:right w:val="none" w:sz="0" w:space="0" w:color="auto"/>
      </w:divBdr>
    </w:div>
    <w:div w:id="467473049">
      <w:bodyDiv w:val="1"/>
      <w:marLeft w:val="0"/>
      <w:marRight w:val="0"/>
      <w:marTop w:val="0"/>
      <w:marBottom w:val="0"/>
      <w:divBdr>
        <w:top w:val="none" w:sz="0" w:space="0" w:color="auto"/>
        <w:left w:val="none" w:sz="0" w:space="0" w:color="auto"/>
        <w:bottom w:val="none" w:sz="0" w:space="0" w:color="auto"/>
        <w:right w:val="none" w:sz="0" w:space="0" w:color="auto"/>
      </w:divBdr>
    </w:div>
    <w:div w:id="468401829">
      <w:bodyDiv w:val="1"/>
      <w:marLeft w:val="0"/>
      <w:marRight w:val="0"/>
      <w:marTop w:val="0"/>
      <w:marBottom w:val="0"/>
      <w:divBdr>
        <w:top w:val="none" w:sz="0" w:space="0" w:color="auto"/>
        <w:left w:val="none" w:sz="0" w:space="0" w:color="auto"/>
        <w:bottom w:val="none" w:sz="0" w:space="0" w:color="auto"/>
        <w:right w:val="none" w:sz="0" w:space="0" w:color="auto"/>
      </w:divBdr>
    </w:div>
    <w:div w:id="469246997">
      <w:bodyDiv w:val="1"/>
      <w:marLeft w:val="0"/>
      <w:marRight w:val="0"/>
      <w:marTop w:val="0"/>
      <w:marBottom w:val="0"/>
      <w:divBdr>
        <w:top w:val="none" w:sz="0" w:space="0" w:color="auto"/>
        <w:left w:val="none" w:sz="0" w:space="0" w:color="auto"/>
        <w:bottom w:val="none" w:sz="0" w:space="0" w:color="auto"/>
        <w:right w:val="none" w:sz="0" w:space="0" w:color="auto"/>
      </w:divBdr>
    </w:div>
    <w:div w:id="470172800">
      <w:bodyDiv w:val="1"/>
      <w:marLeft w:val="0"/>
      <w:marRight w:val="0"/>
      <w:marTop w:val="0"/>
      <w:marBottom w:val="0"/>
      <w:divBdr>
        <w:top w:val="none" w:sz="0" w:space="0" w:color="auto"/>
        <w:left w:val="none" w:sz="0" w:space="0" w:color="auto"/>
        <w:bottom w:val="none" w:sz="0" w:space="0" w:color="auto"/>
        <w:right w:val="none" w:sz="0" w:space="0" w:color="auto"/>
      </w:divBdr>
    </w:div>
    <w:div w:id="470902380">
      <w:bodyDiv w:val="1"/>
      <w:marLeft w:val="0"/>
      <w:marRight w:val="0"/>
      <w:marTop w:val="0"/>
      <w:marBottom w:val="0"/>
      <w:divBdr>
        <w:top w:val="none" w:sz="0" w:space="0" w:color="auto"/>
        <w:left w:val="none" w:sz="0" w:space="0" w:color="auto"/>
        <w:bottom w:val="none" w:sz="0" w:space="0" w:color="auto"/>
        <w:right w:val="none" w:sz="0" w:space="0" w:color="auto"/>
      </w:divBdr>
    </w:div>
    <w:div w:id="472218631">
      <w:bodyDiv w:val="1"/>
      <w:marLeft w:val="0"/>
      <w:marRight w:val="0"/>
      <w:marTop w:val="0"/>
      <w:marBottom w:val="0"/>
      <w:divBdr>
        <w:top w:val="none" w:sz="0" w:space="0" w:color="auto"/>
        <w:left w:val="none" w:sz="0" w:space="0" w:color="auto"/>
        <w:bottom w:val="none" w:sz="0" w:space="0" w:color="auto"/>
        <w:right w:val="none" w:sz="0" w:space="0" w:color="auto"/>
      </w:divBdr>
    </w:div>
    <w:div w:id="472259250">
      <w:bodyDiv w:val="1"/>
      <w:marLeft w:val="0"/>
      <w:marRight w:val="0"/>
      <w:marTop w:val="0"/>
      <w:marBottom w:val="0"/>
      <w:divBdr>
        <w:top w:val="none" w:sz="0" w:space="0" w:color="auto"/>
        <w:left w:val="none" w:sz="0" w:space="0" w:color="auto"/>
        <w:bottom w:val="none" w:sz="0" w:space="0" w:color="auto"/>
        <w:right w:val="none" w:sz="0" w:space="0" w:color="auto"/>
      </w:divBdr>
    </w:div>
    <w:div w:id="472407905">
      <w:bodyDiv w:val="1"/>
      <w:marLeft w:val="0"/>
      <w:marRight w:val="0"/>
      <w:marTop w:val="0"/>
      <w:marBottom w:val="0"/>
      <w:divBdr>
        <w:top w:val="none" w:sz="0" w:space="0" w:color="auto"/>
        <w:left w:val="none" w:sz="0" w:space="0" w:color="auto"/>
        <w:bottom w:val="none" w:sz="0" w:space="0" w:color="auto"/>
        <w:right w:val="none" w:sz="0" w:space="0" w:color="auto"/>
      </w:divBdr>
    </w:div>
    <w:div w:id="474028320">
      <w:bodyDiv w:val="1"/>
      <w:marLeft w:val="0"/>
      <w:marRight w:val="0"/>
      <w:marTop w:val="0"/>
      <w:marBottom w:val="0"/>
      <w:divBdr>
        <w:top w:val="none" w:sz="0" w:space="0" w:color="auto"/>
        <w:left w:val="none" w:sz="0" w:space="0" w:color="auto"/>
        <w:bottom w:val="none" w:sz="0" w:space="0" w:color="auto"/>
        <w:right w:val="none" w:sz="0" w:space="0" w:color="auto"/>
      </w:divBdr>
    </w:div>
    <w:div w:id="474684230">
      <w:bodyDiv w:val="1"/>
      <w:marLeft w:val="0"/>
      <w:marRight w:val="0"/>
      <w:marTop w:val="0"/>
      <w:marBottom w:val="0"/>
      <w:divBdr>
        <w:top w:val="none" w:sz="0" w:space="0" w:color="auto"/>
        <w:left w:val="none" w:sz="0" w:space="0" w:color="auto"/>
        <w:bottom w:val="none" w:sz="0" w:space="0" w:color="auto"/>
        <w:right w:val="none" w:sz="0" w:space="0" w:color="auto"/>
      </w:divBdr>
    </w:div>
    <w:div w:id="478497248">
      <w:bodyDiv w:val="1"/>
      <w:marLeft w:val="0"/>
      <w:marRight w:val="0"/>
      <w:marTop w:val="0"/>
      <w:marBottom w:val="0"/>
      <w:divBdr>
        <w:top w:val="none" w:sz="0" w:space="0" w:color="auto"/>
        <w:left w:val="none" w:sz="0" w:space="0" w:color="auto"/>
        <w:bottom w:val="none" w:sz="0" w:space="0" w:color="auto"/>
        <w:right w:val="none" w:sz="0" w:space="0" w:color="auto"/>
      </w:divBdr>
    </w:div>
    <w:div w:id="480200346">
      <w:bodyDiv w:val="1"/>
      <w:marLeft w:val="0"/>
      <w:marRight w:val="0"/>
      <w:marTop w:val="0"/>
      <w:marBottom w:val="0"/>
      <w:divBdr>
        <w:top w:val="none" w:sz="0" w:space="0" w:color="auto"/>
        <w:left w:val="none" w:sz="0" w:space="0" w:color="auto"/>
        <w:bottom w:val="none" w:sz="0" w:space="0" w:color="auto"/>
        <w:right w:val="none" w:sz="0" w:space="0" w:color="auto"/>
      </w:divBdr>
    </w:div>
    <w:div w:id="481044775">
      <w:bodyDiv w:val="1"/>
      <w:marLeft w:val="0"/>
      <w:marRight w:val="0"/>
      <w:marTop w:val="0"/>
      <w:marBottom w:val="0"/>
      <w:divBdr>
        <w:top w:val="none" w:sz="0" w:space="0" w:color="auto"/>
        <w:left w:val="none" w:sz="0" w:space="0" w:color="auto"/>
        <w:bottom w:val="none" w:sz="0" w:space="0" w:color="auto"/>
        <w:right w:val="none" w:sz="0" w:space="0" w:color="auto"/>
      </w:divBdr>
    </w:div>
    <w:div w:id="482544341">
      <w:bodyDiv w:val="1"/>
      <w:marLeft w:val="0"/>
      <w:marRight w:val="0"/>
      <w:marTop w:val="0"/>
      <w:marBottom w:val="0"/>
      <w:divBdr>
        <w:top w:val="none" w:sz="0" w:space="0" w:color="auto"/>
        <w:left w:val="none" w:sz="0" w:space="0" w:color="auto"/>
        <w:bottom w:val="none" w:sz="0" w:space="0" w:color="auto"/>
        <w:right w:val="none" w:sz="0" w:space="0" w:color="auto"/>
      </w:divBdr>
    </w:div>
    <w:div w:id="485973151">
      <w:bodyDiv w:val="1"/>
      <w:marLeft w:val="0"/>
      <w:marRight w:val="0"/>
      <w:marTop w:val="0"/>
      <w:marBottom w:val="0"/>
      <w:divBdr>
        <w:top w:val="none" w:sz="0" w:space="0" w:color="auto"/>
        <w:left w:val="none" w:sz="0" w:space="0" w:color="auto"/>
        <w:bottom w:val="none" w:sz="0" w:space="0" w:color="auto"/>
        <w:right w:val="none" w:sz="0" w:space="0" w:color="auto"/>
      </w:divBdr>
    </w:div>
    <w:div w:id="486408605">
      <w:bodyDiv w:val="1"/>
      <w:marLeft w:val="0"/>
      <w:marRight w:val="0"/>
      <w:marTop w:val="0"/>
      <w:marBottom w:val="0"/>
      <w:divBdr>
        <w:top w:val="none" w:sz="0" w:space="0" w:color="auto"/>
        <w:left w:val="none" w:sz="0" w:space="0" w:color="auto"/>
        <w:bottom w:val="none" w:sz="0" w:space="0" w:color="auto"/>
        <w:right w:val="none" w:sz="0" w:space="0" w:color="auto"/>
      </w:divBdr>
    </w:div>
    <w:div w:id="486828038">
      <w:bodyDiv w:val="1"/>
      <w:marLeft w:val="0"/>
      <w:marRight w:val="0"/>
      <w:marTop w:val="0"/>
      <w:marBottom w:val="0"/>
      <w:divBdr>
        <w:top w:val="none" w:sz="0" w:space="0" w:color="auto"/>
        <w:left w:val="none" w:sz="0" w:space="0" w:color="auto"/>
        <w:bottom w:val="none" w:sz="0" w:space="0" w:color="auto"/>
        <w:right w:val="none" w:sz="0" w:space="0" w:color="auto"/>
      </w:divBdr>
    </w:div>
    <w:div w:id="488062194">
      <w:bodyDiv w:val="1"/>
      <w:marLeft w:val="0"/>
      <w:marRight w:val="0"/>
      <w:marTop w:val="0"/>
      <w:marBottom w:val="0"/>
      <w:divBdr>
        <w:top w:val="none" w:sz="0" w:space="0" w:color="auto"/>
        <w:left w:val="none" w:sz="0" w:space="0" w:color="auto"/>
        <w:bottom w:val="none" w:sz="0" w:space="0" w:color="auto"/>
        <w:right w:val="none" w:sz="0" w:space="0" w:color="auto"/>
      </w:divBdr>
    </w:div>
    <w:div w:id="489828538">
      <w:bodyDiv w:val="1"/>
      <w:marLeft w:val="0"/>
      <w:marRight w:val="0"/>
      <w:marTop w:val="0"/>
      <w:marBottom w:val="0"/>
      <w:divBdr>
        <w:top w:val="none" w:sz="0" w:space="0" w:color="auto"/>
        <w:left w:val="none" w:sz="0" w:space="0" w:color="auto"/>
        <w:bottom w:val="none" w:sz="0" w:space="0" w:color="auto"/>
        <w:right w:val="none" w:sz="0" w:space="0" w:color="auto"/>
      </w:divBdr>
    </w:div>
    <w:div w:id="494347403">
      <w:bodyDiv w:val="1"/>
      <w:marLeft w:val="0"/>
      <w:marRight w:val="0"/>
      <w:marTop w:val="0"/>
      <w:marBottom w:val="0"/>
      <w:divBdr>
        <w:top w:val="none" w:sz="0" w:space="0" w:color="auto"/>
        <w:left w:val="none" w:sz="0" w:space="0" w:color="auto"/>
        <w:bottom w:val="none" w:sz="0" w:space="0" w:color="auto"/>
        <w:right w:val="none" w:sz="0" w:space="0" w:color="auto"/>
      </w:divBdr>
    </w:div>
    <w:div w:id="496581722">
      <w:bodyDiv w:val="1"/>
      <w:marLeft w:val="0"/>
      <w:marRight w:val="0"/>
      <w:marTop w:val="0"/>
      <w:marBottom w:val="0"/>
      <w:divBdr>
        <w:top w:val="none" w:sz="0" w:space="0" w:color="auto"/>
        <w:left w:val="none" w:sz="0" w:space="0" w:color="auto"/>
        <w:bottom w:val="none" w:sz="0" w:space="0" w:color="auto"/>
        <w:right w:val="none" w:sz="0" w:space="0" w:color="auto"/>
      </w:divBdr>
    </w:div>
    <w:div w:id="498932597">
      <w:bodyDiv w:val="1"/>
      <w:marLeft w:val="0"/>
      <w:marRight w:val="0"/>
      <w:marTop w:val="0"/>
      <w:marBottom w:val="0"/>
      <w:divBdr>
        <w:top w:val="none" w:sz="0" w:space="0" w:color="auto"/>
        <w:left w:val="none" w:sz="0" w:space="0" w:color="auto"/>
        <w:bottom w:val="none" w:sz="0" w:space="0" w:color="auto"/>
        <w:right w:val="none" w:sz="0" w:space="0" w:color="auto"/>
      </w:divBdr>
    </w:div>
    <w:div w:id="499658520">
      <w:bodyDiv w:val="1"/>
      <w:marLeft w:val="0"/>
      <w:marRight w:val="0"/>
      <w:marTop w:val="0"/>
      <w:marBottom w:val="0"/>
      <w:divBdr>
        <w:top w:val="none" w:sz="0" w:space="0" w:color="auto"/>
        <w:left w:val="none" w:sz="0" w:space="0" w:color="auto"/>
        <w:bottom w:val="none" w:sz="0" w:space="0" w:color="auto"/>
        <w:right w:val="none" w:sz="0" w:space="0" w:color="auto"/>
      </w:divBdr>
    </w:div>
    <w:div w:id="501553339">
      <w:bodyDiv w:val="1"/>
      <w:marLeft w:val="0"/>
      <w:marRight w:val="0"/>
      <w:marTop w:val="0"/>
      <w:marBottom w:val="0"/>
      <w:divBdr>
        <w:top w:val="none" w:sz="0" w:space="0" w:color="auto"/>
        <w:left w:val="none" w:sz="0" w:space="0" w:color="auto"/>
        <w:bottom w:val="none" w:sz="0" w:space="0" w:color="auto"/>
        <w:right w:val="none" w:sz="0" w:space="0" w:color="auto"/>
      </w:divBdr>
    </w:div>
    <w:div w:id="503129871">
      <w:bodyDiv w:val="1"/>
      <w:marLeft w:val="0"/>
      <w:marRight w:val="0"/>
      <w:marTop w:val="0"/>
      <w:marBottom w:val="0"/>
      <w:divBdr>
        <w:top w:val="none" w:sz="0" w:space="0" w:color="auto"/>
        <w:left w:val="none" w:sz="0" w:space="0" w:color="auto"/>
        <w:bottom w:val="none" w:sz="0" w:space="0" w:color="auto"/>
        <w:right w:val="none" w:sz="0" w:space="0" w:color="auto"/>
      </w:divBdr>
    </w:div>
    <w:div w:id="506292388">
      <w:bodyDiv w:val="1"/>
      <w:marLeft w:val="0"/>
      <w:marRight w:val="0"/>
      <w:marTop w:val="0"/>
      <w:marBottom w:val="0"/>
      <w:divBdr>
        <w:top w:val="none" w:sz="0" w:space="0" w:color="auto"/>
        <w:left w:val="none" w:sz="0" w:space="0" w:color="auto"/>
        <w:bottom w:val="none" w:sz="0" w:space="0" w:color="auto"/>
        <w:right w:val="none" w:sz="0" w:space="0" w:color="auto"/>
      </w:divBdr>
    </w:div>
    <w:div w:id="507136761">
      <w:bodyDiv w:val="1"/>
      <w:marLeft w:val="0"/>
      <w:marRight w:val="0"/>
      <w:marTop w:val="0"/>
      <w:marBottom w:val="0"/>
      <w:divBdr>
        <w:top w:val="none" w:sz="0" w:space="0" w:color="auto"/>
        <w:left w:val="none" w:sz="0" w:space="0" w:color="auto"/>
        <w:bottom w:val="none" w:sz="0" w:space="0" w:color="auto"/>
        <w:right w:val="none" w:sz="0" w:space="0" w:color="auto"/>
      </w:divBdr>
    </w:div>
    <w:div w:id="509877457">
      <w:bodyDiv w:val="1"/>
      <w:marLeft w:val="0"/>
      <w:marRight w:val="0"/>
      <w:marTop w:val="0"/>
      <w:marBottom w:val="0"/>
      <w:divBdr>
        <w:top w:val="none" w:sz="0" w:space="0" w:color="auto"/>
        <w:left w:val="none" w:sz="0" w:space="0" w:color="auto"/>
        <w:bottom w:val="none" w:sz="0" w:space="0" w:color="auto"/>
        <w:right w:val="none" w:sz="0" w:space="0" w:color="auto"/>
      </w:divBdr>
    </w:div>
    <w:div w:id="510529317">
      <w:bodyDiv w:val="1"/>
      <w:marLeft w:val="0"/>
      <w:marRight w:val="0"/>
      <w:marTop w:val="0"/>
      <w:marBottom w:val="0"/>
      <w:divBdr>
        <w:top w:val="none" w:sz="0" w:space="0" w:color="auto"/>
        <w:left w:val="none" w:sz="0" w:space="0" w:color="auto"/>
        <w:bottom w:val="none" w:sz="0" w:space="0" w:color="auto"/>
        <w:right w:val="none" w:sz="0" w:space="0" w:color="auto"/>
      </w:divBdr>
    </w:div>
    <w:div w:id="512376375">
      <w:bodyDiv w:val="1"/>
      <w:marLeft w:val="0"/>
      <w:marRight w:val="0"/>
      <w:marTop w:val="0"/>
      <w:marBottom w:val="0"/>
      <w:divBdr>
        <w:top w:val="none" w:sz="0" w:space="0" w:color="auto"/>
        <w:left w:val="none" w:sz="0" w:space="0" w:color="auto"/>
        <w:bottom w:val="none" w:sz="0" w:space="0" w:color="auto"/>
        <w:right w:val="none" w:sz="0" w:space="0" w:color="auto"/>
      </w:divBdr>
    </w:div>
    <w:div w:id="519124616">
      <w:bodyDiv w:val="1"/>
      <w:marLeft w:val="0"/>
      <w:marRight w:val="0"/>
      <w:marTop w:val="0"/>
      <w:marBottom w:val="0"/>
      <w:divBdr>
        <w:top w:val="none" w:sz="0" w:space="0" w:color="auto"/>
        <w:left w:val="none" w:sz="0" w:space="0" w:color="auto"/>
        <w:bottom w:val="none" w:sz="0" w:space="0" w:color="auto"/>
        <w:right w:val="none" w:sz="0" w:space="0" w:color="auto"/>
      </w:divBdr>
    </w:div>
    <w:div w:id="526063555">
      <w:bodyDiv w:val="1"/>
      <w:marLeft w:val="0"/>
      <w:marRight w:val="0"/>
      <w:marTop w:val="0"/>
      <w:marBottom w:val="0"/>
      <w:divBdr>
        <w:top w:val="none" w:sz="0" w:space="0" w:color="auto"/>
        <w:left w:val="none" w:sz="0" w:space="0" w:color="auto"/>
        <w:bottom w:val="none" w:sz="0" w:space="0" w:color="auto"/>
        <w:right w:val="none" w:sz="0" w:space="0" w:color="auto"/>
      </w:divBdr>
    </w:div>
    <w:div w:id="526677697">
      <w:bodyDiv w:val="1"/>
      <w:marLeft w:val="0"/>
      <w:marRight w:val="0"/>
      <w:marTop w:val="0"/>
      <w:marBottom w:val="0"/>
      <w:divBdr>
        <w:top w:val="none" w:sz="0" w:space="0" w:color="auto"/>
        <w:left w:val="none" w:sz="0" w:space="0" w:color="auto"/>
        <w:bottom w:val="none" w:sz="0" w:space="0" w:color="auto"/>
        <w:right w:val="none" w:sz="0" w:space="0" w:color="auto"/>
      </w:divBdr>
    </w:div>
    <w:div w:id="527567024">
      <w:bodyDiv w:val="1"/>
      <w:marLeft w:val="0"/>
      <w:marRight w:val="0"/>
      <w:marTop w:val="0"/>
      <w:marBottom w:val="0"/>
      <w:divBdr>
        <w:top w:val="none" w:sz="0" w:space="0" w:color="auto"/>
        <w:left w:val="none" w:sz="0" w:space="0" w:color="auto"/>
        <w:bottom w:val="none" w:sz="0" w:space="0" w:color="auto"/>
        <w:right w:val="none" w:sz="0" w:space="0" w:color="auto"/>
      </w:divBdr>
    </w:div>
    <w:div w:id="528183659">
      <w:bodyDiv w:val="1"/>
      <w:marLeft w:val="0"/>
      <w:marRight w:val="0"/>
      <w:marTop w:val="0"/>
      <w:marBottom w:val="0"/>
      <w:divBdr>
        <w:top w:val="none" w:sz="0" w:space="0" w:color="auto"/>
        <w:left w:val="none" w:sz="0" w:space="0" w:color="auto"/>
        <w:bottom w:val="none" w:sz="0" w:space="0" w:color="auto"/>
        <w:right w:val="none" w:sz="0" w:space="0" w:color="auto"/>
      </w:divBdr>
    </w:div>
    <w:div w:id="528447978">
      <w:bodyDiv w:val="1"/>
      <w:marLeft w:val="0"/>
      <w:marRight w:val="0"/>
      <w:marTop w:val="0"/>
      <w:marBottom w:val="0"/>
      <w:divBdr>
        <w:top w:val="none" w:sz="0" w:space="0" w:color="auto"/>
        <w:left w:val="none" w:sz="0" w:space="0" w:color="auto"/>
        <w:bottom w:val="none" w:sz="0" w:space="0" w:color="auto"/>
        <w:right w:val="none" w:sz="0" w:space="0" w:color="auto"/>
      </w:divBdr>
    </w:div>
    <w:div w:id="530142908">
      <w:bodyDiv w:val="1"/>
      <w:marLeft w:val="0"/>
      <w:marRight w:val="0"/>
      <w:marTop w:val="0"/>
      <w:marBottom w:val="0"/>
      <w:divBdr>
        <w:top w:val="none" w:sz="0" w:space="0" w:color="auto"/>
        <w:left w:val="none" w:sz="0" w:space="0" w:color="auto"/>
        <w:bottom w:val="none" w:sz="0" w:space="0" w:color="auto"/>
        <w:right w:val="none" w:sz="0" w:space="0" w:color="auto"/>
      </w:divBdr>
    </w:div>
    <w:div w:id="530262707">
      <w:bodyDiv w:val="1"/>
      <w:marLeft w:val="0"/>
      <w:marRight w:val="0"/>
      <w:marTop w:val="0"/>
      <w:marBottom w:val="0"/>
      <w:divBdr>
        <w:top w:val="none" w:sz="0" w:space="0" w:color="auto"/>
        <w:left w:val="none" w:sz="0" w:space="0" w:color="auto"/>
        <w:bottom w:val="none" w:sz="0" w:space="0" w:color="auto"/>
        <w:right w:val="none" w:sz="0" w:space="0" w:color="auto"/>
      </w:divBdr>
    </w:div>
    <w:div w:id="53354008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310">
      <w:bodyDiv w:val="1"/>
      <w:marLeft w:val="0"/>
      <w:marRight w:val="0"/>
      <w:marTop w:val="0"/>
      <w:marBottom w:val="0"/>
      <w:divBdr>
        <w:top w:val="none" w:sz="0" w:space="0" w:color="auto"/>
        <w:left w:val="none" w:sz="0" w:space="0" w:color="auto"/>
        <w:bottom w:val="none" w:sz="0" w:space="0" w:color="auto"/>
        <w:right w:val="none" w:sz="0" w:space="0" w:color="auto"/>
      </w:divBdr>
    </w:div>
    <w:div w:id="537351671">
      <w:bodyDiv w:val="1"/>
      <w:marLeft w:val="0"/>
      <w:marRight w:val="0"/>
      <w:marTop w:val="0"/>
      <w:marBottom w:val="0"/>
      <w:divBdr>
        <w:top w:val="none" w:sz="0" w:space="0" w:color="auto"/>
        <w:left w:val="none" w:sz="0" w:space="0" w:color="auto"/>
        <w:bottom w:val="none" w:sz="0" w:space="0" w:color="auto"/>
        <w:right w:val="none" w:sz="0" w:space="0" w:color="auto"/>
      </w:divBdr>
    </w:div>
    <w:div w:id="540091586">
      <w:bodyDiv w:val="1"/>
      <w:marLeft w:val="0"/>
      <w:marRight w:val="0"/>
      <w:marTop w:val="0"/>
      <w:marBottom w:val="0"/>
      <w:divBdr>
        <w:top w:val="none" w:sz="0" w:space="0" w:color="auto"/>
        <w:left w:val="none" w:sz="0" w:space="0" w:color="auto"/>
        <w:bottom w:val="none" w:sz="0" w:space="0" w:color="auto"/>
        <w:right w:val="none" w:sz="0" w:space="0" w:color="auto"/>
      </w:divBdr>
    </w:div>
    <w:div w:id="548490645">
      <w:bodyDiv w:val="1"/>
      <w:marLeft w:val="0"/>
      <w:marRight w:val="0"/>
      <w:marTop w:val="0"/>
      <w:marBottom w:val="0"/>
      <w:divBdr>
        <w:top w:val="none" w:sz="0" w:space="0" w:color="auto"/>
        <w:left w:val="none" w:sz="0" w:space="0" w:color="auto"/>
        <w:bottom w:val="none" w:sz="0" w:space="0" w:color="auto"/>
        <w:right w:val="none" w:sz="0" w:space="0" w:color="auto"/>
      </w:divBdr>
    </w:div>
    <w:div w:id="548692450">
      <w:bodyDiv w:val="1"/>
      <w:marLeft w:val="0"/>
      <w:marRight w:val="0"/>
      <w:marTop w:val="0"/>
      <w:marBottom w:val="0"/>
      <w:divBdr>
        <w:top w:val="none" w:sz="0" w:space="0" w:color="auto"/>
        <w:left w:val="none" w:sz="0" w:space="0" w:color="auto"/>
        <w:bottom w:val="none" w:sz="0" w:space="0" w:color="auto"/>
        <w:right w:val="none" w:sz="0" w:space="0" w:color="auto"/>
      </w:divBdr>
    </w:div>
    <w:div w:id="550533457">
      <w:bodyDiv w:val="1"/>
      <w:marLeft w:val="0"/>
      <w:marRight w:val="0"/>
      <w:marTop w:val="0"/>
      <w:marBottom w:val="0"/>
      <w:divBdr>
        <w:top w:val="none" w:sz="0" w:space="0" w:color="auto"/>
        <w:left w:val="none" w:sz="0" w:space="0" w:color="auto"/>
        <w:bottom w:val="none" w:sz="0" w:space="0" w:color="auto"/>
        <w:right w:val="none" w:sz="0" w:space="0" w:color="auto"/>
      </w:divBdr>
    </w:div>
    <w:div w:id="555508632">
      <w:bodyDiv w:val="1"/>
      <w:marLeft w:val="0"/>
      <w:marRight w:val="0"/>
      <w:marTop w:val="0"/>
      <w:marBottom w:val="0"/>
      <w:divBdr>
        <w:top w:val="none" w:sz="0" w:space="0" w:color="auto"/>
        <w:left w:val="none" w:sz="0" w:space="0" w:color="auto"/>
        <w:bottom w:val="none" w:sz="0" w:space="0" w:color="auto"/>
        <w:right w:val="none" w:sz="0" w:space="0" w:color="auto"/>
      </w:divBdr>
    </w:div>
    <w:div w:id="556745453">
      <w:bodyDiv w:val="1"/>
      <w:marLeft w:val="0"/>
      <w:marRight w:val="0"/>
      <w:marTop w:val="0"/>
      <w:marBottom w:val="0"/>
      <w:divBdr>
        <w:top w:val="none" w:sz="0" w:space="0" w:color="auto"/>
        <w:left w:val="none" w:sz="0" w:space="0" w:color="auto"/>
        <w:bottom w:val="none" w:sz="0" w:space="0" w:color="auto"/>
        <w:right w:val="none" w:sz="0" w:space="0" w:color="auto"/>
      </w:divBdr>
    </w:div>
    <w:div w:id="559170739">
      <w:bodyDiv w:val="1"/>
      <w:marLeft w:val="0"/>
      <w:marRight w:val="0"/>
      <w:marTop w:val="0"/>
      <w:marBottom w:val="0"/>
      <w:divBdr>
        <w:top w:val="none" w:sz="0" w:space="0" w:color="auto"/>
        <w:left w:val="none" w:sz="0" w:space="0" w:color="auto"/>
        <w:bottom w:val="none" w:sz="0" w:space="0" w:color="auto"/>
        <w:right w:val="none" w:sz="0" w:space="0" w:color="auto"/>
      </w:divBdr>
    </w:div>
    <w:div w:id="560870618">
      <w:bodyDiv w:val="1"/>
      <w:marLeft w:val="0"/>
      <w:marRight w:val="0"/>
      <w:marTop w:val="0"/>
      <w:marBottom w:val="0"/>
      <w:divBdr>
        <w:top w:val="none" w:sz="0" w:space="0" w:color="auto"/>
        <w:left w:val="none" w:sz="0" w:space="0" w:color="auto"/>
        <w:bottom w:val="none" w:sz="0" w:space="0" w:color="auto"/>
        <w:right w:val="none" w:sz="0" w:space="0" w:color="auto"/>
      </w:divBdr>
    </w:div>
    <w:div w:id="564488412">
      <w:bodyDiv w:val="1"/>
      <w:marLeft w:val="0"/>
      <w:marRight w:val="0"/>
      <w:marTop w:val="0"/>
      <w:marBottom w:val="0"/>
      <w:divBdr>
        <w:top w:val="none" w:sz="0" w:space="0" w:color="auto"/>
        <w:left w:val="none" w:sz="0" w:space="0" w:color="auto"/>
        <w:bottom w:val="none" w:sz="0" w:space="0" w:color="auto"/>
        <w:right w:val="none" w:sz="0" w:space="0" w:color="auto"/>
      </w:divBdr>
    </w:div>
    <w:div w:id="564875135">
      <w:bodyDiv w:val="1"/>
      <w:marLeft w:val="0"/>
      <w:marRight w:val="0"/>
      <w:marTop w:val="0"/>
      <w:marBottom w:val="0"/>
      <w:divBdr>
        <w:top w:val="none" w:sz="0" w:space="0" w:color="auto"/>
        <w:left w:val="none" w:sz="0" w:space="0" w:color="auto"/>
        <w:bottom w:val="none" w:sz="0" w:space="0" w:color="auto"/>
        <w:right w:val="none" w:sz="0" w:space="0" w:color="auto"/>
      </w:divBdr>
    </w:div>
    <w:div w:id="566577094">
      <w:bodyDiv w:val="1"/>
      <w:marLeft w:val="0"/>
      <w:marRight w:val="0"/>
      <w:marTop w:val="0"/>
      <w:marBottom w:val="0"/>
      <w:divBdr>
        <w:top w:val="none" w:sz="0" w:space="0" w:color="auto"/>
        <w:left w:val="none" w:sz="0" w:space="0" w:color="auto"/>
        <w:bottom w:val="none" w:sz="0" w:space="0" w:color="auto"/>
        <w:right w:val="none" w:sz="0" w:space="0" w:color="auto"/>
      </w:divBdr>
    </w:div>
    <w:div w:id="568467666">
      <w:bodyDiv w:val="1"/>
      <w:marLeft w:val="0"/>
      <w:marRight w:val="0"/>
      <w:marTop w:val="0"/>
      <w:marBottom w:val="0"/>
      <w:divBdr>
        <w:top w:val="none" w:sz="0" w:space="0" w:color="auto"/>
        <w:left w:val="none" w:sz="0" w:space="0" w:color="auto"/>
        <w:bottom w:val="none" w:sz="0" w:space="0" w:color="auto"/>
        <w:right w:val="none" w:sz="0" w:space="0" w:color="auto"/>
      </w:divBdr>
    </w:div>
    <w:div w:id="570234917">
      <w:bodyDiv w:val="1"/>
      <w:marLeft w:val="0"/>
      <w:marRight w:val="0"/>
      <w:marTop w:val="0"/>
      <w:marBottom w:val="0"/>
      <w:divBdr>
        <w:top w:val="none" w:sz="0" w:space="0" w:color="auto"/>
        <w:left w:val="none" w:sz="0" w:space="0" w:color="auto"/>
        <w:bottom w:val="none" w:sz="0" w:space="0" w:color="auto"/>
        <w:right w:val="none" w:sz="0" w:space="0" w:color="auto"/>
      </w:divBdr>
    </w:div>
    <w:div w:id="571549620">
      <w:bodyDiv w:val="1"/>
      <w:marLeft w:val="0"/>
      <w:marRight w:val="0"/>
      <w:marTop w:val="0"/>
      <w:marBottom w:val="0"/>
      <w:divBdr>
        <w:top w:val="none" w:sz="0" w:space="0" w:color="auto"/>
        <w:left w:val="none" w:sz="0" w:space="0" w:color="auto"/>
        <w:bottom w:val="none" w:sz="0" w:space="0" w:color="auto"/>
        <w:right w:val="none" w:sz="0" w:space="0" w:color="auto"/>
      </w:divBdr>
    </w:div>
    <w:div w:id="572400231">
      <w:bodyDiv w:val="1"/>
      <w:marLeft w:val="0"/>
      <w:marRight w:val="0"/>
      <w:marTop w:val="0"/>
      <w:marBottom w:val="0"/>
      <w:divBdr>
        <w:top w:val="none" w:sz="0" w:space="0" w:color="auto"/>
        <w:left w:val="none" w:sz="0" w:space="0" w:color="auto"/>
        <w:bottom w:val="none" w:sz="0" w:space="0" w:color="auto"/>
        <w:right w:val="none" w:sz="0" w:space="0" w:color="auto"/>
      </w:divBdr>
    </w:div>
    <w:div w:id="572474949">
      <w:bodyDiv w:val="1"/>
      <w:marLeft w:val="0"/>
      <w:marRight w:val="0"/>
      <w:marTop w:val="0"/>
      <w:marBottom w:val="0"/>
      <w:divBdr>
        <w:top w:val="none" w:sz="0" w:space="0" w:color="auto"/>
        <w:left w:val="none" w:sz="0" w:space="0" w:color="auto"/>
        <w:bottom w:val="none" w:sz="0" w:space="0" w:color="auto"/>
        <w:right w:val="none" w:sz="0" w:space="0" w:color="auto"/>
      </w:divBdr>
    </w:div>
    <w:div w:id="573322695">
      <w:bodyDiv w:val="1"/>
      <w:marLeft w:val="0"/>
      <w:marRight w:val="0"/>
      <w:marTop w:val="0"/>
      <w:marBottom w:val="0"/>
      <w:divBdr>
        <w:top w:val="none" w:sz="0" w:space="0" w:color="auto"/>
        <w:left w:val="none" w:sz="0" w:space="0" w:color="auto"/>
        <w:bottom w:val="none" w:sz="0" w:space="0" w:color="auto"/>
        <w:right w:val="none" w:sz="0" w:space="0" w:color="auto"/>
      </w:divBdr>
    </w:div>
    <w:div w:id="575357090">
      <w:bodyDiv w:val="1"/>
      <w:marLeft w:val="0"/>
      <w:marRight w:val="0"/>
      <w:marTop w:val="0"/>
      <w:marBottom w:val="0"/>
      <w:divBdr>
        <w:top w:val="none" w:sz="0" w:space="0" w:color="auto"/>
        <w:left w:val="none" w:sz="0" w:space="0" w:color="auto"/>
        <w:bottom w:val="none" w:sz="0" w:space="0" w:color="auto"/>
        <w:right w:val="none" w:sz="0" w:space="0" w:color="auto"/>
      </w:divBdr>
    </w:div>
    <w:div w:id="575940130">
      <w:bodyDiv w:val="1"/>
      <w:marLeft w:val="0"/>
      <w:marRight w:val="0"/>
      <w:marTop w:val="0"/>
      <w:marBottom w:val="0"/>
      <w:divBdr>
        <w:top w:val="none" w:sz="0" w:space="0" w:color="auto"/>
        <w:left w:val="none" w:sz="0" w:space="0" w:color="auto"/>
        <w:bottom w:val="none" w:sz="0" w:space="0" w:color="auto"/>
        <w:right w:val="none" w:sz="0" w:space="0" w:color="auto"/>
      </w:divBdr>
    </w:div>
    <w:div w:id="582226612">
      <w:bodyDiv w:val="1"/>
      <w:marLeft w:val="0"/>
      <w:marRight w:val="0"/>
      <w:marTop w:val="0"/>
      <w:marBottom w:val="0"/>
      <w:divBdr>
        <w:top w:val="none" w:sz="0" w:space="0" w:color="auto"/>
        <w:left w:val="none" w:sz="0" w:space="0" w:color="auto"/>
        <w:bottom w:val="none" w:sz="0" w:space="0" w:color="auto"/>
        <w:right w:val="none" w:sz="0" w:space="0" w:color="auto"/>
      </w:divBdr>
    </w:div>
    <w:div w:id="583884211">
      <w:bodyDiv w:val="1"/>
      <w:marLeft w:val="0"/>
      <w:marRight w:val="0"/>
      <w:marTop w:val="0"/>
      <w:marBottom w:val="0"/>
      <w:divBdr>
        <w:top w:val="none" w:sz="0" w:space="0" w:color="auto"/>
        <w:left w:val="none" w:sz="0" w:space="0" w:color="auto"/>
        <w:bottom w:val="none" w:sz="0" w:space="0" w:color="auto"/>
        <w:right w:val="none" w:sz="0" w:space="0" w:color="auto"/>
      </w:divBdr>
    </w:div>
    <w:div w:id="587152313">
      <w:bodyDiv w:val="1"/>
      <w:marLeft w:val="0"/>
      <w:marRight w:val="0"/>
      <w:marTop w:val="0"/>
      <w:marBottom w:val="0"/>
      <w:divBdr>
        <w:top w:val="none" w:sz="0" w:space="0" w:color="auto"/>
        <w:left w:val="none" w:sz="0" w:space="0" w:color="auto"/>
        <w:bottom w:val="none" w:sz="0" w:space="0" w:color="auto"/>
        <w:right w:val="none" w:sz="0" w:space="0" w:color="auto"/>
      </w:divBdr>
    </w:div>
    <w:div w:id="587933658">
      <w:bodyDiv w:val="1"/>
      <w:marLeft w:val="0"/>
      <w:marRight w:val="0"/>
      <w:marTop w:val="0"/>
      <w:marBottom w:val="0"/>
      <w:divBdr>
        <w:top w:val="none" w:sz="0" w:space="0" w:color="auto"/>
        <w:left w:val="none" w:sz="0" w:space="0" w:color="auto"/>
        <w:bottom w:val="none" w:sz="0" w:space="0" w:color="auto"/>
        <w:right w:val="none" w:sz="0" w:space="0" w:color="auto"/>
      </w:divBdr>
    </w:div>
    <w:div w:id="588199800">
      <w:bodyDiv w:val="1"/>
      <w:marLeft w:val="0"/>
      <w:marRight w:val="0"/>
      <w:marTop w:val="0"/>
      <w:marBottom w:val="0"/>
      <w:divBdr>
        <w:top w:val="none" w:sz="0" w:space="0" w:color="auto"/>
        <w:left w:val="none" w:sz="0" w:space="0" w:color="auto"/>
        <w:bottom w:val="none" w:sz="0" w:space="0" w:color="auto"/>
        <w:right w:val="none" w:sz="0" w:space="0" w:color="auto"/>
      </w:divBdr>
    </w:div>
    <w:div w:id="588317829">
      <w:bodyDiv w:val="1"/>
      <w:marLeft w:val="0"/>
      <w:marRight w:val="0"/>
      <w:marTop w:val="0"/>
      <w:marBottom w:val="0"/>
      <w:divBdr>
        <w:top w:val="none" w:sz="0" w:space="0" w:color="auto"/>
        <w:left w:val="none" w:sz="0" w:space="0" w:color="auto"/>
        <w:bottom w:val="none" w:sz="0" w:space="0" w:color="auto"/>
        <w:right w:val="none" w:sz="0" w:space="0" w:color="auto"/>
      </w:divBdr>
    </w:div>
    <w:div w:id="589508911">
      <w:bodyDiv w:val="1"/>
      <w:marLeft w:val="0"/>
      <w:marRight w:val="0"/>
      <w:marTop w:val="0"/>
      <w:marBottom w:val="0"/>
      <w:divBdr>
        <w:top w:val="none" w:sz="0" w:space="0" w:color="auto"/>
        <w:left w:val="none" w:sz="0" w:space="0" w:color="auto"/>
        <w:bottom w:val="none" w:sz="0" w:space="0" w:color="auto"/>
        <w:right w:val="none" w:sz="0" w:space="0" w:color="auto"/>
      </w:divBdr>
    </w:div>
    <w:div w:id="590506199">
      <w:bodyDiv w:val="1"/>
      <w:marLeft w:val="0"/>
      <w:marRight w:val="0"/>
      <w:marTop w:val="0"/>
      <w:marBottom w:val="0"/>
      <w:divBdr>
        <w:top w:val="none" w:sz="0" w:space="0" w:color="auto"/>
        <w:left w:val="none" w:sz="0" w:space="0" w:color="auto"/>
        <w:bottom w:val="none" w:sz="0" w:space="0" w:color="auto"/>
        <w:right w:val="none" w:sz="0" w:space="0" w:color="auto"/>
      </w:divBdr>
    </w:div>
    <w:div w:id="591820496">
      <w:bodyDiv w:val="1"/>
      <w:marLeft w:val="0"/>
      <w:marRight w:val="0"/>
      <w:marTop w:val="0"/>
      <w:marBottom w:val="0"/>
      <w:divBdr>
        <w:top w:val="none" w:sz="0" w:space="0" w:color="auto"/>
        <w:left w:val="none" w:sz="0" w:space="0" w:color="auto"/>
        <w:bottom w:val="none" w:sz="0" w:space="0" w:color="auto"/>
        <w:right w:val="none" w:sz="0" w:space="0" w:color="auto"/>
      </w:divBdr>
    </w:div>
    <w:div w:id="593517576">
      <w:bodyDiv w:val="1"/>
      <w:marLeft w:val="0"/>
      <w:marRight w:val="0"/>
      <w:marTop w:val="0"/>
      <w:marBottom w:val="0"/>
      <w:divBdr>
        <w:top w:val="none" w:sz="0" w:space="0" w:color="auto"/>
        <w:left w:val="none" w:sz="0" w:space="0" w:color="auto"/>
        <w:bottom w:val="none" w:sz="0" w:space="0" w:color="auto"/>
        <w:right w:val="none" w:sz="0" w:space="0" w:color="auto"/>
      </w:divBdr>
    </w:div>
    <w:div w:id="595790307">
      <w:bodyDiv w:val="1"/>
      <w:marLeft w:val="0"/>
      <w:marRight w:val="0"/>
      <w:marTop w:val="0"/>
      <w:marBottom w:val="0"/>
      <w:divBdr>
        <w:top w:val="none" w:sz="0" w:space="0" w:color="auto"/>
        <w:left w:val="none" w:sz="0" w:space="0" w:color="auto"/>
        <w:bottom w:val="none" w:sz="0" w:space="0" w:color="auto"/>
        <w:right w:val="none" w:sz="0" w:space="0" w:color="auto"/>
      </w:divBdr>
    </w:div>
    <w:div w:id="603390645">
      <w:bodyDiv w:val="1"/>
      <w:marLeft w:val="0"/>
      <w:marRight w:val="0"/>
      <w:marTop w:val="0"/>
      <w:marBottom w:val="0"/>
      <w:divBdr>
        <w:top w:val="none" w:sz="0" w:space="0" w:color="auto"/>
        <w:left w:val="none" w:sz="0" w:space="0" w:color="auto"/>
        <w:bottom w:val="none" w:sz="0" w:space="0" w:color="auto"/>
        <w:right w:val="none" w:sz="0" w:space="0" w:color="auto"/>
      </w:divBdr>
    </w:div>
    <w:div w:id="605425216">
      <w:bodyDiv w:val="1"/>
      <w:marLeft w:val="0"/>
      <w:marRight w:val="0"/>
      <w:marTop w:val="0"/>
      <w:marBottom w:val="0"/>
      <w:divBdr>
        <w:top w:val="none" w:sz="0" w:space="0" w:color="auto"/>
        <w:left w:val="none" w:sz="0" w:space="0" w:color="auto"/>
        <w:bottom w:val="none" w:sz="0" w:space="0" w:color="auto"/>
        <w:right w:val="none" w:sz="0" w:space="0" w:color="auto"/>
      </w:divBdr>
    </w:div>
    <w:div w:id="605697534">
      <w:bodyDiv w:val="1"/>
      <w:marLeft w:val="0"/>
      <w:marRight w:val="0"/>
      <w:marTop w:val="0"/>
      <w:marBottom w:val="0"/>
      <w:divBdr>
        <w:top w:val="none" w:sz="0" w:space="0" w:color="auto"/>
        <w:left w:val="none" w:sz="0" w:space="0" w:color="auto"/>
        <w:bottom w:val="none" w:sz="0" w:space="0" w:color="auto"/>
        <w:right w:val="none" w:sz="0" w:space="0" w:color="auto"/>
      </w:divBdr>
    </w:div>
    <w:div w:id="606545901">
      <w:bodyDiv w:val="1"/>
      <w:marLeft w:val="0"/>
      <w:marRight w:val="0"/>
      <w:marTop w:val="0"/>
      <w:marBottom w:val="0"/>
      <w:divBdr>
        <w:top w:val="none" w:sz="0" w:space="0" w:color="auto"/>
        <w:left w:val="none" w:sz="0" w:space="0" w:color="auto"/>
        <w:bottom w:val="none" w:sz="0" w:space="0" w:color="auto"/>
        <w:right w:val="none" w:sz="0" w:space="0" w:color="auto"/>
      </w:divBdr>
    </w:div>
    <w:div w:id="607196719">
      <w:bodyDiv w:val="1"/>
      <w:marLeft w:val="0"/>
      <w:marRight w:val="0"/>
      <w:marTop w:val="0"/>
      <w:marBottom w:val="0"/>
      <w:divBdr>
        <w:top w:val="none" w:sz="0" w:space="0" w:color="auto"/>
        <w:left w:val="none" w:sz="0" w:space="0" w:color="auto"/>
        <w:bottom w:val="none" w:sz="0" w:space="0" w:color="auto"/>
        <w:right w:val="none" w:sz="0" w:space="0" w:color="auto"/>
      </w:divBdr>
    </w:div>
    <w:div w:id="610822837">
      <w:bodyDiv w:val="1"/>
      <w:marLeft w:val="0"/>
      <w:marRight w:val="0"/>
      <w:marTop w:val="0"/>
      <w:marBottom w:val="0"/>
      <w:divBdr>
        <w:top w:val="none" w:sz="0" w:space="0" w:color="auto"/>
        <w:left w:val="none" w:sz="0" w:space="0" w:color="auto"/>
        <w:bottom w:val="none" w:sz="0" w:space="0" w:color="auto"/>
        <w:right w:val="none" w:sz="0" w:space="0" w:color="auto"/>
      </w:divBdr>
    </w:div>
    <w:div w:id="612059669">
      <w:bodyDiv w:val="1"/>
      <w:marLeft w:val="0"/>
      <w:marRight w:val="0"/>
      <w:marTop w:val="0"/>
      <w:marBottom w:val="0"/>
      <w:divBdr>
        <w:top w:val="none" w:sz="0" w:space="0" w:color="auto"/>
        <w:left w:val="none" w:sz="0" w:space="0" w:color="auto"/>
        <w:bottom w:val="none" w:sz="0" w:space="0" w:color="auto"/>
        <w:right w:val="none" w:sz="0" w:space="0" w:color="auto"/>
      </w:divBdr>
    </w:div>
    <w:div w:id="612322554">
      <w:bodyDiv w:val="1"/>
      <w:marLeft w:val="0"/>
      <w:marRight w:val="0"/>
      <w:marTop w:val="0"/>
      <w:marBottom w:val="0"/>
      <w:divBdr>
        <w:top w:val="none" w:sz="0" w:space="0" w:color="auto"/>
        <w:left w:val="none" w:sz="0" w:space="0" w:color="auto"/>
        <w:bottom w:val="none" w:sz="0" w:space="0" w:color="auto"/>
        <w:right w:val="none" w:sz="0" w:space="0" w:color="auto"/>
      </w:divBdr>
    </w:div>
    <w:div w:id="613169133">
      <w:bodyDiv w:val="1"/>
      <w:marLeft w:val="0"/>
      <w:marRight w:val="0"/>
      <w:marTop w:val="0"/>
      <w:marBottom w:val="0"/>
      <w:divBdr>
        <w:top w:val="none" w:sz="0" w:space="0" w:color="auto"/>
        <w:left w:val="none" w:sz="0" w:space="0" w:color="auto"/>
        <w:bottom w:val="none" w:sz="0" w:space="0" w:color="auto"/>
        <w:right w:val="none" w:sz="0" w:space="0" w:color="auto"/>
      </w:divBdr>
    </w:div>
    <w:div w:id="613946600">
      <w:bodyDiv w:val="1"/>
      <w:marLeft w:val="0"/>
      <w:marRight w:val="0"/>
      <w:marTop w:val="0"/>
      <w:marBottom w:val="0"/>
      <w:divBdr>
        <w:top w:val="none" w:sz="0" w:space="0" w:color="auto"/>
        <w:left w:val="none" w:sz="0" w:space="0" w:color="auto"/>
        <w:bottom w:val="none" w:sz="0" w:space="0" w:color="auto"/>
        <w:right w:val="none" w:sz="0" w:space="0" w:color="auto"/>
      </w:divBdr>
    </w:div>
    <w:div w:id="618681463">
      <w:bodyDiv w:val="1"/>
      <w:marLeft w:val="0"/>
      <w:marRight w:val="0"/>
      <w:marTop w:val="0"/>
      <w:marBottom w:val="0"/>
      <w:divBdr>
        <w:top w:val="none" w:sz="0" w:space="0" w:color="auto"/>
        <w:left w:val="none" w:sz="0" w:space="0" w:color="auto"/>
        <w:bottom w:val="none" w:sz="0" w:space="0" w:color="auto"/>
        <w:right w:val="none" w:sz="0" w:space="0" w:color="auto"/>
      </w:divBdr>
    </w:div>
    <w:div w:id="619728060">
      <w:bodyDiv w:val="1"/>
      <w:marLeft w:val="0"/>
      <w:marRight w:val="0"/>
      <w:marTop w:val="0"/>
      <w:marBottom w:val="0"/>
      <w:divBdr>
        <w:top w:val="none" w:sz="0" w:space="0" w:color="auto"/>
        <w:left w:val="none" w:sz="0" w:space="0" w:color="auto"/>
        <w:bottom w:val="none" w:sz="0" w:space="0" w:color="auto"/>
        <w:right w:val="none" w:sz="0" w:space="0" w:color="auto"/>
      </w:divBdr>
    </w:div>
    <w:div w:id="620455908">
      <w:bodyDiv w:val="1"/>
      <w:marLeft w:val="0"/>
      <w:marRight w:val="0"/>
      <w:marTop w:val="0"/>
      <w:marBottom w:val="0"/>
      <w:divBdr>
        <w:top w:val="none" w:sz="0" w:space="0" w:color="auto"/>
        <w:left w:val="none" w:sz="0" w:space="0" w:color="auto"/>
        <w:bottom w:val="none" w:sz="0" w:space="0" w:color="auto"/>
        <w:right w:val="none" w:sz="0" w:space="0" w:color="auto"/>
      </w:divBdr>
    </w:div>
    <w:div w:id="621771703">
      <w:bodyDiv w:val="1"/>
      <w:marLeft w:val="0"/>
      <w:marRight w:val="0"/>
      <w:marTop w:val="0"/>
      <w:marBottom w:val="0"/>
      <w:divBdr>
        <w:top w:val="none" w:sz="0" w:space="0" w:color="auto"/>
        <w:left w:val="none" w:sz="0" w:space="0" w:color="auto"/>
        <w:bottom w:val="none" w:sz="0" w:space="0" w:color="auto"/>
        <w:right w:val="none" w:sz="0" w:space="0" w:color="auto"/>
      </w:divBdr>
    </w:div>
    <w:div w:id="621838271">
      <w:bodyDiv w:val="1"/>
      <w:marLeft w:val="0"/>
      <w:marRight w:val="0"/>
      <w:marTop w:val="0"/>
      <w:marBottom w:val="0"/>
      <w:divBdr>
        <w:top w:val="none" w:sz="0" w:space="0" w:color="auto"/>
        <w:left w:val="none" w:sz="0" w:space="0" w:color="auto"/>
        <w:bottom w:val="none" w:sz="0" w:space="0" w:color="auto"/>
        <w:right w:val="none" w:sz="0" w:space="0" w:color="auto"/>
      </w:divBdr>
    </w:div>
    <w:div w:id="622926250">
      <w:bodyDiv w:val="1"/>
      <w:marLeft w:val="0"/>
      <w:marRight w:val="0"/>
      <w:marTop w:val="0"/>
      <w:marBottom w:val="0"/>
      <w:divBdr>
        <w:top w:val="none" w:sz="0" w:space="0" w:color="auto"/>
        <w:left w:val="none" w:sz="0" w:space="0" w:color="auto"/>
        <w:bottom w:val="none" w:sz="0" w:space="0" w:color="auto"/>
        <w:right w:val="none" w:sz="0" w:space="0" w:color="auto"/>
      </w:divBdr>
    </w:div>
    <w:div w:id="624970432">
      <w:bodyDiv w:val="1"/>
      <w:marLeft w:val="0"/>
      <w:marRight w:val="0"/>
      <w:marTop w:val="0"/>
      <w:marBottom w:val="0"/>
      <w:divBdr>
        <w:top w:val="none" w:sz="0" w:space="0" w:color="auto"/>
        <w:left w:val="none" w:sz="0" w:space="0" w:color="auto"/>
        <w:bottom w:val="none" w:sz="0" w:space="0" w:color="auto"/>
        <w:right w:val="none" w:sz="0" w:space="0" w:color="auto"/>
      </w:divBdr>
    </w:div>
    <w:div w:id="627080638">
      <w:bodyDiv w:val="1"/>
      <w:marLeft w:val="0"/>
      <w:marRight w:val="0"/>
      <w:marTop w:val="0"/>
      <w:marBottom w:val="0"/>
      <w:divBdr>
        <w:top w:val="none" w:sz="0" w:space="0" w:color="auto"/>
        <w:left w:val="none" w:sz="0" w:space="0" w:color="auto"/>
        <w:bottom w:val="none" w:sz="0" w:space="0" w:color="auto"/>
        <w:right w:val="none" w:sz="0" w:space="0" w:color="auto"/>
      </w:divBdr>
    </w:div>
    <w:div w:id="629672018">
      <w:bodyDiv w:val="1"/>
      <w:marLeft w:val="0"/>
      <w:marRight w:val="0"/>
      <w:marTop w:val="0"/>
      <w:marBottom w:val="0"/>
      <w:divBdr>
        <w:top w:val="none" w:sz="0" w:space="0" w:color="auto"/>
        <w:left w:val="none" w:sz="0" w:space="0" w:color="auto"/>
        <w:bottom w:val="none" w:sz="0" w:space="0" w:color="auto"/>
        <w:right w:val="none" w:sz="0" w:space="0" w:color="auto"/>
      </w:divBdr>
    </w:div>
    <w:div w:id="631401385">
      <w:bodyDiv w:val="1"/>
      <w:marLeft w:val="0"/>
      <w:marRight w:val="0"/>
      <w:marTop w:val="0"/>
      <w:marBottom w:val="0"/>
      <w:divBdr>
        <w:top w:val="none" w:sz="0" w:space="0" w:color="auto"/>
        <w:left w:val="none" w:sz="0" w:space="0" w:color="auto"/>
        <w:bottom w:val="none" w:sz="0" w:space="0" w:color="auto"/>
        <w:right w:val="none" w:sz="0" w:space="0" w:color="auto"/>
      </w:divBdr>
    </w:div>
    <w:div w:id="633485501">
      <w:bodyDiv w:val="1"/>
      <w:marLeft w:val="0"/>
      <w:marRight w:val="0"/>
      <w:marTop w:val="0"/>
      <w:marBottom w:val="0"/>
      <w:divBdr>
        <w:top w:val="none" w:sz="0" w:space="0" w:color="auto"/>
        <w:left w:val="none" w:sz="0" w:space="0" w:color="auto"/>
        <w:bottom w:val="none" w:sz="0" w:space="0" w:color="auto"/>
        <w:right w:val="none" w:sz="0" w:space="0" w:color="auto"/>
      </w:divBdr>
    </w:div>
    <w:div w:id="636183867">
      <w:bodyDiv w:val="1"/>
      <w:marLeft w:val="0"/>
      <w:marRight w:val="0"/>
      <w:marTop w:val="0"/>
      <w:marBottom w:val="0"/>
      <w:divBdr>
        <w:top w:val="none" w:sz="0" w:space="0" w:color="auto"/>
        <w:left w:val="none" w:sz="0" w:space="0" w:color="auto"/>
        <w:bottom w:val="none" w:sz="0" w:space="0" w:color="auto"/>
        <w:right w:val="none" w:sz="0" w:space="0" w:color="auto"/>
      </w:divBdr>
    </w:div>
    <w:div w:id="638803350">
      <w:bodyDiv w:val="1"/>
      <w:marLeft w:val="0"/>
      <w:marRight w:val="0"/>
      <w:marTop w:val="0"/>
      <w:marBottom w:val="0"/>
      <w:divBdr>
        <w:top w:val="none" w:sz="0" w:space="0" w:color="auto"/>
        <w:left w:val="none" w:sz="0" w:space="0" w:color="auto"/>
        <w:bottom w:val="none" w:sz="0" w:space="0" w:color="auto"/>
        <w:right w:val="none" w:sz="0" w:space="0" w:color="auto"/>
      </w:divBdr>
    </w:div>
    <w:div w:id="641346373">
      <w:bodyDiv w:val="1"/>
      <w:marLeft w:val="0"/>
      <w:marRight w:val="0"/>
      <w:marTop w:val="0"/>
      <w:marBottom w:val="0"/>
      <w:divBdr>
        <w:top w:val="none" w:sz="0" w:space="0" w:color="auto"/>
        <w:left w:val="none" w:sz="0" w:space="0" w:color="auto"/>
        <w:bottom w:val="none" w:sz="0" w:space="0" w:color="auto"/>
        <w:right w:val="none" w:sz="0" w:space="0" w:color="auto"/>
      </w:divBdr>
    </w:div>
    <w:div w:id="642586511">
      <w:bodyDiv w:val="1"/>
      <w:marLeft w:val="0"/>
      <w:marRight w:val="0"/>
      <w:marTop w:val="0"/>
      <w:marBottom w:val="0"/>
      <w:divBdr>
        <w:top w:val="none" w:sz="0" w:space="0" w:color="auto"/>
        <w:left w:val="none" w:sz="0" w:space="0" w:color="auto"/>
        <w:bottom w:val="none" w:sz="0" w:space="0" w:color="auto"/>
        <w:right w:val="none" w:sz="0" w:space="0" w:color="auto"/>
      </w:divBdr>
    </w:div>
    <w:div w:id="644161473">
      <w:bodyDiv w:val="1"/>
      <w:marLeft w:val="0"/>
      <w:marRight w:val="0"/>
      <w:marTop w:val="0"/>
      <w:marBottom w:val="0"/>
      <w:divBdr>
        <w:top w:val="none" w:sz="0" w:space="0" w:color="auto"/>
        <w:left w:val="none" w:sz="0" w:space="0" w:color="auto"/>
        <w:bottom w:val="none" w:sz="0" w:space="0" w:color="auto"/>
        <w:right w:val="none" w:sz="0" w:space="0" w:color="auto"/>
      </w:divBdr>
    </w:div>
    <w:div w:id="646015415">
      <w:bodyDiv w:val="1"/>
      <w:marLeft w:val="0"/>
      <w:marRight w:val="0"/>
      <w:marTop w:val="0"/>
      <w:marBottom w:val="0"/>
      <w:divBdr>
        <w:top w:val="none" w:sz="0" w:space="0" w:color="auto"/>
        <w:left w:val="none" w:sz="0" w:space="0" w:color="auto"/>
        <w:bottom w:val="none" w:sz="0" w:space="0" w:color="auto"/>
        <w:right w:val="none" w:sz="0" w:space="0" w:color="auto"/>
      </w:divBdr>
    </w:div>
    <w:div w:id="646669945">
      <w:bodyDiv w:val="1"/>
      <w:marLeft w:val="0"/>
      <w:marRight w:val="0"/>
      <w:marTop w:val="0"/>
      <w:marBottom w:val="0"/>
      <w:divBdr>
        <w:top w:val="none" w:sz="0" w:space="0" w:color="auto"/>
        <w:left w:val="none" w:sz="0" w:space="0" w:color="auto"/>
        <w:bottom w:val="none" w:sz="0" w:space="0" w:color="auto"/>
        <w:right w:val="none" w:sz="0" w:space="0" w:color="auto"/>
      </w:divBdr>
    </w:div>
    <w:div w:id="652174405">
      <w:bodyDiv w:val="1"/>
      <w:marLeft w:val="0"/>
      <w:marRight w:val="0"/>
      <w:marTop w:val="0"/>
      <w:marBottom w:val="0"/>
      <w:divBdr>
        <w:top w:val="none" w:sz="0" w:space="0" w:color="auto"/>
        <w:left w:val="none" w:sz="0" w:space="0" w:color="auto"/>
        <w:bottom w:val="none" w:sz="0" w:space="0" w:color="auto"/>
        <w:right w:val="none" w:sz="0" w:space="0" w:color="auto"/>
      </w:divBdr>
    </w:div>
    <w:div w:id="654605790">
      <w:bodyDiv w:val="1"/>
      <w:marLeft w:val="0"/>
      <w:marRight w:val="0"/>
      <w:marTop w:val="0"/>
      <w:marBottom w:val="0"/>
      <w:divBdr>
        <w:top w:val="none" w:sz="0" w:space="0" w:color="auto"/>
        <w:left w:val="none" w:sz="0" w:space="0" w:color="auto"/>
        <w:bottom w:val="none" w:sz="0" w:space="0" w:color="auto"/>
        <w:right w:val="none" w:sz="0" w:space="0" w:color="auto"/>
      </w:divBdr>
    </w:div>
    <w:div w:id="654725792">
      <w:bodyDiv w:val="1"/>
      <w:marLeft w:val="0"/>
      <w:marRight w:val="0"/>
      <w:marTop w:val="0"/>
      <w:marBottom w:val="0"/>
      <w:divBdr>
        <w:top w:val="none" w:sz="0" w:space="0" w:color="auto"/>
        <w:left w:val="none" w:sz="0" w:space="0" w:color="auto"/>
        <w:bottom w:val="none" w:sz="0" w:space="0" w:color="auto"/>
        <w:right w:val="none" w:sz="0" w:space="0" w:color="auto"/>
      </w:divBdr>
    </w:div>
    <w:div w:id="656572194">
      <w:bodyDiv w:val="1"/>
      <w:marLeft w:val="0"/>
      <w:marRight w:val="0"/>
      <w:marTop w:val="0"/>
      <w:marBottom w:val="0"/>
      <w:divBdr>
        <w:top w:val="none" w:sz="0" w:space="0" w:color="auto"/>
        <w:left w:val="none" w:sz="0" w:space="0" w:color="auto"/>
        <w:bottom w:val="none" w:sz="0" w:space="0" w:color="auto"/>
        <w:right w:val="none" w:sz="0" w:space="0" w:color="auto"/>
      </w:divBdr>
    </w:div>
    <w:div w:id="658773280">
      <w:bodyDiv w:val="1"/>
      <w:marLeft w:val="0"/>
      <w:marRight w:val="0"/>
      <w:marTop w:val="0"/>
      <w:marBottom w:val="0"/>
      <w:divBdr>
        <w:top w:val="none" w:sz="0" w:space="0" w:color="auto"/>
        <w:left w:val="none" w:sz="0" w:space="0" w:color="auto"/>
        <w:bottom w:val="none" w:sz="0" w:space="0" w:color="auto"/>
        <w:right w:val="none" w:sz="0" w:space="0" w:color="auto"/>
      </w:divBdr>
    </w:div>
    <w:div w:id="660548255">
      <w:bodyDiv w:val="1"/>
      <w:marLeft w:val="0"/>
      <w:marRight w:val="0"/>
      <w:marTop w:val="0"/>
      <w:marBottom w:val="0"/>
      <w:divBdr>
        <w:top w:val="none" w:sz="0" w:space="0" w:color="auto"/>
        <w:left w:val="none" w:sz="0" w:space="0" w:color="auto"/>
        <w:bottom w:val="none" w:sz="0" w:space="0" w:color="auto"/>
        <w:right w:val="none" w:sz="0" w:space="0" w:color="auto"/>
      </w:divBdr>
    </w:div>
    <w:div w:id="660887140">
      <w:bodyDiv w:val="1"/>
      <w:marLeft w:val="0"/>
      <w:marRight w:val="0"/>
      <w:marTop w:val="0"/>
      <w:marBottom w:val="0"/>
      <w:divBdr>
        <w:top w:val="none" w:sz="0" w:space="0" w:color="auto"/>
        <w:left w:val="none" w:sz="0" w:space="0" w:color="auto"/>
        <w:bottom w:val="none" w:sz="0" w:space="0" w:color="auto"/>
        <w:right w:val="none" w:sz="0" w:space="0" w:color="auto"/>
      </w:divBdr>
    </w:div>
    <w:div w:id="662273247">
      <w:bodyDiv w:val="1"/>
      <w:marLeft w:val="0"/>
      <w:marRight w:val="0"/>
      <w:marTop w:val="0"/>
      <w:marBottom w:val="0"/>
      <w:divBdr>
        <w:top w:val="none" w:sz="0" w:space="0" w:color="auto"/>
        <w:left w:val="none" w:sz="0" w:space="0" w:color="auto"/>
        <w:bottom w:val="none" w:sz="0" w:space="0" w:color="auto"/>
        <w:right w:val="none" w:sz="0" w:space="0" w:color="auto"/>
      </w:divBdr>
    </w:div>
    <w:div w:id="664821516">
      <w:bodyDiv w:val="1"/>
      <w:marLeft w:val="0"/>
      <w:marRight w:val="0"/>
      <w:marTop w:val="0"/>
      <w:marBottom w:val="0"/>
      <w:divBdr>
        <w:top w:val="none" w:sz="0" w:space="0" w:color="auto"/>
        <w:left w:val="none" w:sz="0" w:space="0" w:color="auto"/>
        <w:bottom w:val="none" w:sz="0" w:space="0" w:color="auto"/>
        <w:right w:val="none" w:sz="0" w:space="0" w:color="auto"/>
      </w:divBdr>
    </w:div>
    <w:div w:id="665599429">
      <w:bodyDiv w:val="1"/>
      <w:marLeft w:val="0"/>
      <w:marRight w:val="0"/>
      <w:marTop w:val="0"/>
      <w:marBottom w:val="0"/>
      <w:divBdr>
        <w:top w:val="none" w:sz="0" w:space="0" w:color="auto"/>
        <w:left w:val="none" w:sz="0" w:space="0" w:color="auto"/>
        <w:bottom w:val="none" w:sz="0" w:space="0" w:color="auto"/>
        <w:right w:val="none" w:sz="0" w:space="0" w:color="auto"/>
      </w:divBdr>
    </w:div>
    <w:div w:id="665867886">
      <w:bodyDiv w:val="1"/>
      <w:marLeft w:val="0"/>
      <w:marRight w:val="0"/>
      <w:marTop w:val="0"/>
      <w:marBottom w:val="0"/>
      <w:divBdr>
        <w:top w:val="none" w:sz="0" w:space="0" w:color="auto"/>
        <w:left w:val="none" w:sz="0" w:space="0" w:color="auto"/>
        <w:bottom w:val="none" w:sz="0" w:space="0" w:color="auto"/>
        <w:right w:val="none" w:sz="0" w:space="0" w:color="auto"/>
      </w:divBdr>
    </w:div>
    <w:div w:id="667943902">
      <w:bodyDiv w:val="1"/>
      <w:marLeft w:val="0"/>
      <w:marRight w:val="0"/>
      <w:marTop w:val="0"/>
      <w:marBottom w:val="0"/>
      <w:divBdr>
        <w:top w:val="none" w:sz="0" w:space="0" w:color="auto"/>
        <w:left w:val="none" w:sz="0" w:space="0" w:color="auto"/>
        <w:bottom w:val="none" w:sz="0" w:space="0" w:color="auto"/>
        <w:right w:val="none" w:sz="0" w:space="0" w:color="auto"/>
      </w:divBdr>
    </w:div>
    <w:div w:id="669217302">
      <w:bodyDiv w:val="1"/>
      <w:marLeft w:val="0"/>
      <w:marRight w:val="0"/>
      <w:marTop w:val="0"/>
      <w:marBottom w:val="0"/>
      <w:divBdr>
        <w:top w:val="none" w:sz="0" w:space="0" w:color="auto"/>
        <w:left w:val="none" w:sz="0" w:space="0" w:color="auto"/>
        <w:bottom w:val="none" w:sz="0" w:space="0" w:color="auto"/>
        <w:right w:val="none" w:sz="0" w:space="0" w:color="auto"/>
      </w:divBdr>
    </w:div>
    <w:div w:id="670066466">
      <w:bodyDiv w:val="1"/>
      <w:marLeft w:val="0"/>
      <w:marRight w:val="0"/>
      <w:marTop w:val="0"/>
      <w:marBottom w:val="0"/>
      <w:divBdr>
        <w:top w:val="none" w:sz="0" w:space="0" w:color="auto"/>
        <w:left w:val="none" w:sz="0" w:space="0" w:color="auto"/>
        <w:bottom w:val="none" w:sz="0" w:space="0" w:color="auto"/>
        <w:right w:val="none" w:sz="0" w:space="0" w:color="auto"/>
      </w:divBdr>
    </w:div>
    <w:div w:id="671759928">
      <w:bodyDiv w:val="1"/>
      <w:marLeft w:val="0"/>
      <w:marRight w:val="0"/>
      <w:marTop w:val="0"/>
      <w:marBottom w:val="0"/>
      <w:divBdr>
        <w:top w:val="none" w:sz="0" w:space="0" w:color="auto"/>
        <w:left w:val="none" w:sz="0" w:space="0" w:color="auto"/>
        <w:bottom w:val="none" w:sz="0" w:space="0" w:color="auto"/>
        <w:right w:val="none" w:sz="0" w:space="0" w:color="auto"/>
      </w:divBdr>
    </w:div>
    <w:div w:id="673529954">
      <w:bodyDiv w:val="1"/>
      <w:marLeft w:val="0"/>
      <w:marRight w:val="0"/>
      <w:marTop w:val="0"/>
      <w:marBottom w:val="0"/>
      <w:divBdr>
        <w:top w:val="none" w:sz="0" w:space="0" w:color="auto"/>
        <w:left w:val="none" w:sz="0" w:space="0" w:color="auto"/>
        <w:bottom w:val="none" w:sz="0" w:space="0" w:color="auto"/>
        <w:right w:val="none" w:sz="0" w:space="0" w:color="auto"/>
      </w:divBdr>
    </w:div>
    <w:div w:id="674307147">
      <w:bodyDiv w:val="1"/>
      <w:marLeft w:val="0"/>
      <w:marRight w:val="0"/>
      <w:marTop w:val="0"/>
      <w:marBottom w:val="0"/>
      <w:divBdr>
        <w:top w:val="none" w:sz="0" w:space="0" w:color="auto"/>
        <w:left w:val="none" w:sz="0" w:space="0" w:color="auto"/>
        <w:bottom w:val="none" w:sz="0" w:space="0" w:color="auto"/>
        <w:right w:val="none" w:sz="0" w:space="0" w:color="auto"/>
      </w:divBdr>
    </w:div>
    <w:div w:id="674839837">
      <w:bodyDiv w:val="1"/>
      <w:marLeft w:val="0"/>
      <w:marRight w:val="0"/>
      <w:marTop w:val="0"/>
      <w:marBottom w:val="0"/>
      <w:divBdr>
        <w:top w:val="none" w:sz="0" w:space="0" w:color="auto"/>
        <w:left w:val="none" w:sz="0" w:space="0" w:color="auto"/>
        <w:bottom w:val="none" w:sz="0" w:space="0" w:color="auto"/>
        <w:right w:val="none" w:sz="0" w:space="0" w:color="auto"/>
      </w:divBdr>
    </w:div>
    <w:div w:id="676275050">
      <w:bodyDiv w:val="1"/>
      <w:marLeft w:val="0"/>
      <w:marRight w:val="0"/>
      <w:marTop w:val="0"/>
      <w:marBottom w:val="0"/>
      <w:divBdr>
        <w:top w:val="none" w:sz="0" w:space="0" w:color="auto"/>
        <w:left w:val="none" w:sz="0" w:space="0" w:color="auto"/>
        <w:bottom w:val="none" w:sz="0" w:space="0" w:color="auto"/>
        <w:right w:val="none" w:sz="0" w:space="0" w:color="auto"/>
      </w:divBdr>
    </w:div>
    <w:div w:id="680349976">
      <w:bodyDiv w:val="1"/>
      <w:marLeft w:val="0"/>
      <w:marRight w:val="0"/>
      <w:marTop w:val="0"/>
      <w:marBottom w:val="0"/>
      <w:divBdr>
        <w:top w:val="none" w:sz="0" w:space="0" w:color="auto"/>
        <w:left w:val="none" w:sz="0" w:space="0" w:color="auto"/>
        <w:bottom w:val="none" w:sz="0" w:space="0" w:color="auto"/>
        <w:right w:val="none" w:sz="0" w:space="0" w:color="auto"/>
      </w:divBdr>
    </w:div>
    <w:div w:id="685138178">
      <w:bodyDiv w:val="1"/>
      <w:marLeft w:val="0"/>
      <w:marRight w:val="0"/>
      <w:marTop w:val="0"/>
      <w:marBottom w:val="0"/>
      <w:divBdr>
        <w:top w:val="none" w:sz="0" w:space="0" w:color="auto"/>
        <w:left w:val="none" w:sz="0" w:space="0" w:color="auto"/>
        <w:bottom w:val="none" w:sz="0" w:space="0" w:color="auto"/>
        <w:right w:val="none" w:sz="0" w:space="0" w:color="auto"/>
      </w:divBdr>
    </w:div>
    <w:div w:id="688486928">
      <w:bodyDiv w:val="1"/>
      <w:marLeft w:val="0"/>
      <w:marRight w:val="0"/>
      <w:marTop w:val="0"/>
      <w:marBottom w:val="0"/>
      <w:divBdr>
        <w:top w:val="none" w:sz="0" w:space="0" w:color="auto"/>
        <w:left w:val="none" w:sz="0" w:space="0" w:color="auto"/>
        <w:bottom w:val="none" w:sz="0" w:space="0" w:color="auto"/>
        <w:right w:val="none" w:sz="0" w:space="0" w:color="auto"/>
      </w:divBdr>
    </w:div>
    <w:div w:id="691805330">
      <w:bodyDiv w:val="1"/>
      <w:marLeft w:val="0"/>
      <w:marRight w:val="0"/>
      <w:marTop w:val="0"/>
      <w:marBottom w:val="0"/>
      <w:divBdr>
        <w:top w:val="none" w:sz="0" w:space="0" w:color="auto"/>
        <w:left w:val="none" w:sz="0" w:space="0" w:color="auto"/>
        <w:bottom w:val="none" w:sz="0" w:space="0" w:color="auto"/>
        <w:right w:val="none" w:sz="0" w:space="0" w:color="auto"/>
      </w:divBdr>
    </w:div>
    <w:div w:id="692272089">
      <w:bodyDiv w:val="1"/>
      <w:marLeft w:val="0"/>
      <w:marRight w:val="0"/>
      <w:marTop w:val="0"/>
      <w:marBottom w:val="0"/>
      <w:divBdr>
        <w:top w:val="none" w:sz="0" w:space="0" w:color="auto"/>
        <w:left w:val="none" w:sz="0" w:space="0" w:color="auto"/>
        <w:bottom w:val="none" w:sz="0" w:space="0" w:color="auto"/>
        <w:right w:val="none" w:sz="0" w:space="0" w:color="auto"/>
      </w:divBdr>
    </w:div>
    <w:div w:id="695737964">
      <w:bodyDiv w:val="1"/>
      <w:marLeft w:val="0"/>
      <w:marRight w:val="0"/>
      <w:marTop w:val="0"/>
      <w:marBottom w:val="0"/>
      <w:divBdr>
        <w:top w:val="none" w:sz="0" w:space="0" w:color="auto"/>
        <w:left w:val="none" w:sz="0" w:space="0" w:color="auto"/>
        <w:bottom w:val="none" w:sz="0" w:space="0" w:color="auto"/>
        <w:right w:val="none" w:sz="0" w:space="0" w:color="auto"/>
      </w:divBdr>
    </w:div>
    <w:div w:id="696809667">
      <w:bodyDiv w:val="1"/>
      <w:marLeft w:val="0"/>
      <w:marRight w:val="0"/>
      <w:marTop w:val="0"/>
      <w:marBottom w:val="0"/>
      <w:divBdr>
        <w:top w:val="none" w:sz="0" w:space="0" w:color="auto"/>
        <w:left w:val="none" w:sz="0" w:space="0" w:color="auto"/>
        <w:bottom w:val="none" w:sz="0" w:space="0" w:color="auto"/>
        <w:right w:val="none" w:sz="0" w:space="0" w:color="auto"/>
      </w:divBdr>
    </w:div>
    <w:div w:id="698239778">
      <w:bodyDiv w:val="1"/>
      <w:marLeft w:val="0"/>
      <w:marRight w:val="0"/>
      <w:marTop w:val="0"/>
      <w:marBottom w:val="0"/>
      <w:divBdr>
        <w:top w:val="none" w:sz="0" w:space="0" w:color="auto"/>
        <w:left w:val="none" w:sz="0" w:space="0" w:color="auto"/>
        <w:bottom w:val="none" w:sz="0" w:space="0" w:color="auto"/>
        <w:right w:val="none" w:sz="0" w:space="0" w:color="auto"/>
      </w:divBdr>
    </w:div>
    <w:div w:id="699162360">
      <w:bodyDiv w:val="1"/>
      <w:marLeft w:val="0"/>
      <w:marRight w:val="0"/>
      <w:marTop w:val="0"/>
      <w:marBottom w:val="0"/>
      <w:divBdr>
        <w:top w:val="none" w:sz="0" w:space="0" w:color="auto"/>
        <w:left w:val="none" w:sz="0" w:space="0" w:color="auto"/>
        <w:bottom w:val="none" w:sz="0" w:space="0" w:color="auto"/>
        <w:right w:val="none" w:sz="0" w:space="0" w:color="auto"/>
      </w:divBdr>
    </w:div>
    <w:div w:id="699822863">
      <w:bodyDiv w:val="1"/>
      <w:marLeft w:val="0"/>
      <w:marRight w:val="0"/>
      <w:marTop w:val="0"/>
      <w:marBottom w:val="0"/>
      <w:divBdr>
        <w:top w:val="none" w:sz="0" w:space="0" w:color="auto"/>
        <w:left w:val="none" w:sz="0" w:space="0" w:color="auto"/>
        <w:bottom w:val="none" w:sz="0" w:space="0" w:color="auto"/>
        <w:right w:val="none" w:sz="0" w:space="0" w:color="auto"/>
      </w:divBdr>
    </w:div>
    <w:div w:id="700863600">
      <w:bodyDiv w:val="1"/>
      <w:marLeft w:val="0"/>
      <w:marRight w:val="0"/>
      <w:marTop w:val="0"/>
      <w:marBottom w:val="0"/>
      <w:divBdr>
        <w:top w:val="none" w:sz="0" w:space="0" w:color="auto"/>
        <w:left w:val="none" w:sz="0" w:space="0" w:color="auto"/>
        <w:bottom w:val="none" w:sz="0" w:space="0" w:color="auto"/>
        <w:right w:val="none" w:sz="0" w:space="0" w:color="auto"/>
      </w:divBdr>
    </w:div>
    <w:div w:id="701251260">
      <w:bodyDiv w:val="1"/>
      <w:marLeft w:val="0"/>
      <w:marRight w:val="0"/>
      <w:marTop w:val="0"/>
      <w:marBottom w:val="0"/>
      <w:divBdr>
        <w:top w:val="none" w:sz="0" w:space="0" w:color="auto"/>
        <w:left w:val="none" w:sz="0" w:space="0" w:color="auto"/>
        <w:bottom w:val="none" w:sz="0" w:space="0" w:color="auto"/>
        <w:right w:val="none" w:sz="0" w:space="0" w:color="auto"/>
      </w:divBdr>
    </w:div>
    <w:div w:id="702679222">
      <w:bodyDiv w:val="1"/>
      <w:marLeft w:val="0"/>
      <w:marRight w:val="0"/>
      <w:marTop w:val="0"/>
      <w:marBottom w:val="0"/>
      <w:divBdr>
        <w:top w:val="none" w:sz="0" w:space="0" w:color="auto"/>
        <w:left w:val="none" w:sz="0" w:space="0" w:color="auto"/>
        <w:bottom w:val="none" w:sz="0" w:space="0" w:color="auto"/>
        <w:right w:val="none" w:sz="0" w:space="0" w:color="auto"/>
      </w:divBdr>
    </w:div>
    <w:div w:id="704331551">
      <w:bodyDiv w:val="1"/>
      <w:marLeft w:val="0"/>
      <w:marRight w:val="0"/>
      <w:marTop w:val="0"/>
      <w:marBottom w:val="0"/>
      <w:divBdr>
        <w:top w:val="none" w:sz="0" w:space="0" w:color="auto"/>
        <w:left w:val="none" w:sz="0" w:space="0" w:color="auto"/>
        <w:bottom w:val="none" w:sz="0" w:space="0" w:color="auto"/>
        <w:right w:val="none" w:sz="0" w:space="0" w:color="auto"/>
      </w:divBdr>
    </w:div>
    <w:div w:id="704789896">
      <w:bodyDiv w:val="1"/>
      <w:marLeft w:val="0"/>
      <w:marRight w:val="0"/>
      <w:marTop w:val="0"/>
      <w:marBottom w:val="0"/>
      <w:divBdr>
        <w:top w:val="none" w:sz="0" w:space="0" w:color="auto"/>
        <w:left w:val="none" w:sz="0" w:space="0" w:color="auto"/>
        <w:bottom w:val="none" w:sz="0" w:space="0" w:color="auto"/>
        <w:right w:val="none" w:sz="0" w:space="0" w:color="auto"/>
      </w:divBdr>
    </w:div>
    <w:div w:id="706947740">
      <w:bodyDiv w:val="1"/>
      <w:marLeft w:val="0"/>
      <w:marRight w:val="0"/>
      <w:marTop w:val="0"/>
      <w:marBottom w:val="0"/>
      <w:divBdr>
        <w:top w:val="none" w:sz="0" w:space="0" w:color="auto"/>
        <w:left w:val="none" w:sz="0" w:space="0" w:color="auto"/>
        <w:bottom w:val="none" w:sz="0" w:space="0" w:color="auto"/>
        <w:right w:val="none" w:sz="0" w:space="0" w:color="auto"/>
      </w:divBdr>
    </w:div>
    <w:div w:id="706952312">
      <w:bodyDiv w:val="1"/>
      <w:marLeft w:val="0"/>
      <w:marRight w:val="0"/>
      <w:marTop w:val="0"/>
      <w:marBottom w:val="0"/>
      <w:divBdr>
        <w:top w:val="none" w:sz="0" w:space="0" w:color="auto"/>
        <w:left w:val="none" w:sz="0" w:space="0" w:color="auto"/>
        <w:bottom w:val="none" w:sz="0" w:space="0" w:color="auto"/>
        <w:right w:val="none" w:sz="0" w:space="0" w:color="auto"/>
      </w:divBdr>
    </w:div>
    <w:div w:id="708071725">
      <w:bodyDiv w:val="1"/>
      <w:marLeft w:val="0"/>
      <w:marRight w:val="0"/>
      <w:marTop w:val="0"/>
      <w:marBottom w:val="0"/>
      <w:divBdr>
        <w:top w:val="none" w:sz="0" w:space="0" w:color="auto"/>
        <w:left w:val="none" w:sz="0" w:space="0" w:color="auto"/>
        <w:bottom w:val="none" w:sz="0" w:space="0" w:color="auto"/>
        <w:right w:val="none" w:sz="0" w:space="0" w:color="auto"/>
      </w:divBdr>
    </w:div>
    <w:div w:id="708530090">
      <w:bodyDiv w:val="1"/>
      <w:marLeft w:val="0"/>
      <w:marRight w:val="0"/>
      <w:marTop w:val="0"/>
      <w:marBottom w:val="0"/>
      <w:divBdr>
        <w:top w:val="none" w:sz="0" w:space="0" w:color="auto"/>
        <w:left w:val="none" w:sz="0" w:space="0" w:color="auto"/>
        <w:bottom w:val="none" w:sz="0" w:space="0" w:color="auto"/>
        <w:right w:val="none" w:sz="0" w:space="0" w:color="auto"/>
      </w:divBdr>
    </w:div>
    <w:div w:id="711031986">
      <w:bodyDiv w:val="1"/>
      <w:marLeft w:val="0"/>
      <w:marRight w:val="0"/>
      <w:marTop w:val="0"/>
      <w:marBottom w:val="0"/>
      <w:divBdr>
        <w:top w:val="none" w:sz="0" w:space="0" w:color="auto"/>
        <w:left w:val="none" w:sz="0" w:space="0" w:color="auto"/>
        <w:bottom w:val="none" w:sz="0" w:space="0" w:color="auto"/>
        <w:right w:val="none" w:sz="0" w:space="0" w:color="auto"/>
      </w:divBdr>
    </w:div>
    <w:div w:id="713624852">
      <w:bodyDiv w:val="1"/>
      <w:marLeft w:val="0"/>
      <w:marRight w:val="0"/>
      <w:marTop w:val="0"/>
      <w:marBottom w:val="0"/>
      <w:divBdr>
        <w:top w:val="none" w:sz="0" w:space="0" w:color="auto"/>
        <w:left w:val="none" w:sz="0" w:space="0" w:color="auto"/>
        <w:bottom w:val="none" w:sz="0" w:space="0" w:color="auto"/>
        <w:right w:val="none" w:sz="0" w:space="0" w:color="auto"/>
      </w:divBdr>
    </w:div>
    <w:div w:id="714280743">
      <w:bodyDiv w:val="1"/>
      <w:marLeft w:val="0"/>
      <w:marRight w:val="0"/>
      <w:marTop w:val="0"/>
      <w:marBottom w:val="0"/>
      <w:divBdr>
        <w:top w:val="none" w:sz="0" w:space="0" w:color="auto"/>
        <w:left w:val="none" w:sz="0" w:space="0" w:color="auto"/>
        <w:bottom w:val="none" w:sz="0" w:space="0" w:color="auto"/>
        <w:right w:val="none" w:sz="0" w:space="0" w:color="auto"/>
      </w:divBdr>
    </w:div>
    <w:div w:id="716584573">
      <w:bodyDiv w:val="1"/>
      <w:marLeft w:val="0"/>
      <w:marRight w:val="0"/>
      <w:marTop w:val="0"/>
      <w:marBottom w:val="0"/>
      <w:divBdr>
        <w:top w:val="none" w:sz="0" w:space="0" w:color="auto"/>
        <w:left w:val="none" w:sz="0" w:space="0" w:color="auto"/>
        <w:bottom w:val="none" w:sz="0" w:space="0" w:color="auto"/>
        <w:right w:val="none" w:sz="0" w:space="0" w:color="auto"/>
      </w:divBdr>
    </w:div>
    <w:div w:id="717970936">
      <w:bodyDiv w:val="1"/>
      <w:marLeft w:val="0"/>
      <w:marRight w:val="0"/>
      <w:marTop w:val="0"/>
      <w:marBottom w:val="0"/>
      <w:divBdr>
        <w:top w:val="none" w:sz="0" w:space="0" w:color="auto"/>
        <w:left w:val="none" w:sz="0" w:space="0" w:color="auto"/>
        <w:bottom w:val="none" w:sz="0" w:space="0" w:color="auto"/>
        <w:right w:val="none" w:sz="0" w:space="0" w:color="auto"/>
      </w:divBdr>
    </w:div>
    <w:div w:id="719791823">
      <w:bodyDiv w:val="1"/>
      <w:marLeft w:val="0"/>
      <w:marRight w:val="0"/>
      <w:marTop w:val="0"/>
      <w:marBottom w:val="0"/>
      <w:divBdr>
        <w:top w:val="none" w:sz="0" w:space="0" w:color="auto"/>
        <w:left w:val="none" w:sz="0" w:space="0" w:color="auto"/>
        <w:bottom w:val="none" w:sz="0" w:space="0" w:color="auto"/>
        <w:right w:val="none" w:sz="0" w:space="0" w:color="auto"/>
      </w:divBdr>
    </w:div>
    <w:div w:id="721290365">
      <w:bodyDiv w:val="1"/>
      <w:marLeft w:val="0"/>
      <w:marRight w:val="0"/>
      <w:marTop w:val="0"/>
      <w:marBottom w:val="0"/>
      <w:divBdr>
        <w:top w:val="none" w:sz="0" w:space="0" w:color="auto"/>
        <w:left w:val="none" w:sz="0" w:space="0" w:color="auto"/>
        <w:bottom w:val="none" w:sz="0" w:space="0" w:color="auto"/>
        <w:right w:val="none" w:sz="0" w:space="0" w:color="auto"/>
      </w:divBdr>
    </w:div>
    <w:div w:id="723214147">
      <w:bodyDiv w:val="1"/>
      <w:marLeft w:val="0"/>
      <w:marRight w:val="0"/>
      <w:marTop w:val="0"/>
      <w:marBottom w:val="0"/>
      <w:divBdr>
        <w:top w:val="none" w:sz="0" w:space="0" w:color="auto"/>
        <w:left w:val="none" w:sz="0" w:space="0" w:color="auto"/>
        <w:bottom w:val="none" w:sz="0" w:space="0" w:color="auto"/>
        <w:right w:val="none" w:sz="0" w:space="0" w:color="auto"/>
      </w:divBdr>
    </w:div>
    <w:div w:id="7237975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193695">
      <w:bodyDiv w:val="1"/>
      <w:marLeft w:val="0"/>
      <w:marRight w:val="0"/>
      <w:marTop w:val="0"/>
      <w:marBottom w:val="0"/>
      <w:divBdr>
        <w:top w:val="none" w:sz="0" w:space="0" w:color="auto"/>
        <w:left w:val="none" w:sz="0" w:space="0" w:color="auto"/>
        <w:bottom w:val="none" w:sz="0" w:space="0" w:color="auto"/>
        <w:right w:val="none" w:sz="0" w:space="0" w:color="auto"/>
      </w:divBdr>
    </w:div>
    <w:div w:id="728116378">
      <w:bodyDiv w:val="1"/>
      <w:marLeft w:val="0"/>
      <w:marRight w:val="0"/>
      <w:marTop w:val="0"/>
      <w:marBottom w:val="0"/>
      <w:divBdr>
        <w:top w:val="none" w:sz="0" w:space="0" w:color="auto"/>
        <w:left w:val="none" w:sz="0" w:space="0" w:color="auto"/>
        <w:bottom w:val="none" w:sz="0" w:space="0" w:color="auto"/>
        <w:right w:val="none" w:sz="0" w:space="0" w:color="auto"/>
      </w:divBdr>
    </w:div>
    <w:div w:id="728768399">
      <w:bodyDiv w:val="1"/>
      <w:marLeft w:val="0"/>
      <w:marRight w:val="0"/>
      <w:marTop w:val="0"/>
      <w:marBottom w:val="0"/>
      <w:divBdr>
        <w:top w:val="none" w:sz="0" w:space="0" w:color="auto"/>
        <w:left w:val="none" w:sz="0" w:space="0" w:color="auto"/>
        <w:bottom w:val="none" w:sz="0" w:space="0" w:color="auto"/>
        <w:right w:val="none" w:sz="0" w:space="0" w:color="auto"/>
      </w:divBdr>
    </w:div>
    <w:div w:id="729616301">
      <w:bodyDiv w:val="1"/>
      <w:marLeft w:val="0"/>
      <w:marRight w:val="0"/>
      <w:marTop w:val="0"/>
      <w:marBottom w:val="0"/>
      <w:divBdr>
        <w:top w:val="none" w:sz="0" w:space="0" w:color="auto"/>
        <w:left w:val="none" w:sz="0" w:space="0" w:color="auto"/>
        <w:bottom w:val="none" w:sz="0" w:space="0" w:color="auto"/>
        <w:right w:val="none" w:sz="0" w:space="0" w:color="auto"/>
      </w:divBdr>
    </w:div>
    <w:div w:id="731579989">
      <w:bodyDiv w:val="1"/>
      <w:marLeft w:val="0"/>
      <w:marRight w:val="0"/>
      <w:marTop w:val="0"/>
      <w:marBottom w:val="0"/>
      <w:divBdr>
        <w:top w:val="none" w:sz="0" w:space="0" w:color="auto"/>
        <w:left w:val="none" w:sz="0" w:space="0" w:color="auto"/>
        <w:bottom w:val="none" w:sz="0" w:space="0" w:color="auto"/>
        <w:right w:val="none" w:sz="0" w:space="0" w:color="auto"/>
      </w:divBdr>
    </w:div>
    <w:div w:id="735860113">
      <w:bodyDiv w:val="1"/>
      <w:marLeft w:val="0"/>
      <w:marRight w:val="0"/>
      <w:marTop w:val="0"/>
      <w:marBottom w:val="0"/>
      <w:divBdr>
        <w:top w:val="none" w:sz="0" w:space="0" w:color="auto"/>
        <w:left w:val="none" w:sz="0" w:space="0" w:color="auto"/>
        <w:bottom w:val="none" w:sz="0" w:space="0" w:color="auto"/>
        <w:right w:val="none" w:sz="0" w:space="0" w:color="auto"/>
      </w:divBdr>
    </w:div>
    <w:div w:id="736131085">
      <w:bodyDiv w:val="1"/>
      <w:marLeft w:val="0"/>
      <w:marRight w:val="0"/>
      <w:marTop w:val="0"/>
      <w:marBottom w:val="0"/>
      <w:divBdr>
        <w:top w:val="none" w:sz="0" w:space="0" w:color="auto"/>
        <w:left w:val="none" w:sz="0" w:space="0" w:color="auto"/>
        <w:bottom w:val="none" w:sz="0" w:space="0" w:color="auto"/>
        <w:right w:val="none" w:sz="0" w:space="0" w:color="auto"/>
      </w:divBdr>
    </w:div>
    <w:div w:id="739208608">
      <w:bodyDiv w:val="1"/>
      <w:marLeft w:val="0"/>
      <w:marRight w:val="0"/>
      <w:marTop w:val="0"/>
      <w:marBottom w:val="0"/>
      <w:divBdr>
        <w:top w:val="none" w:sz="0" w:space="0" w:color="auto"/>
        <w:left w:val="none" w:sz="0" w:space="0" w:color="auto"/>
        <w:bottom w:val="none" w:sz="0" w:space="0" w:color="auto"/>
        <w:right w:val="none" w:sz="0" w:space="0" w:color="auto"/>
      </w:divBdr>
    </w:div>
    <w:div w:id="741024851">
      <w:bodyDiv w:val="1"/>
      <w:marLeft w:val="0"/>
      <w:marRight w:val="0"/>
      <w:marTop w:val="0"/>
      <w:marBottom w:val="0"/>
      <w:divBdr>
        <w:top w:val="none" w:sz="0" w:space="0" w:color="auto"/>
        <w:left w:val="none" w:sz="0" w:space="0" w:color="auto"/>
        <w:bottom w:val="none" w:sz="0" w:space="0" w:color="auto"/>
        <w:right w:val="none" w:sz="0" w:space="0" w:color="auto"/>
      </w:divBdr>
    </w:div>
    <w:div w:id="741683810">
      <w:bodyDiv w:val="1"/>
      <w:marLeft w:val="0"/>
      <w:marRight w:val="0"/>
      <w:marTop w:val="0"/>
      <w:marBottom w:val="0"/>
      <w:divBdr>
        <w:top w:val="none" w:sz="0" w:space="0" w:color="auto"/>
        <w:left w:val="none" w:sz="0" w:space="0" w:color="auto"/>
        <w:bottom w:val="none" w:sz="0" w:space="0" w:color="auto"/>
        <w:right w:val="none" w:sz="0" w:space="0" w:color="auto"/>
      </w:divBdr>
    </w:div>
    <w:div w:id="742488294">
      <w:bodyDiv w:val="1"/>
      <w:marLeft w:val="0"/>
      <w:marRight w:val="0"/>
      <w:marTop w:val="0"/>
      <w:marBottom w:val="0"/>
      <w:divBdr>
        <w:top w:val="none" w:sz="0" w:space="0" w:color="auto"/>
        <w:left w:val="none" w:sz="0" w:space="0" w:color="auto"/>
        <w:bottom w:val="none" w:sz="0" w:space="0" w:color="auto"/>
        <w:right w:val="none" w:sz="0" w:space="0" w:color="auto"/>
      </w:divBdr>
    </w:div>
    <w:div w:id="744031497">
      <w:bodyDiv w:val="1"/>
      <w:marLeft w:val="0"/>
      <w:marRight w:val="0"/>
      <w:marTop w:val="0"/>
      <w:marBottom w:val="0"/>
      <w:divBdr>
        <w:top w:val="none" w:sz="0" w:space="0" w:color="auto"/>
        <w:left w:val="none" w:sz="0" w:space="0" w:color="auto"/>
        <w:bottom w:val="none" w:sz="0" w:space="0" w:color="auto"/>
        <w:right w:val="none" w:sz="0" w:space="0" w:color="auto"/>
      </w:divBdr>
    </w:div>
    <w:div w:id="745884721">
      <w:bodyDiv w:val="1"/>
      <w:marLeft w:val="0"/>
      <w:marRight w:val="0"/>
      <w:marTop w:val="0"/>
      <w:marBottom w:val="0"/>
      <w:divBdr>
        <w:top w:val="none" w:sz="0" w:space="0" w:color="auto"/>
        <w:left w:val="none" w:sz="0" w:space="0" w:color="auto"/>
        <w:bottom w:val="none" w:sz="0" w:space="0" w:color="auto"/>
        <w:right w:val="none" w:sz="0" w:space="0" w:color="auto"/>
      </w:divBdr>
    </w:div>
    <w:div w:id="755443001">
      <w:bodyDiv w:val="1"/>
      <w:marLeft w:val="0"/>
      <w:marRight w:val="0"/>
      <w:marTop w:val="0"/>
      <w:marBottom w:val="0"/>
      <w:divBdr>
        <w:top w:val="none" w:sz="0" w:space="0" w:color="auto"/>
        <w:left w:val="none" w:sz="0" w:space="0" w:color="auto"/>
        <w:bottom w:val="none" w:sz="0" w:space="0" w:color="auto"/>
        <w:right w:val="none" w:sz="0" w:space="0" w:color="auto"/>
      </w:divBdr>
    </w:div>
    <w:div w:id="757217218">
      <w:bodyDiv w:val="1"/>
      <w:marLeft w:val="0"/>
      <w:marRight w:val="0"/>
      <w:marTop w:val="0"/>
      <w:marBottom w:val="0"/>
      <w:divBdr>
        <w:top w:val="none" w:sz="0" w:space="0" w:color="auto"/>
        <w:left w:val="none" w:sz="0" w:space="0" w:color="auto"/>
        <w:bottom w:val="none" w:sz="0" w:space="0" w:color="auto"/>
        <w:right w:val="none" w:sz="0" w:space="0" w:color="auto"/>
      </w:divBdr>
    </w:div>
    <w:div w:id="760562415">
      <w:bodyDiv w:val="1"/>
      <w:marLeft w:val="0"/>
      <w:marRight w:val="0"/>
      <w:marTop w:val="0"/>
      <w:marBottom w:val="0"/>
      <w:divBdr>
        <w:top w:val="none" w:sz="0" w:space="0" w:color="auto"/>
        <w:left w:val="none" w:sz="0" w:space="0" w:color="auto"/>
        <w:bottom w:val="none" w:sz="0" w:space="0" w:color="auto"/>
        <w:right w:val="none" w:sz="0" w:space="0" w:color="auto"/>
      </w:divBdr>
    </w:div>
    <w:div w:id="761070554">
      <w:bodyDiv w:val="1"/>
      <w:marLeft w:val="0"/>
      <w:marRight w:val="0"/>
      <w:marTop w:val="0"/>
      <w:marBottom w:val="0"/>
      <w:divBdr>
        <w:top w:val="none" w:sz="0" w:space="0" w:color="auto"/>
        <w:left w:val="none" w:sz="0" w:space="0" w:color="auto"/>
        <w:bottom w:val="none" w:sz="0" w:space="0" w:color="auto"/>
        <w:right w:val="none" w:sz="0" w:space="0" w:color="auto"/>
      </w:divBdr>
    </w:div>
    <w:div w:id="762920980">
      <w:bodyDiv w:val="1"/>
      <w:marLeft w:val="0"/>
      <w:marRight w:val="0"/>
      <w:marTop w:val="0"/>
      <w:marBottom w:val="0"/>
      <w:divBdr>
        <w:top w:val="none" w:sz="0" w:space="0" w:color="auto"/>
        <w:left w:val="none" w:sz="0" w:space="0" w:color="auto"/>
        <w:bottom w:val="none" w:sz="0" w:space="0" w:color="auto"/>
        <w:right w:val="none" w:sz="0" w:space="0" w:color="auto"/>
      </w:divBdr>
    </w:div>
    <w:div w:id="764156928">
      <w:bodyDiv w:val="1"/>
      <w:marLeft w:val="0"/>
      <w:marRight w:val="0"/>
      <w:marTop w:val="0"/>
      <w:marBottom w:val="0"/>
      <w:divBdr>
        <w:top w:val="none" w:sz="0" w:space="0" w:color="auto"/>
        <w:left w:val="none" w:sz="0" w:space="0" w:color="auto"/>
        <w:bottom w:val="none" w:sz="0" w:space="0" w:color="auto"/>
        <w:right w:val="none" w:sz="0" w:space="0" w:color="auto"/>
      </w:divBdr>
    </w:div>
    <w:div w:id="765879783">
      <w:bodyDiv w:val="1"/>
      <w:marLeft w:val="0"/>
      <w:marRight w:val="0"/>
      <w:marTop w:val="0"/>
      <w:marBottom w:val="0"/>
      <w:divBdr>
        <w:top w:val="none" w:sz="0" w:space="0" w:color="auto"/>
        <w:left w:val="none" w:sz="0" w:space="0" w:color="auto"/>
        <w:bottom w:val="none" w:sz="0" w:space="0" w:color="auto"/>
        <w:right w:val="none" w:sz="0" w:space="0" w:color="auto"/>
      </w:divBdr>
    </w:div>
    <w:div w:id="767777413">
      <w:bodyDiv w:val="1"/>
      <w:marLeft w:val="0"/>
      <w:marRight w:val="0"/>
      <w:marTop w:val="0"/>
      <w:marBottom w:val="0"/>
      <w:divBdr>
        <w:top w:val="none" w:sz="0" w:space="0" w:color="auto"/>
        <w:left w:val="none" w:sz="0" w:space="0" w:color="auto"/>
        <w:bottom w:val="none" w:sz="0" w:space="0" w:color="auto"/>
        <w:right w:val="none" w:sz="0" w:space="0" w:color="auto"/>
      </w:divBdr>
    </w:div>
    <w:div w:id="769858755">
      <w:bodyDiv w:val="1"/>
      <w:marLeft w:val="0"/>
      <w:marRight w:val="0"/>
      <w:marTop w:val="0"/>
      <w:marBottom w:val="0"/>
      <w:divBdr>
        <w:top w:val="none" w:sz="0" w:space="0" w:color="auto"/>
        <w:left w:val="none" w:sz="0" w:space="0" w:color="auto"/>
        <w:bottom w:val="none" w:sz="0" w:space="0" w:color="auto"/>
        <w:right w:val="none" w:sz="0" w:space="0" w:color="auto"/>
      </w:divBdr>
    </w:div>
    <w:div w:id="770315947">
      <w:bodyDiv w:val="1"/>
      <w:marLeft w:val="0"/>
      <w:marRight w:val="0"/>
      <w:marTop w:val="0"/>
      <w:marBottom w:val="0"/>
      <w:divBdr>
        <w:top w:val="none" w:sz="0" w:space="0" w:color="auto"/>
        <w:left w:val="none" w:sz="0" w:space="0" w:color="auto"/>
        <w:bottom w:val="none" w:sz="0" w:space="0" w:color="auto"/>
        <w:right w:val="none" w:sz="0" w:space="0" w:color="auto"/>
      </w:divBdr>
    </w:div>
    <w:div w:id="772020869">
      <w:bodyDiv w:val="1"/>
      <w:marLeft w:val="0"/>
      <w:marRight w:val="0"/>
      <w:marTop w:val="0"/>
      <w:marBottom w:val="0"/>
      <w:divBdr>
        <w:top w:val="none" w:sz="0" w:space="0" w:color="auto"/>
        <w:left w:val="none" w:sz="0" w:space="0" w:color="auto"/>
        <w:bottom w:val="none" w:sz="0" w:space="0" w:color="auto"/>
        <w:right w:val="none" w:sz="0" w:space="0" w:color="auto"/>
      </w:divBdr>
    </w:div>
    <w:div w:id="774717976">
      <w:bodyDiv w:val="1"/>
      <w:marLeft w:val="0"/>
      <w:marRight w:val="0"/>
      <w:marTop w:val="0"/>
      <w:marBottom w:val="0"/>
      <w:divBdr>
        <w:top w:val="none" w:sz="0" w:space="0" w:color="auto"/>
        <w:left w:val="none" w:sz="0" w:space="0" w:color="auto"/>
        <w:bottom w:val="none" w:sz="0" w:space="0" w:color="auto"/>
        <w:right w:val="none" w:sz="0" w:space="0" w:color="auto"/>
      </w:divBdr>
    </w:div>
    <w:div w:id="775561053">
      <w:bodyDiv w:val="1"/>
      <w:marLeft w:val="0"/>
      <w:marRight w:val="0"/>
      <w:marTop w:val="0"/>
      <w:marBottom w:val="0"/>
      <w:divBdr>
        <w:top w:val="none" w:sz="0" w:space="0" w:color="auto"/>
        <w:left w:val="none" w:sz="0" w:space="0" w:color="auto"/>
        <w:bottom w:val="none" w:sz="0" w:space="0" w:color="auto"/>
        <w:right w:val="none" w:sz="0" w:space="0" w:color="auto"/>
      </w:divBdr>
    </w:div>
    <w:div w:id="777681011">
      <w:bodyDiv w:val="1"/>
      <w:marLeft w:val="0"/>
      <w:marRight w:val="0"/>
      <w:marTop w:val="0"/>
      <w:marBottom w:val="0"/>
      <w:divBdr>
        <w:top w:val="none" w:sz="0" w:space="0" w:color="auto"/>
        <w:left w:val="none" w:sz="0" w:space="0" w:color="auto"/>
        <w:bottom w:val="none" w:sz="0" w:space="0" w:color="auto"/>
        <w:right w:val="none" w:sz="0" w:space="0" w:color="auto"/>
      </w:divBdr>
    </w:div>
    <w:div w:id="781075942">
      <w:bodyDiv w:val="1"/>
      <w:marLeft w:val="0"/>
      <w:marRight w:val="0"/>
      <w:marTop w:val="0"/>
      <w:marBottom w:val="0"/>
      <w:divBdr>
        <w:top w:val="none" w:sz="0" w:space="0" w:color="auto"/>
        <w:left w:val="none" w:sz="0" w:space="0" w:color="auto"/>
        <w:bottom w:val="none" w:sz="0" w:space="0" w:color="auto"/>
        <w:right w:val="none" w:sz="0" w:space="0" w:color="auto"/>
      </w:divBdr>
    </w:div>
    <w:div w:id="781605565">
      <w:bodyDiv w:val="1"/>
      <w:marLeft w:val="0"/>
      <w:marRight w:val="0"/>
      <w:marTop w:val="0"/>
      <w:marBottom w:val="0"/>
      <w:divBdr>
        <w:top w:val="none" w:sz="0" w:space="0" w:color="auto"/>
        <w:left w:val="none" w:sz="0" w:space="0" w:color="auto"/>
        <w:bottom w:val="none" w:sz="0" w:space="0" w:color="auto"/>
        <w:right w:val="none" w:sz="0" w:space="0" w:color="auto"/>
      </w:divBdr>
    </w:div>
    <w:div w:id="782310005">
      <w:bodyDiv w:val="1"/>
      <w:marLeft w:val="0"/>
      <w:marRight w:val="0"/>
      <w:marTop w:val="0"/>
      <w:marBottom w:val="0"/>
      <w:divBdr>
        <w:top w:val="none" w:sz="0" w:space="0" w:color="auto"/>
        <w:left w:val="none" w:sz="0" w:space="0" w:color="auto"/>
        <w:bottom w:val="none" w:sz="0" w:space="0" w:color="auto"/>
        <w:right w:val="none" w:sz="0" w:space="0" w:color="auto"/>
      </w:divBdr>
    </w:div>
    <w:div w:id="782378925">
      <w:bodyDiv w:val="1"/>
      <w:marLeft w:val="0"/>
      <w:marRight w:val="0"/>
      <w:marTop w:val="0"/>
      <w:marBottom w:val="0"/>
      <w:divBdr>
        <w:top w:val="none" w:sz="0" w:space="0" w:color="auto"/>
        <w:left w:val="none" w:sz="0" w:space="0" w:color="auto"/>
        <w:bottom w:val="none" w:sz="0" w:space="0" w:color="auto"/>
        <w:right w:val="none" w:sz="0" w:space="0" w:color="auto"/>
      </w:divBdr>
    </w:div>
    <w:div w:id="783041766">
      <w:bodyDiv w:val="1"/>
      <w:marLeft w:val="0"/>
      <w:marRight w:val="0"/>
      <w:marTop w:val="0"/>
      <w:marBottom w:val="0"/>
      <w:divBdr>
        <w:top w:val="none" w:sz="0" w:space="0" w:color="auto"/>
        <w:left w:val="none" w:sz="0" w:space="0" w:color="auto"/>
        <w:bottom w:val="none" w:sz="0" w:space="0" w:color="auto"/>
        <w:right w:val="none" w:sz="0" w:space="0" w:color="auto"/>
      </w:divBdr>
    </w:div>
    <w:div w:id="783505250">
      <w:bodyDiv w:val="1"/>
      <w:marLeft w:val="0"/>
      <w:marRight w:val="0"/>
      <w:marTop w:val="0"/>
      <w:marBottom w:val="0"/>
      <w:divBdr>
        <w:top w:val="none" w:sz="0" w:space="0" w:color="auto"/>
        <w:left w:val="none" w:sz="0" w:space="0" w:color="auto"/>
        <w:bottom w:val="none" w:sz="0" w:space="0" w:color="auto"/>
        <w:right w:val="none" w:sz="0" w:space="0" w:color="auto"/>
      </w:divBdr>
    </w:div>
    <w:div w:id="791479654">
      <w:bodyDiv w:val="1"/>
      <w:marLeft w:val="0"/>
      <w:marRight w:val="0"/>
      <w:marTop w:val="0"/>
      <w:marBottom w:val="0"/>
      <w:divBdr>
        <w:top w:val="none" w:sz="0" w:space="0" w:color="auto"/>
        <w:left w:val="none" w:sz="0" w:space="0" w:color="auto"/>
        <w:bottom w:val="none" w:sz="0" w:space="0" w:color="auto"/>
        <w:right w:val="none" w:sz="0" w:space="0" w:color="auto"/>
      </w:divBdr>
    </w:div>
    <w:div w:id="792749525">
      <w:bodyDiv w:val="1"/>
      <w:marLeft w:val="0"/>
      <w:marRight w:val="0"/>
      <w:marTop w:val="0"/>
      <w:marBottom w:val="0"/>
      <w:divBdr>
        <w:top w:val="none" w:sz="0" w:space="0" w:color="auto"/>
        <w:left w:val="none" w:sz="0" w:space="0" w:color="auto"/>
        <w:bottom w:val="none" w:sz="0" w:space="0" w:color="auto"/>
        <w:right w:val="none" w:sz="0" w:space="0" w:color="auto"/>
      </w:divBdr>
    </w:div>
    <w:div w:id="792793400">
      <w:bodyDiv w:val="1"/>
      <w:marLeft w:val="0"/>
      <w:marRight w:val="0"/>
      <w:marTop w:val="0"/>
      <w:marBottom w:val="0"/>
      <w:divBdr>
        <w:top w:val="none" w:sz="0" w:space="0" w:color="auto"/>
        <w:left w:val="none" w:sz="0" w:space="0" w:color="auto"/>
        <w:bottom w:val="none" w:sz="0" w:space="0" w:color="auto"/>
        <w:right w:val="none" w:sz="0" w:space="0" w:color="auto"/>
      </w:divBdr>
    </w:div>
    <w:div w:id="793596975">
      <w:bodyDiv w:val="1"/>
      <w:marLeft w:val="0"/>
      <w:marRight w:val="0"/>
      <w:marTop w:val="0"/>
      <w:marBottom w:val="0"/>
      <w:divBdr>
        <w:top w:val="none" w:sz="0" w:space="0" w:color="auto"/>
        <w:left w:val="none" w:sz="0" w:space="0" w:color="auto"/>
        <w:bottom w:val="none" w:sz="0" w:space="0" w:color="auto"/>
        <w:right w:val="none" w:sz="0" w:space="0" w:color="auto"/>
      </w:divBdr>
    </w:div>
    <w:div w:id="794829724">
      <w:bodyDiv w:val="1"/>
      <w:marLeft w:val="0"/>
      <w:marRight w:val="0"/>
      <w:marTop w:val="0"/>
      <w:marBottom w:val="0"/>
      <w:divBdr>
        <w:top w:val="none" w:sz="0" w:space="0" w:color="auto"/>
        <w:left w:val="none" w:sz="0" w:space="0" w:color="auto"/>
        <w:bottom w:val="none" w:sz="0" w:space="0" w:color="auto"/>
        <w:right w:val="none" w:sz="0" w:space="0" w:color="auto"/>
      </w:divBdr>
    </w:div>
    <w:div w:id="798954182">
      <w:bodyDiv w:val="1"/>
      <w:marLeft w:val="0"/>
      <w:marRight w:val="0"/>
      <w:marTop w:val="0"/>
      <w:marBottom w:val="0"/>
      <w:divBdr>
        <w:top w:val="none" w:sz="0" w:space="0" w:color="auto"/>
        <w:left w:val="none" w:sz="0" w:space="0" w:color="auto"/>
        <w:bottom w:val="none" w:sz="0" w:space="0" w:color="auto"/>
        <w:right w:val="none" w:sz="0" w:space="0" w:color="auto"/>
      </w:divBdr>
    </w:div>
    <w:div w:id="799155994">
      <w:bodyDiv w:val="1"/>
      <w:marLeft w:val="0"/>
      <w:marRight w:val="0"/>
      <w:marTop w:val="0"/>
      <w:marBottom w:val="0"/>
      <w:divBdr>
        <w:top w:val="none" w:sz="0" w:space="0" w:color="auto"/>
        <w:left w:val="none" w:sz="0" w:space="0" w:color="auto"/>
        <w:bottom w:val="none" w:sz="0" w:space="0" w:color="auto"/>
        <w:right w:val="none" w:sz="0" w:space="0" w:color="auto"/>
      </w:divBdr>
    </w:div>
    <w:div w:id="799499100">
      <w:bodyDiv w:val="1"/>
      <w:marLeft w:val="0"/>
      <w:marRight w:val="0"/>
      <w:marTop w:val="0"/>
      <w:marBottom w:val="0"/>
      <w:divBdr>
        <w:top w:val="none" w:sz="0" w:space="0" w:color="auto"/>
        <w:left w:val="none" w:sz="0" w:space="0" w:color="auto"/>
        <w:bottom w:val="none" w:sz="0" w:space="0" w:color="auto"/>
        <w:right w:val="none" w:sz="0" w:space="0" w:color="auto"/>
      </w:divBdr>
    </w:div>
    <w:div w:id="800656142">
      <w:bodyDiv w:val="1"/>
      <w:marLeft w:val="0"/>
      <w:marRight w:val="0"/>
      <w:marTop w:val="0"/>
      <w:marBottom w:val="0"/>
      <w:divBdr>
        <w:top w:val="none" w:sz="0" w:space="0" w:color="auto"/>
        <w:left w:val="none" w:sz="0" w:space="0" w:color="auto"/>
        <w:bottom w:val="none" w:sz="0" w:space="0" w:color="auto"/>
        <w:right w:val="none" w:sz="0" w:space="0" w:color="auto"/>
      </w:divBdr>
    </w:div>
    <w:div w:id="806167984">
      <w:bodyDiv w:val="1"/>
      <w:marLeft w:val="0"/>
      <w:marRight w:val="0"/>
      <w:marTop w:val="0"/>
      <w:marBottom w:val="0"/>
      <w:divBdr>
        <w:top w:val="none" w:sz="0" w:space="0" w:color="auto"/>
        <w:left w:val="none" w:sz="0" w:space="0" w:color="auto"/>
        <w:bottom w:val="none" w:sz="0" w:space="0" w:color="auto"/>
        <w:right w:val="none" w:sz="0" w:space="0" w:color="auto"/>
      </w:divBdr>
    </w:div>
    <w:div w:id="806819554">
      <w:bodyDiv w:val="1"/>
      <w:marLeft w:val="0"/>
      <w:marRight w:val="0"/>
      <w:marTop w:val="0"/>
      <w:marBottom w:val="0"/>
      <w:divBdr>
        <w:top w:val="none" w:sz="0" w:space="0" w:color="auto"/>
        <w:left w:val="none" w:sz="0" w:space="0" w:color="auto"/>
        <w:bottom w:val="none" w:sz="0" w:space="0" w:color="auto"/>
        <w:right w:val="none" w:sz="0" w:space="0" w:color="auto"/>
      </w:divBdr>
    </w:div>
    <w:div w:id="809857179">
      <w:bodyDiv w:val="1"/>
      <w:marLeft w:val="0"/>
      <w:marRight w:val="0"/>
      <w:marTop w:val="0"/>
      <w:marBottom w:val="0"/>
      <w:divBdr>
        <w:top w:val="none" w:sz="0" w:space="0" w:color="auto"/>
        <w:left w:val="none" w:sz="0" w:space="0" w:color="auto"/>
        <w:bottom w:val="none" w:sz="0" w:space="0" w:color="auto"/>
        <w:right w:val="none" w:sz="0" w:space="0" w:color="auto"/>
      </w:divBdr>
    </w:div>
    <w:div w:id="813372751">
      <w:bodyDiv w:val="1"/>
      <w:marLeft w:val="0"/>
      <w:marRight w:val="0"/>
      <w:marTop w:val="0"/>
      <w:marBottom w:val="0"/>
      <w:divBdr>
        <w:top w:val="none" w:sz="0" w:space="0" w:color="auto"/>
        <w:left w:val="none" w:sz="0" w:space="0" w:color="auto"/>
        <w:bottom w:val="none" w:sz="0" w:space="0" w:color="auto"/>
        <w:right w:val="none" w:sz="0" w:space="0" w:color="auto"/>
      </w:divBdr>
    </w:div>
    <w:div w:id="813910047">
      <w:bodyDiv w:val="1"/>
      <w:marLeft w:val="0"/>
      <w:marRight w:val="0"/>
      <w:marTop w:val="0"/>
      <w:marBottom w:val="0"/>
      <w:divBdr>
        <w:top w:val="none" w:sz="0" w:space="0" w:color="auto"/>
        <w:left w:val="none" w:sz="0" w:space="0" w:color="auto"/>
        <w:bottom w:val="none" w:sz="0" w:space="0" w:color="auto"/>
        <w:right w:val="none" w:sz="0" w:space="0" w:color="auto"/>
      </w:divBdr>
    </w:div>
    <w:div w:id="815410693">
      <w:bodyDiv w:val="1"/>
      <w:marLeft w:val="0"/>
      <w:marRight w:val="0"/>
      <w:marTop w:val="0"/>
      <w:marBottom w:val="0"/>
      <w:divBdr>
        <w:top w:val="none" w:sz="0" w:space="0" w:color="auto"/>
        <w:left w:val="none" w:sz="0" w:space="0" w:color="auto"/>
        <w:bottom w:val="none" w:sz="0" w:space="0" w:color="auto"/>
        <w:right w:val="none" w:sz="0" w:space="0" w:color="auto"/>
      </w:divBdr>
    </w:div>
    <w:div w:id="815490202">
      <w:bodyDiv w:val="1"/>
      <w:marLeft w:val="0"/>
      <w:marRight w:val="0"/>
      <w:marTop w:val="0"/>
      <w:marBottom w:val="0"/>
      <w:divBdr>
        <w:top w:val="none" w:sz="0" w:space="0" w:color="auto"/>
        <w:left w:val="none" w:sz="0" w:space="0" w:color="auto"/>
        <w:bottom w:val="none" w:sz="0" w:space="0" w:color="auto"/>
        <w:right w:val="none" w:sz="0" w:space="0" w:color="auto"/>
      </w:divBdr>
    </w:div>
    <w:div w:id="815991463">
      <w:bodyDiv w:val="1"/>
      <w:marLeft w:val="0"/>
      <w:marRight w:val="0"/>
      <w:marTop w:val="0"/>
      <w:marBottom w:val="0"/>
      <w:divBdr>
        <w:top w:val="none" w:sz="0" w:space="0" w:color="auto"/>
        <w:left w:val="none" w:sz="0" w:space="0" w:color="auto"/>
        <w:bottom w:val="none" w:sz="0" w:space="0" w:color="auto"/>
        <w:right w:val="none" w:sz="0" w:space="0" w:color="auto"/>
      </w:divBdr>
    </w:div>
    <w:div w:id="817965197">
      <w:bodyDiv w:val="1"/>
      <w:marLeft w:val="0"/>
      <w:marRight w:val="0"/>
      <w:marTop w:val="0"/>
      <w:marBottom w:val="0"/>
      <w:divBdr>
        <w:top w:val="none" w:sz="0" w:space="0" w:color="auto"/>
        <w:left w:val="none" w:sz="0" w:space="0" w:color="auto"/>
        <w:bottom w:val="none" w:sz="0" w:space="0" w:color="auto"/>
        <w:right w:val="none" w:sz="0" w:space="0" w:color="auto"/>
      </w:divBdr>
    </w:div>
    <w:div w:id="818151947">
      <w:bodyDiv w:val="1"/>
      <w:marLeft w:val="0"/>
      <w:marRight w:val="0"/>
      <w:marTop w:val="0"/>
      <w:marBottom w:val="0"/>
      <w:divBdr>
        <w:top w:val="none" w:sz="0" w:space="0" w:color="auto"/>
        <w:left w:val="none" w:sz="0" w:space="0" w:color="auto"/>
        <w:bottom w:val="none" w:sz="0" w:space="0" w:color="auto"/>
        <w:right w:val="none" w:sz="0" w:space="0" w:color="auto"/>
      </w:divBdr>
    </w:div>
    <w:div w:id="823352926">
      <w:bodyDiv w:val="1"/>
      <w:marLeft w:val="0"/>
      <w:marRight w:val="0"/>
      <w:marTop w:val="0"/>
      <w:marBottom w:val="0"/>
      <w:divBdr>
        <w:top w:val="none" w:sz="0" w:space="0" w:color="auto"/>
        <w:left w:val="none" w:sz="0" w:space="0" w:color="auto"/>
        <w:bottom w:val="none" w:sz="0" w:space="0" w:color="auto"/>
        <w:right w:val="none" w:sz="0" w:space="0" w:color="auto"/>
      </w:divBdr>
    </w:div>
    <w:div w:id="828908350">
      <w:bodyDiv w:val="1"/>
      <w:marLeft w:val="0"/>
      <w:marRight w:val="0"/>
      <w:marTop w:val="0"/>
      <w:marBottom w:val="0"/>
      <w:divBdr>
        <w:top w:val="none" w:sz="0" w:space="0" w:color="auto"/>
        <w:left w:val="none" w:sz="0" w:space="0" w:color="auto"/>
        <w:bottom w:val="none" w:sz="0" w:space="0" w:color="auto"/>
        <w:right w:val="none" w:sz="0" w:space="0" w:color="auto"/>
      </w:divBdr>
    </w:div>
    <w:div w:id="829951617">
      <w:bodyDiv w:val="1"/>
      <w:marLeft w:val="0"/>
      <w:marRight w:val="0"/>
      <w:marTop w:val="0"/>
      <w:marBottom w:val="0"/>
      <w:divBdr>
        <w:top w:val="none" w:sz="0" w:space="0" w:color="auto"/>
        <w:left w:val="none" w:sz="0" w:space="0" w:color="auto"/>
        <w:bottom w:val="none" w:sz="0" w:space="0" w:color="auto"/>
        <w:right w:val="none" w:sz="0" w:space="0" w:color="auto"/>
      </w:divBdr>
    </w:div>
    <w:div w:id="834031555">
      <w:bodyDiv w:val="1"/>
      <w:marLeft w:val="0"/>
      <w:marRight w:val="0"/>
      <w:marTop w:val="0"/>
      <w:marBottom w:val="0"/>
      <w:divBdr>
        <w:top w:val="none" w:sz="0" w:space="0" w:color="auto"/>
        <w:left w:val="none" w:sz="0" w:space="0" w:color="auto"/>
        <w:bottom w:val="none" w:sz="0" w:space="0" w:color="auto"/>
        <w:right w:val="none" w:sz="0" w:space="0" w:color="auto"/>
      </w:divBdr>
    </w:div>
    <w:div w:id="834492844">
      <w:bodyDiv w:val="1"/>
      <w:marLeft w:val="0"/>
      <w:marRight w:val="0"/>
      <w:marTop w:val="0"/>
      <w:marBottom w:val="0"/>
      <w:divBdr>
        <w:top w:val="none" w:sz="0" w:space="0" w:color="auto"/>
        <w:left w:val="none" w:sz="0" w:space="0" w:color="auto"/>
        <w:bottom w:val="none" w:sz="0" w:space="0" w:color="auto"/>
        <w:right w:val="none" w:sz="0" w:space="0" w:color="auto"/>
      </w:divBdr>
    </w:div>
    <w:div w:id="834565125">
      <w:bodyDiv w:val="1"/>
      <w:marLeft w:val="0"/>
      <w:marRight w:val="0"/>
      <w:marTop w:val="0"/>
      <w:marBottom w:val="0"/>
      <w:divBdr>
        <w:top w:val="none" w:sz="0" w:space="0" w:color="auto"/>
        <w:left w:val="none" w:sz="0" w:space="0" w:color="auto"/>
        <w:bottom w:val="none" w:sz="0" w:space="0" w:color="auto"/>
        <w:right w:val="none" w:sz="0" w:space="0" w:color="auto"/>
      </w:divBdr>
    </w:div>
    <w:div w:id="835152168">
      <w:bodyDiv w:val="1"/>
      <w:marLeft w:val="0"/>
      <w:marRight w:val="0"/>
      <w:marTop w:val="0"/>
      <w:marBottom w:val="0"/>
      <w:divBdr>
        <w:top w:val="none" w:sz="0" w:space="0" w:color="auto"/>
        <w:left w:val="none" w:sz="0" w:space="0" w:color="auto"/>
        <w:bottom w:val="none" w:sz="0" w:space="0" w:color="auto"/>
        <w:right w:val="none" w:sz="0" w:space="0" w:color="auto"/>
      </w:divBdr>
    </w:div>
    <w:div w:id="835532286">
      <w:bodyDiv w:val="1"/>
      <w:marLeft w:val="0"/>
      <w:marRight w:val="0"/>
      <w:marTop w:val="0"/>
      <w:marBottom w:val="0"/>
      <w:divBdr>
        <w:top w:val="none" w:sz="0" w:space="0" w:color="auto"/>
        <w:left w:val="none" w:sz="0" w:space="0" w:color="auto"/>
        <w:bottom w:val="none" w:sz="0" w:space="0" w:color="auto"/>
        <w:right w:val="none" w:sz="0" w:space="0" w:color="auto"/>
      </w:divBdr>
    </w:div>
    <w:div w:id="836263209">
      <w:bodyDiv w:val="1"/>
      <w:marLeft w:val="0"/>
      <w:marRight w:val="0"/>
      <w:marTop w:val="0"/>
      <w:marBottom w:val="0"/>
      <w:divBdr>
        <w:top w:val="none" w:sz="0" w:space="0" w:color="auto"/>
        <w:left w:val="none" w:sz="0" w:space="0" w:color="auto"/>
        <w:bottom w:val="none" w:sz="0" w:space="0" w:color="auto"/>
        <w:right w:val="none" w:sz="0" w:space="0" w:color="auto"/>
      </w:divBdr>
    </w:div>
    <w:div w:id="837380980">
      <w:bodyDiv w:val="1"/>
      <w:marLeft w:val="0"/>
      <w:marRight w:val="0"/>
      <w:marTop w:val="0"/>
      <w:marBottom w:val="0"/>
      <w:divBdr>
        <w:top w:val="none" w:sz="0" w:space="0" w:color="auto"/>
        <w:left w:val="none" w:sz="0" w:space="0" w:color="auto"/>
        <w:bottom w:val="none" w:sz="0" w:space="0" w:color="auto"/>
        <w:right w:val="none" w:sz="0" w:space="0" w:color="auto"/>
      </w:divBdr>
    </w:div>
    <w:div w:id="838009905">
      <w:bodyDiv w:val="1"/>
      <w:marLeft w:val="0"/>
      <w:marRight w:val="0"/>
      <w:marTop w:val="0"/>
      <w:marBottom w:val="0"/>
      <w:divBdr>
        <w:top w:val="none" w:sz="0" w:space="0" w:color="auto"/>
        <w:left w:val="none" w:sz="0" w:space="0" w:color="auto"/>
        <w:bottom w:val="none" w:sz="0" w:space="0" w:color="auto"/>
        <w:right w:val="none" w:sz="0" w:space="0" w:color="auto"/>
      </w:divBdr>
    </w:div>
    <w:div w:id="839274163">
      <w:bodyDiv w:val="1"/>
      <w:marLeft w:val="0"/>
      <w:marRight w:val="0"/>
      <w:marTop w:val="0"/>
      <w:marBottom w:val="0"/>
      <w:divBdr>
        <w:top w:val="none" w:sz="0" w:space="0" w:color="auto"/>
        <w:left w:val="none" w:sz="0" w:space="0" w:color="auto"/>
        <w:bottom w:val="none" w:sz="0" w:space="0" w:color="auto"/>
        <w:right w:val="none" w:sz="0" w:space="0" w:color="auto"/>
      </w:divBdr>
    </w:div>
    <w:div w:id="840704630">
      <w:bodyDiv w:val="1"/>
      <w:marLeft w:val="0"/>
      <w:marRight w:val="0"/>
      <w:marTop w:val="0"/>
      <w:marBottom w:val="0"/>
      <w:divBdr>
        <w:top w:val="none" w:sz="0" w:space="0" w:color="auto"/>
        <w:left w:val="none" w:sz="0" w:space="0" w:color="auto"/>
        <w:bottom w:val="none" w:sz="0" w:space="0" w:color="auto"/>
        <w:right w:val="none" w:sz="0" w:space="0" w:color="auto"/>
      </w:divBdr>
    </w:div>
    <w:div w:id="841046005">
      <w:bodyDiv w:val="1"/>
      <w:marLeft w:val="0"/>
      <w:marRight w:val="0"/>
      <w:marTop w:val="0"/>
      <w:marBottom w:val="0"/>
      <w:divBdr>
        <w:top w:val="none" w:sz="0" w:space="0" w:color="auto"/>
        <w:left w:val="none" w:sz="0" w:space="0" w:color="auto"/>
        <w:bottom w:val="none" w:sz="0" w:space="0" w:color="auto"/>
        <w:right w:val="none" w:sz="0" w:space="0" w:color="auto"/>
      </w:divBdr>
    </w:div>
    <w:div w:id="845442502">
      <w:bodyDiv w:val="1"/>
      <w:marLeft w:val="0"/>
      <w:marRight w:val="0"/>
      <w:marTop w:val="0"/>
      <w:marBottom w:val="0"/>
      <w:divBdr>
        <w:top w:val="none" w:sz="0" w:space="0" w:color="auto"/>
        <w:left w:val="none" w:sz="0" w:space="0" w:color="auto"/>
        <w:bottom w:val="none" w:sz="0" w:space="0" w:color="auto"/>
        <w:right w:val="none" w:sz="0" w:space="0" w:color="auto"/>
      </w:divBdr>
    </w:div>
    <w:div w:id="845747952">
      <w:bodyDiv w:val="1"/>
      <w:marLeft w:val="0"/>
      <w:marRight w:val="0"/>
      <w:marTop w:val="0"/>
      <w:marBottom w:val="0"/>
      <w:divBdr>
        <w:top w:val="none" w:sz="0" w:space="0" w:color="auto"/>
        <w:left w:val="none" w:sz="0" w:space="0" w:color="auto"/>
        <w:bottom w:val="none" w:sz="0" w:space="0" w:color="auto"/>
        <w:right w:val="none" w:sz="0" w:space="0" w:color="auto"/>
      </w:divBdr>
    </w:div>
    <w:div w:id="847789070">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8132825">
      <w:bodyDiv w:val="1"/>
      <w:marLeft w:val="0"/>
      <w:marRight w:val="0"/>
      <w:marTop w:val="0"/>
      <w:marBottom w:val="0"/>
      <w:divBdr>
        <w:top w:val="none" w:sz="0" w:space="0" w:color="auto"/>
        <w:left w:val="none" w:sz="0" w:space="0" w:color="auto"/>
        <w:bottom w:val="none" w:sz="0" w:space="0" w:color="auto"/>
        <w:right w:val="none" w:sz="0" w:space="0" w:color="auto"/>
      </w:divBdr>
    </w:div>
    <w:div w:id="852765028">
      <w:bodyDiv w:val="1"/>
      <w:marLeft w:val="0"/>
      <w:marRight w:val="0"/>
      <w:marTop w:val="0"/>
      <w:marBottom w:val="0"/>
      <w:divBdr>
        <w:top w:val="none" w:sz="0" w:space="0" w:color="auto"/>
        <w:left w:val="none" w:sz="0" w:space="0" w:color="auto"/>
        <w:bottom w:val="none" w:sz="0" w:space="0" w:color="auto"/>
        <w:right w:val="none" w:sz="0" w:space="0" w:color="auto"/>
      </w:divBdr>
    </w:div>
    <w:div w:id="852836765">
      <w:bodyDiv w:val="1"/>
      <w:marLeft w:val="0"/>
      <w:marRight w:val="0"/>
      <w:marTop w:val="0"/>
      <w:marBottom w:val="0"/>
      <w:divBdr>
        <w:top w:val="none" w:sz="0" w:space="0" w:color="auto"/>
        <w:left w:val="none" w:sz="0" w:space="0" w:color="auto"/>
        <w:bottom w:val="none" w:sz="0" w:space="0" w:color="auto"/>
        <w:right w:val="none" w:sz="0" w:space="0" w:color="auto"/>
      </w:divBdr>
    </w:div>
    <w:div w:id="852840274">
      <w:bodyDiv w:val="1"/>
      <w:marLeft w:val="0"/>
      <w:marRight w:val="0"/>
      <w:marTop w:val="0"/>
      <w:marBottom w:val="0"/>
      <w:divBdr>
        <w:top w:val="none" w:sz="0" w:space="0" w:color="auto"/>
        <w:left w:val="none" w:sz="0" w:space="0" w:color="auto"/>
        <w:bottom w:val="none" w:sz="0" w:space="0" w:color="auto"/>
        <w:right w:val="none" w:sz="0" w:space="0" w:color="auto"/>
      </w:divBdr>
    </w:div>
    <w:div w:id="854197353">
      <w:bodyDiv w:val="1"/>
      <w:marLeft w:val="0"/>
      <w:marRight w:val="0"/>
      <w:marTop w:val="0"/>
      <w:marBottom w:val="0"/>
      <w:divBdr>
        <w:top w:val="none" w:sz="0" w:space="0" w:color="auto"/>
        <w:left w:val="none" w:sz="0" w:space="0" w:color="auto"/>
        <w:bottom w:val="none" w:sz="0" w:space="0" w:color="auto"/>
        <w:right w:val="none" w:sz="0" w:space="0" w:color="auto"/>
      </w:divBdr>
    </w:div>
    <w:div w:id="854618087">
      <w:bodyDiv w:val="1"/>
      <w:marLeft w:val="0"/>
      <w:marRight w:val="0"/>
      <w:marTop w:val="0"/>
      <w:marBottom w:val="0"/>
      <w:divBdr>
        <w:top w:val="none" w:sz="0" w:space="0" w:color="auto"/>
        <w:left w:val="none" w:sz="0" w:space="0" w:color="auto"/>
        <w:bottom w:val="none" w:sz="0" w:space="0" w:color="auto"/>
        <w:right w:val="none" w:sz="0" w:space="0" w:color="auto"/>
      </w:divBdr>
    </w:div>
    <w:div w:id="860169508">
      <w:bodyDiv w:val="1"/>
      <w:marLeft w:val="0"/>
      <w:marRight w:val="0"/>
      <w:marTop w:val="0"/>
      <w:marBottom w:val="0"/>
      <w:divBdr>
        <w:top w:val="none" w:sz="0" w:space="0" w:color="auto"/>
        <w:left w:val="none" w:sz="0" w:space="0" w:color="auto"/>
        <w:bottom w:val="none" w:sz="0" w:space="0" w:color="auto"/>
        <w:right w:val="none" w:sz="0" w:space="0" w:color="auto"/>
      </w:divBdr>
    </w:div>
    <w:div w:id="861095223">
      <w:bodyDiv w:val="1"/>
      <w:marLeft w:val="0"/>
      <w:marRight w:val="0"/>
      <w:marTop w:val="0"/>
      <w:marBottom w:val="0"/>
      <w:divBdr>
        <w:top w:val="none" w:sz="0" w:space="0" w:color="auto"/>
        <w:left w:val="none" w:sz="0" w:space="0" w:color="auto"/>
        <w:bottom w:val="none" w:sz="0" w:space="0" w:color="auto"/>
        <w:right w:val="none" w:sz="0" w:space="0" w:color="auto"/>
      </w:divBdr>
    </w:div>
    <w:div w:id="866989786">
      <w:bodyDiv w:val="1"/>
      <w:marLeft w:val="0"/>
      <w:marRight w:val="0"/>
      <w:marTop w:val="0"/>
      <w:marBottom w:val="0"/>
      <w:divBdr>
        <w:top w:val="none" w:sz="0" w:space="0" w:color="auto"/>
        <w:left w:val="none" w:sz="0" w:space="0" w:color="auto"/>
        <w:bottom w:val="none" w:sz="0" w:space="0" w:color="auto"/>
        <w:right w:val="none" w:sz="0" w:space="0" w:color="auto"/>
      </w:divBdr>
    </w:div>
    <w:div w:id="867334821">
      <w:bodyDiv w:val="1"/>
      <w:marLeft w:val="0"/>
      <w:marRight w:val="0"/>
      <w:marTop w:val="0"/>
      <w:marBottom w:val="0"/>
      <w:divBdr>
        <w:top w:val="none" w:sz="0" w:space="0" w:color="auto"/>
        <w:left w:val="none" w:sz="0" w:space="0" w:color="auto"/>
        <w:bottom w:val="none" w:sz="0" w:space="0" w:color="auto"/>
        <w:right w:val="none" w:sz="0" w:space="0" w:color="auto"/>
      </w:divBdr>
    </w:div>
    <w:div w:id="868107364">
      <w:bodyDiv w:val="1"/>
      <w:marLeft w:val="0"/>
      <w:marRight w:val="0"/>
      <w:marTop w:val="0"/>
      <w:marBottom w:val="0"/>
      <w:divBdr>
        <w:top w:val="none" w:sz="0" w:space="0" w:color="auto"/>
        <w:left w:val="none" w:sz="0" w:space="0" w:color="auto"/>
        <w:bottom w:val="none" w:sz="0" w:space="0" w:color="auto"/>
        <w:right w:val="none" w:sz="0" w:space="0" w:color="auto"/>
      </w:divBdr>
    </w:div>
    <w:div w:id="871117836">
      <w:bodyDiv w:val="1"/>
      <w:marLeft w:val="0"/>
      <w:marRight w:val="0"/>
      <w:marTop w:val="0"/>
      <w:marBottom w:val="0"/>
      <w:divBdr>
        <w:top w:val="none" w:sz="0" w:space="0" w:color="auto"/>
        <w:left w:val="none" w:sz="0" w:space="0" w:color="auto"/>
        <w:bottom w:val="none" w:sz="0" w:space="0" w:color="auto"/>
        <w:right w:val="none" w:sz="0" w:space="0" w:color="auto"/>
      </w:divBdr>
    </w:div>
    <w:div w:id="874730721">
      <w:bodyDiv w:val="1"/>
      <w:marLeft w:val="0"/>
      <w:marRight w:val="0"/>
      <w:marTop w:val="0"/>
      <w:marBottom w:val="0"/>
      <w:divBdr>
        <w:top w:val="none" w:sz="0" w:space="0" w:color="auto"/>
        <w:left w:val="none" w:sz="0" w:space="0" w:color="auto"/>
        <w:bottom w:val="none" w:sz="0" w:space="0" w:color="auto"/>
        <w:right w:val="none" w:sz="0" w:space="0" w:color="auto"/>
      </w:divBdr>
    </w:div>
    <w:div w:id="875242947">
      <w:bodyDiv w:val="1"/>
      <w:marLeft w:val="0"/>
      <w:marRight w:val="0"/>
      <w:marTop w:val="0"/>
      <w:marBottom w:val="0"/>
      <w:divBdr>
        <w:top w:val="none" w:sz="0" w:space="0" w:color="auto"/>
        <w:left w:val="none" w:sz="0" w:space="0" w:color="auto"/>
        <w:bottom w:val="none" w:sz="0" w:space="0" w:color="auto"/>
        <w:right w:val="none" w:sz="0" w:space="0" w:color="auto"/>
      </w:divBdr>
    </w:div>
    <w:div w:id="876963565">
      <w:bodyDiv w:val="1"/>
      <w:marLeft w:val="0"/>
      <w:marRight w:val="0"/>
      <w:marTop w:val="0"/>
      <w:marBottom w:val="0"/>
      <w:divBdr>
        <w:top w:val="none" w:sz="0" w:space="0" w:color="auto"/>
        <w:left w:val="none" w:sz="0" w:space="0" w:color="auto"/>
        <w:bottom w:val="none" w:sz="0" w:space="0" w:color="auto"/>
        <w:right w:val="none" w:sz="0" w:space="0" w:color="auto"/>
      </w:divBdr>
    </w:div>
    <w:div w:id="876969708">
      <w:bodyDiv w:val="1"/>
      <w:marLeft w:val="0"/>
      <w:marRight w:val="0"/>
      <w:marTop w:val="0"/>
      <w:marBottom w:val="0"/>
      <w:divBdr>
        <w:top w:val="none" w:sz="0" w:space="0" w:color="auto"/>
        <w:left w:val="none" w:sz="0" w:space="0" w:color="auto"/>
        <w:bottom w:val="none" w:sz="0" w:space="0" w:color="auto"/>
        <w:right w:val="none" w:sz="0" w:space="0" w:color="auto"/>
      </w:divBdr>
    </w:div>
    <w:div w:id="878010868">
      <w:bodyDiv w:val="1"/>
      <w:marLeft w:val="0"/>
      <w:marRight w:val="0"/>
      <w:marTop w:val="0"/>
      <w:marBottom w:val="0"/>
      <w:divBdr>
        <w:top w:val="none" w:sz="0" w:space="0" w:color="auto"/>
        <w:left w:val="none" w:sz="0" w:space="0" w:color="auto"/>
        <w:bottom w:val="none" w:sz="0" w:space="0" w:color="auto"/>
        <w:right w:val="none" w:sz="0" w:space="0" w:color="auto"/>
      </w:divBdr>
    </w:div>
    <w:div w:id="878320661">
      <w:bodyDiv w:val="1"/>
      <w:marLeft w:val="0"/>
      <w:marRight w:val="0"/>
      <w:marTop w:val="0"/>
      <w:marBottom w:val="0"/>
      <w:divBdr>
        <w:top w:val="none" w:sz="0" w:space="0" w:color="auto"/>
        <w:left w:val="none" w:sz="0" w:space="0" w:color="auto"/>
        <w:bottom w:val="none" w:sz="0" w:space="0" w:color="auto"/>
        <w:right w:val="none" w:sz="0" w:space="0" w:color="auto"/>
      </w:divBdr>
    </w:div>
    <w:div w:id="882716185">
      <w:bodyDiv w:val="1"/>
      <w:marLeft w:val="0"/>
      <w:marRight w:val="0"/>
      <w:marTop w:val="0"/>
      <w:marBottom w:val="0"/>
      <w:divBdr>
        <w:top w:val="none" w:sz="0" w:space="0" w:color="auto"/>
        <w:left w:val="none" w:sz="0" w:space="0" w:color="auto"/>
        <w:bottom w:val="none" w:sz="0" w:space="0" w:color="auto"/>
        <w:right w:val="none" w:sz="0" w:space="0" w:color="auto"/>
      </w:divBdr>
    </w:div>
    <w:div w:id="883443953">
      <w:bodyDiv w:val="1"/>
      <w:marLeft w:val="0"/>
      <w:marRight w:val="0"/>
      <w:marTop w:val="0"/>
      <w:marBottom w:val="0"/>
      <w:divBdr>
        <w:top w:val="none" w:sz="0" w:space="0" w:color="auto"/>
        <w:left w:val="none" w:sz="0" w:space="0" w:color="auto"/>
        <w:bottom w:val="none" w:sz="0" w:space="0" w:color="auto"/>
        <w:right w:val="none" w:sz="0" w:space="0" w:color="auto"/>
      </w:divBdr>
    </w:div>
    <w:div w:id="883716571">
      <w:bodyDiv w:val="1"/>
      <w:marLeft w:val="0"/>
      <w:marRight w:val="0"/>
      <w:marTop w:val="0"/>
      <w:marBottom w:val="0"/>
      <w:divBdr>
        <w:top w:val="none" w:sz="0" w:space="0" w:color="auto"/>
        <w:left w:val="none" w:sz="0" w:space="0" w:color="auto"/>
        <w:bottom w:val="none" w:sz="0" w:space="0" w:color="auto"/>
        <w:right w:val="none" w:sz="0" w:space="0" w:color="auto"/>
      </w:divBdr>
    </w:div>
    <w:div w:id="885988699">
      <w:bodyDiv w:val="1"/>
      <w:marLeft w:val="0"/>
      <w:marRight w:val="0"/>
      <w:marTop w:val="0"/>
      <w:marBottom w:val="0"/>
      <w:divBdr>
        <w:top w:val="none" w:sz="0" w:space="0" w:color="auto"/>
        <w:left w:val="none" w:sz="0" w:space="0" w:color="auto"/>
        <w:bottom w:val="none" w:sz="0" w:space="0" w:color="auto"/>
        <w:right w:val="none" w:sz="0" w:space="0" w:color="auto"/>
      </w:divBdr>
    </w:div>
    <w:div w:id="886767794">
      <w:bodyDiv w:val="1"/>
      <w:marLeft w:val="0"/>
      <w:marRight w:val="0"/>
      <w:marTop w:val="0"/>
      <w:marBottom w:val="0"/>
      <w:divBdr>
        <w:top w:val="none" w:sz="0" w:space="0" w:color="auto"/>
        <w:left w:val="none" w:sz="0" w:space="0" w:color="auto"/>
        <w:bottom w:val="none" w:sz="0" w:space="0" w:color="auto"/>
        <w:right w:val="none" w:sz="0" w:space="0" w:color="auto"/>
      </w:divBdr>
    </w:div>
    <w:div w:id="887958619">
      <w:bodyDiv w:val="1"/>
      <w:marLeft w:val="0"/>
      <w:marRight w:val="0"/>
      <w:marTop w:val="0"/>
      <w:marBottom w:val="0"/>
      <w:divBdr>
        <w:top w:val="none" w:sz="0" w:space="0" w:color="auto"/>
        <w:left w:val="none" w:sz="0" w:space="0" w:color="auto"/>
        <w:bottom w:val="none" w:sz="0" w:space="0" w:color="auto"/>
        <w:right w:val="none" w:sz="0" w:space="0" w:color="auto"/>
      </w:divBdr>
    </w:div>
    <w:div w:id="889993444">
      <w:bodyDiv w:val="1"/>
      <w:marLeft w:val="0"/>
      <w:marRight w:val="0"/>
      <w:marTop w:val="0"/>
      <w:marBottom w:val="0"/>
      <w:divBdr>
        <w:top w:val="none" w:sz="0" w:space="0" w:color="auto"/>
        <w:left w:val="none" w:sz="0" w:space="0" w:color="auto"/>
        <w:bottom w:val="none" w:sz="0" w:space="0" w:color="auto"/>
        <w:right w:val="none" w:sz="0" w:space="0" w:color="auto"/>
      </w:divBdr>
    </w:div>
    <w:div w:id="890076957">
      <w:bodyDiv w:val="1"/>
      <w:marLeft w:val="0"/>
      <w:marRight w:val="0"/>
      <w:marTop w:val="0"/>
      <w:marBottom w:val="0"/>
      <w:divBdr>
        <w:top w:val="none" w:sz="0" w:space="0" w:color="auto"/>
        <w:left w:val="none" w:sz="0" w:space="0" w:color="auto"/>
        <w:bottom w:val="none" w:sz="0" w:space="0" w:color="auto"/>
        <w:right w:val="none" w:sz="0" w:space="0" w:color="auto"/>
      </w:divBdr>
    </w:div>
    <w:div w:id="893004648">
      <w:bodyDiv w:val="1"/>
      <w:marLeft w:val="0"/>
      <w:marRight w:val="0"/>
      <w:marTop w:val="0"/>
      <w:marBottom w:val="0"/>
      <w:divBdr>
        <w:top w:val="none" w:sz="0" w:space="0" w:color="auto"/>
        <w:left w:val="none" w:sz="0" w:space="0" w:color="auto"/>
        <w:bottom w:val="none" w:sz="0" w:space="0" w:color="auto"/>
        <w:right w:val="none" w:sz="0" w:space="0" w:color="auto"/>
      </w:divBdr>
    </w:div>
    <w:div w:id="893781233">
      <w:bodyDiv w:val="1"/>
      <w:marLeft w:val="0"/>
      <w:marRight w:val="0"/>
      <w:marTop w:val="0"/>
      <w:marBottom w:val="0"/>
      <w:divBdr>
        <w:top w:val="none" w:sz="0" w:space="0" w:color="auto"/>
        <w:left w:val="none" w:sz="0" w:space="0" w:color="auto"/>
        <w:bottom w:val="none" w:sz="0" w:space="0" w:color="auto"/>
        <w:right w:val="none" w:sz="0" w:space="0" w:color="auto"/>
      </w:divBdr>
    </w:div>
    <w:div w:id="895434971">
      <w:bodyDiv w:val="1"/>
      <w:marLeft w:val="0"/>
      <w:marRight w:val="0"/>
      <w:marTop w:val="0"/>
      <w:marBottom w:val="0"/>
      <w:divBdr>
        <w:top w:val="none" w:sz="0" w:space="0" w:color="auto"/>
        <w:left w:val="none" w:sz="0" w:space="0" w:color="auto"/>
        <w:bottom w:val="none" w:sz="0" w:space="0" w:color="auto"/>
        <w:right w:val="none" w:sz="0" w:space="0" w:color="auto"/>
      </w:divBdr>
    </w:div>
    <w:div w:id="895966312">
      <w:bodyDiv w:val="1"/>
      <w:marLeft w:val="0"/>
      <w:marRight w:val="0"/>
      <w:marTop w:val="0"/>
      <w:marBottom w:val="0"/>
      <w:divBdr>
        <w:top w:val="none" w:sz="0" w:space="0" w:color="auto"/>
        <w:left w:val="none" w:sz="0" w:space="0" w:color="auto"/>
        <w:bottom w:val="none" w:sz="0" w:space="0" w:color="auto"/>
        <w:right w:val="none" w:sz="0" w:space="0" w:color="auto"/>
      </w:divBdr>
    </w:div>
    <w:div w:id="896010630">
      <w:bodyDiv w:val="1"/>
      <w:marLeft w:val="0"/>
      <w:marRight w:val="0"/>
      <w:marTop w:val="0"/>
      <w:marBottom w:val="0"/>
      <w:divBdr>
        <w:top w:val="none" w:sz="0" w:space="0" w:color="auto"/>
        <w:left w:val="none" w:sz="0" w:space="0" w:color="auto"/>
        <w:bottom w:val="none" w:sz="0" w:space="0" w:color="auto"/>
        <w:right w:val="none" w:sz="0" w:space="0" w:color="auto"/>
      </w:divBdr>
    </w:div>
    <w:div w:id="900558581">
      <w:bodyDiv w:val="1"/>
      <w:marLeft w:val="0"/>
      <w:marRight w:val="0"/>
      <w:marTop w:val="0"/>
      <w:marBottom w:val="0"/>
      <w:divBdr>
        <w:top w:val="none" w:sz="0" w:space="0" w:color="auto"/>
        <w:left w:val="none" w:sz="0" w:space="0" w:color="auto"/>
        <w:bottom w:val="none" w:sz="0" w:space="0" w:color="auto"/>
        <w:right w:val="none" w:sz="0" w:space="0" w:color="auto"/>
      </w:divBdr>
    </w:div>
    <w:div w:id="903224938">
      <w:bodyDiv w:val="1"/>
      <w:marLeft w:val="0"/>
      <w:marRight w:val="0"/>
      <w:marTop w:val="0"/>
      <w:marBottom w:val="0"/>
      <w:divBdr>
        <w:top w:val="none" w:sz="0" w:space="0" w:color="auto"/>
        <w:left w:val="none" w:sz="0" w:space="0" w:color="auto"/>
        <w:bottom w:val="none" w:sz="0" w:space="0" w:color="auto"/>
        <w:right w:val="none" w:sz="0" w:space="0" w:color="auto"/>
      </w:divBdr>
    </w:div>
    <w:div w:id="904140820">
      <w:bodyDiv w:val="1"/>
      <w:marLeft w:val="0"/>
      <w:marRight w:val="0"/>
      <w:marTop w:val="0"/>
      <w:marBottom w:val="0"/>
      <w:divBdr>
        <w:top w:val="none" w:sz="0" w:space="0" w:color="auto"/>
        <w:left w:val="none" w:sz="0" w:space="0" w:color="auto"/>
        <w:bottom w:val="none" w:sz="0" w:space="0" w:color="auto"/>
        <w:right w:val="none" w:sz="0" w:space="0" w:color="auto"/>
      </w:divBdr>
    </w:div>
    <w:div w:id="904872181">
      <w:bodyDiv w:val="1"/>
      <w:marLeft w:val="0"/>
      <w:marRight w:val="0"/>
      <w:marTop w:val="0"/>
      <w:marBottom w:val="0"/>
      <w:divBdr>
        <w:top w:val="none" w:sz="0" w:space="0" w:color="auto"/>
        <w:left w:val="none" w:sz="0" w:space="0" w:color="auto"/>
        <w:bottom w:val="none" w:sz="0" w:space="0" w:color="auto"/>
        <w:right w:val="none" w:sz="0" w:space="0" w:color="auto"/>
      </w:divBdr>
    </w:div>
    <w:div w:id="905260038">
      <w:bodyDiv w:val="1"/>
      <w:marLeft w:val="0"/>
      <w:marRight w:val="0"/>
      <w:marTop w:val="0"/>
      <w:marBottom w:val="0"/>
      <w:divBdr>
        <w:top w:val="none" w:sz="0" w:space="0" w:color="auto"/>
        <w:left w:val="none" w:sz="0" w:space="0" w:color="auto"/>
        <w:bottom w:val="none" w:sz="0" w:space="0" w:color="auto"/>
        <w:right w:val="none" w:sz="0" w:space="0" w:color="auto"/>
      </w:divBdr>
    </w:div>
    <w:div w:id="905796062">
      <w:bodyDiv w:val="1"/>
      <w:marLeft w:val="0"/>
      <w:marRight w:val="0"/>
      <w:marTop w:val="0"/>
      <w:marBottom w:val="0"/>
      <w:divBdr>
        <w:top w:val="none" w:sz="0" w:space="0" w:color="auto"/>
        <w:left w:val="none" w:sz="0" w:space="0" w:color="auto"/>
        <w:bottom w:val="none" w:sz="0" w:space="0" w:color="auto"/>
        <w:right w:val="none" w:sz="0" w:space="0" w:color="auto"/>
      </w:divBdr>
    </w:div>
    <w:div w:id="911617381">
      <w:bodyDiv w:val="1"/>
      <w:marLeft w:val="0"/>
      <w:marRight w:val="0"/>
      <w:marTop w:val="0"/>
      <w:marBottom w:val="0"/>
      <w:divBdr>
        <w:top w:val="none" w:sz="0" w:space="0" w:color="auto"/>
        <w:left w:val="none" w:sz="0" w:space="0" w:color="auto"/>
        <w:bottom w:val="none" w:sz="0" w:space="0" w:color="auto"/>
        <w:right w:val="none" w:sz="0" w:space="0" w:color="auto"/>
      </w:divBdr>
    </w:div>
    <w:div w:id="912855070">
      <w:bodyDiv w:val="1"/>
      <w:marLeft w:val="0"/>
      <w:marRight w:val="0"/>
      <w:marTop w:val="0"/>
      <w:marBottom w:val="0"/>
      <w:divBdr>
        <w:top w:val="none" w:sz="0" w:space="0" w:color="auto"/>
        <w:left w:val="none" w:sz="0" w:space="0" w:color="auto"/>
        <w:bottom w:val="none" w:sz="0" w:space="0" w:color="auto"/>
        <w:right w:val="none" w:sz="0" w:space="0" w:color="auto"/>
      </w:divBdr>
    </w:div>
    <w:div w:id="913472572">
      <w:bodyDiv w:val="1"/>
      <w:marLeft w:val="0"/>
      <w:marRight w:val="0"/>
      <w:marTop w:val="0"/>
      <w:marBottom w:val="0"/>
      <w:divBdr>
        <w:top w:val="none" w:sz="0" w:space="0" w:color="auto"/>
        <w:left w:val="none" w:sz="0" w:space="0" w:color="auto"/>
        <w:bottom w:val="none" w:sz="0" w:space="0" w:color="auto"/>
        <w:right w:val="none" w:sz="0" w:space="0" w:color="auto"/>
      </w:divBdr>
    </w:div>
    <w:div w:id="915481666">
      <w:bodyDiv w:val="1"/>
      <w:marLeft w:val="0"/>
      <w:marRight w:val="0"/>
      <w:marTop w:val="0"/>
      <w:marBottom w:val="0"/>
      <w:divBdr>
        <w:top w:val="none" w:sz="0" w:space="0" w:color="auto"/>
        <w:left w:val="none" w:sz="0" w:space="0" w:color="auto"/>
        <w:bottom w:val="none" w:sz="0" w:space="0" w:color="auto"/>
        <w:right w:val="none" w:sz="0" w:space="0" w:color="auto"/>
      </w:divBdr>
    </w:div>
    <w:div w:id="915625681">
      <w:bodyDiv w:val="1"/>
      <w:marLeft w:val="0"/>
      <w:marRight w:val="0"/>
      <w:marTop w:val="0"/>
      <w:marBottom w:val="0"/>
      <w:divBdr>
        <w:top w:val="none" w:sz="0" w:space="0" w:color="auto"/>
        <w:left w:val="none" w:sz="0" w:space="0" w:color="auto"/>
        <w:bottom w:val="none" w:sz="0" w:space="0" w:color="auto"/>
        <w:right w:val="none" w:sz="0" w:space="0" w:color="auto"/>
      </w:divBdr>
    </w:div>
    <w:div w:id="917832305">
      <w:bodyDiv w:val="1"/>
      <w:marLeft w:val="0"/>
      <w:marRight w:val="0"/>
      <w:marTop w:val="0"/>
      <w:marBottom w:val="0"/>
      <w:divBdr>
        <w:top w:val="none" w:sz="0" w:space="0" w:color="auto"/>
        <w:left w:val="none" w:sz="0" w:space="0" w:color="auto"/>
        <w:bottom w:val="none" w:sz="0" w:space="0" w:color="auto"/>
        <w:right w:val="none" w:sz="0" w:space="0" w:color="auto"/>
      </w:divBdr>
    </w:div>
    <w:div w:id="918758629">
      <w:bodyDiv w:val="1"/>
      <w:marLeft w:val="0"/>
      <w:marRight w:val="0"/>
      <w:marTop w:val="0"/>
      <w:marBottom w:val="0"/>
      <w:divBdr>
        <w:top w:val="none" w:sz="0" w:space="0" w:color="auto"/>
        <w:left w:val="none" w:sz="0" w:space="0" w:color="auto"/>
        <w:bottom w:val="none" w:sz="0" w:space="0" w:color="auto"/>
        <w:right w:val="none" w:sz="0" w:space="0" w:color="auto"/>
      </w:divBdr>
    </w:div>
    <w:div w:id="919944430">
      <w:bodyDiv w:val="1"/>
      <w:marLeft w:val="0"/>
      <w:marRight w:val="0"/>
      <w:marTop w:val="0"/>
      <w:marBottom w:val="0"/>
      <w:divBdr>
        <w:top w:val="none" w:sz="0" w:space="0" w:color="auto"/>
        <w:left w:val="none" w:sz="0" w:space="0" w:color="auto"/>
        <w:bottom w:val="none" w:sz="0" w:space="0" w:color="auto"/>
        <w:right w:val="none" w:sz="0" w:space="0" w:color="auto"/>
      </w:divBdr>
    </w:div>
    <w:div w:id="921449465">
      <w:bodyDiv w:val="1"/>
      <w:marLeft w:val="0"/>
      <w:marRight w:val="0"/>
      <w:marTop w:val="0"/>
      <w:marBottom w:val="0"/>
      <w:divBdr>
        <w:top w:val="none" w:sz="0" w:space="0" w:color="auto"/>
        <w:left w:val="none" w:sz="0" w:space="0" w:color="auto"/>
        <w:bottom w:val="none" w:sz="0" w:space="0" w:color="auto"/>
        <w:right w:val="none" w:sz="0" w:space="0" w:color="auto"/>
      </w:divBdr>
    </w:div>
    <w:div w:id="922031739">
      <w:bodyDiv w:val="1"/>
      <w:marLeft w:val="0"/>
      <w:marRight w:val="0"/>
      <w:marTop w:val="0"/>
      <w:marBottom w:val="0"/>
      <w:divBdr>
        <w:top w:val="none" w:sz="0" w:space="0" w:color="auto"/>
        <w:left w:val="none" w:sz="0" w:space="0" w:color="auto"/>
        <w:bottom w:val="none" w:sz="0" w:space="0" w:color="auto"/>
        <w:right w:val="none" w:sz="0" w:space="0" w:color="auto"/>
      </w:divBdr>
    </w:div>
    <w:div w:id="924537226">
      <w:bodyDiv w:val="1"/>
      <w:marLeft w:val="0"/>
      <w:marRight w:val="0"/>
      <w:marTop w:val="0"/>
      <w:marBottom w:val="0"/>
      <w:divBdr>
        <w:top w:val="none" w:sz="0" w:space="0" w:color="auto"/>
        <w:left w:val="none" w:sz="0" w:space="0" w:color="auto"/>
        <w:bottom w:val="none" w:sz="0" w:space="0" w:color="auto"/>
        <w:right w:val="none" w:sz="0" w:space="0" w:color="auto"/>
      </w:divBdr>
    </w:div>
    <w:div w:id="924994506">
      <w:bodyDiv w:val="1"/>
      <w:marLeft w:val="0"/>
      <w:marRight w:val="0"/>
      <w:marTop w:val="0"/>
      <w:marBottom w:val="0"/>
      <w:divBdr>
        <w:top w:val="none" w:sz="0" w:space="0" w:color="auto"/>
        <w:left w:val="none" w:sz="0" w:space="0" w:color="auto"/>
        <w:bottom w:val="none" w:sz="0" w:space="0" w:color="auto"/>
        <w:right w:val="none" w:sz="0" w:space="0" w:color="auto"/>
      </w:divBdr>
    </w:div>
    <w:div w:id="926380435">
      <w:bodyDiv w:val="1"/>
      <w:marLeft w:val="0"/>
      <w:marRight w:val="0"/>
      <w:marTop w:val="0"/>
      <w:marBottom w:val="0"/>
      <w:divBdr>
        <w:top w:val="none" w:sz="0" w:space="0" w:color="auto"/>
        <w:left w:val="none" w:sz="0" w:space="0" w:color="auto"/>
        <w:bottom w:val="none" w:sz="0" w:space="0" w:color="auto"/>
        <w:right w:val="none" w:sz="0" w:space="0" w:color="auto"/>
      </w:divBdr>
    </w:div>
    <w:div w:id="929509851">
      <w:bodyDiv w:val="1"/>
      <w:marLeft w:val="0"/>
      <w:marRight w:val="0"/>
      <w:marTop w:val="0"/>
      <w:marBottom w:val="0"/>
      <w:divBdr>
        <w:top w:val="none" w:sz="0" w:space="0" w:color="auto"/>
        <w:left w:val="none" w:sz="0" w:space="0" w:color="auto"/>
        <w:bottom w:val="none" w:sz="0" w:space="0" w:color="auto"/>
        <w:right w:val="none" w:sz="0" w:space="0" w:color="auto"/>
      </w:divBdr>
    </w:div>
    <w:div w:id="933786661">
      <w:bodyDiv w:val="1"/>
      <w:marLeft w:val="0"/>
      <w:marRight w:val="0"/>
      <w:marTop w:val="0"/>
      <w:marBottom w:val="0"/>
      <w:divBdr>
        <w:top w:val="none" w:sz="0" w:space="0" w:color="auto"/>
        <w:left w:val="none" w:sz="0" w:space="0" w:color="auto"/>
        <w:bottom w:val="none" w:sz="0" w:space="0" w:color="auto"/>
        <w:right w:val="none" w:sz="0" w:space="0" w:color="auto"/>
      </w:divBdr>
    </w:div>
    <w:div w:id="937057941">
      <w:bodyDiv w:val="1"/>
      <w:marLeft w:val="0"/>
      <w:marRight w:val="0"/>
      <w:marTop w:val="0"/>
      <w:marBottom w:val="0"/>
      <w:divBdr>
        <w:top w:val="none" w:sz="0" w:space="0" w:color="auto"/>
        <w:left w:val="none" w:sz="0" w:space="0" w:color="auto"/>
        <w:bottom w:val="none" w:sz="0" w:space="0" w:color="auto"/>
        <w:right w:val="none" w:sz="0" w:space="0" w:color="auto"/>
      </w:divBdr>
    </w:div>
    <w:div w:id="937910256">
      <w:bodyDiv w:val="1"/>
      <w:marLeft w:val="0"/>
      <w:marRight w:val="0"/>
      <w:marTop w:val="0"/>
      <w:marBottom w:val="0"/>
      <w:divBdr>
        <w:top w:val="none" w:sz="0" w:space="0" w:color="auto"/>
        <w:left w:val="none" w:sz="0" w:space="0" w:color="auto"/>
        <w:bottom w:val="none" w:sz="0" w:space="0" w:color="auto"/>
        <w:right w:val="none" w:sz="0" w:space="0" w:color="auto"/>
      </w:divBdr>
    </w:div>
    <w:div w:id="938293991">
      <w:bodyDiv w:val="1"/>
      <w:marLeft w:val="0"/>
      <w:marRight w:val="0"/>
      <w:marTop w:val="0"/>
      <w:marBottom w:val="0"/>
      <w:divBdr>
        <w:top w:val="none" w:sz="0" w:space="0" w:color="auto"/>
        <w:left w:val="none" w:sz="0" w:space="0" w:color="auto"/>
        <w:bottom w:val="none" w:sz="0" w:space="0" w:color="auto"/>
        <w:right w:val="none" w:sz="0" w:space="0" w:color="auto"/>
      </w:divBdr>
    </w:div>
    <w:div w:id="938636439">
      <w:bodyDiv w:val="1"/>
      <w:marLeft w:val="0"/>
      <w:marRight w:val="0"/>
      <w:marTop w:val="0"/>
      <w:marBottom w:val="0"/>
      <w:divBdr>
        <w:top w:val="none" w:sz="0" w:space="0" w:color="auto"/>
        <w:left w:val="none" w:sz="0" w:space="0" w:color="auto"/>
        <w:bottom w:val="none" w:sz="0" w:space="0" w:color="auto"/>
        <w:right w:val="none" w:sz="0" w:space="0" w:color="auto"/>
      </w:divBdr>
    </w:div>
    <w:div w:id="939217320">
      <w:bodyDiv w:val="1"/>
      <w:marLeft w:val="0"/>
      <w:marRight w:val="0"/>
      <w:marTop w:val="0"/>
      <w:marBottom w:val="0"/>
      <w:divBdr>
        <w:top w:val="none" w:sz="0" w:space="0" w:color="auto"/>
        <w:left w:val="none" w:sz="0" w:space="0" w:color="auto"/>
        <w:bottom w:val="none" w:sz="0" w:space="0" w:color="auto"/>
        <w:right w:val="none" w:sz="0" w:space="0" w:color="auto"/>
      </w:divBdr>
    </w:div>
    <w:div w:id="940454459">
      <w:bodyDiv w:val="1"/>
      <w:marLeft w:val="0"/>
      <w:marRight w:val="0"/>
      <w:marTop w:val="0"/>
      <w:marBottom w:val="0"/>
      <w:divBdr>
        <w:top w:val="none" w:sz="0" w:space="0" w:color="auto"/>
        <w:left w:val="none" w:sz="0" w:space="0" w:color="auto"/>
        <w:bottom w:val="none" w:sz="0" w:space="0" w:color="auto"/>
        <w:right w:val="none" w:sz="0" w:space="0" w:color="auto"/>
      </w:divBdr>
    </w:div>
    <w:div w:id="943030018">
      <w:bodyDiv w:val="1"/>
      <w:marLeft w:val="0"/>
      <w:marRight w:val="0"/>
      <w:marTop w:val="0"/>
      <w:marBottom w:val="0"/>
      <w:divBdr>
        <w:top w:val="none" w:sz="0" w:space="0" w:color="auto"/>
        <w:left w:val="none" w:sz="0" w:space="0" w:color="auto"/>
        <w:bottom w:val="none" w:sz="0" w:space="0" w:color="auto"/>
        <w:right w:val="none" w:sz="0" w:space="0" w:color="auto"/>
      </w:divBdr>
    </w:div>
    <w:div w:id="943925514">
      <w:bodyDiv w:val="1"/>
      <w:marLeft w:val="0"/>
      <w:marRight w:val="0"/>
      <w:marTop w:val="0"/>
      <w:marBottom w:val="0"/>
      <w:divBdr>
        <w:top w:val="none" w:sz="0" w:space="0" w:color="auto"/>
        <w:left w:val="none" w:sz="0" w:space="0" w:color="auto"/>
        <w:bottom w:val="none" w:sz="0" w:space="0" w:color="auto"/>
        <w:right w:val="none" w:sz="0" w:space="0" w:color="auto"/>
      </w:divBdr>
    </w:div>
    <w:div w:id="944732775">
      <w:bodyDiv w:val="1"/>
      <w:marLeft w:val="0"/>
      <w:marRight w:val="0"/>
      <w:marTop w:val="0"/>
      <w:marBottom w:val="0"/>
      <w:divBdr>
        <w:top w:val="none" w:sz="0" w:space="0" w:color="auto"/>
        <w:left w:val="none" w:sz="0" w:space="0" w:color="auto"/>
        <w:bottom w:val="none" w:sz="0" w:space="0" w:color="auto"/>
        <w:right w:val="none" w:sz="0" w:space="0" w:color="auto"/>
      </w:divBdr>
    </w:div>
    <w:div w:id="944842782">
      <w:bodyDiv w:val="1"/>
      <w:marLeft w:val="0"/>
      <w:marRight w:val="0"/>
      <w:marTop w:val="0"/>
      <w:marBottom w:val="0"/>
      <w:divBdr>
        <w:top w:val="none" w:sz="0" w:space="0" w:color="auto"/>
        <w:left w:val="none" w:sz="0" w:space="0" w:color="auto"/>
        <w:bottom w:val="none" w:sz="0" w:space="0" w:color="auto"/>
        <w:right w:val="none" w:sz="0" w:space="0" w:color="auto"/>
      </w:divBdr>
    </w:div>
    <w:div w:id="944849301">
      <w:bodyDiv w:val="1"/>
      <w:marLeft w:val="0"/>
      <w:marRight w:val="0"/>
      <w:marTop w:val="0"/>
      <w:marBottom w:val="0"/>
      <w:divBdr>
        <w:top w:val="none" w:sz="0" w:space="0" w:color="auto"/>
        <w:left w:val="none" w:sz="0" w:space="0" w:color="auto"/>
        <w:bottom w:val="none" w:sz="0" w:space="0" w:color="auto"/>
        <w:right w:val="none" w:sz="0" w:space="0" w:color="auto"/>
      </w:divBdr>
    </w:div>
    <w:div w:id="945768088">
      <w:bodyDiv w:val="1"/>
      <w:marLeft w:val="0"/>
      <w:marRight w:val="0"/>
      <w:marTop w:val="0"/>
      <w:marBottom w:val="0"/>
      <w:divBdr>
        <w:top w:val="none" w:sz="0" w:space="0" w:color="auto"/>
        <w:left w:val="none" w:sz="0" w:space="0" w:color="auto"/>
        <w:bottom w:val="none" w:sz="0" w:space="0" w:color="auto"/>
        <w:right w:val="none" w:sz="0" w:space="0" w:color="auto"/>
      </w:divBdr>
    </w:div>
    <w:div w:id="945842737">
      <w:bodyDiv w:val="1"/>
      <w:marLeft w:val="0"/>
      <w:marRight w:val="0"/>
      <w:marTop w:val="0"/>
      <w:marBottom w:val="0"/>
      <w:divBdr>
        <w:top w:val="none" w:sz="0" w:space="0" w:color="auto"/>
        <w:left w:val="none" w:sz="0" w:space="0" w:color="auto"/>
        <w:bottom w:val="none" w:sz="0" w:space="0" w:color="auto"/>
        <w:right w:val="none" w:sz="0" w:space="0" w:color="auto"/>
      </w:divBdr>
    </w:div>
    <w:div w:id="947198082">
      <w:bodyDiv w:val="1"/>
      <w:marLeft w:val="0"/>
      <w:marRight w:val="0"/>
      <w:marTop w:val="0"/>
      <w:marBottom w:val="0"/>
      <w:divBdr>
        <w:top w:val="none" w:sz="0" w:space="0" w:color="auto"/>
        <w:left w:val="none" w:sz="0" w:space="0" w:color="auto"/>
        <w:bottom w:val="none" w:sz="0" w:space="0" w:color="auto"/>
        <w:right w:val="none" w:sz="0" w:space="0" w:color="auto"/>
      </w:divBdr>
    </w:div>
    <w:div w:id="953057006">
      <w:bodyDiv w:val="1"/>
      <w:marLeft w:val="0"/>
      <w:marRight w:val="0"/>
      <w:marTop w:val="0"/>
      <w:marBottom w:val="0"/>
      <w:divBdr>
        <w:top w:val="none" w:sz="0" w:space="0" w:color="auto"/>
        <w:left w:val="none" w:sz="0" w:space="0" w:color="auto"/>
        <w:bottom w:val="none" w:sz="0" w:space="0" w:color="auto"/>
        <w:right w:val="none" w:sz="0" w:space="0" w:color="auto"/>
      </w:divBdr>
    </w:div>
    <w:div w:id="954365982">
      <w:bodyDiv w:val="1"/>
      <w:marLeft w:val="0"/>
      <w:marRight w:val="0"/>
      <w:marTop w:val="0"/>
      <w:marBottom w:val="0"/>
      <w:divBdr>
        <w:top w:val="none" w:sz="0" w:space="0" w:color="auto"/>
        <w:left w:val="none" w:sz="0" w:space="0" w:color="auto"/>
        <w:bottom w:val="none" w:sz="0" w:space="0" w:color="auto"/>
        <w:right w:val="none" w:sz="0" w:space="0" w:color="auto"/>
      </w:divBdr>
    </w:div>
    <w:div w:id="957680119">
      <w:bodyDiv w:val="1"/>
      <w:marLeft w:val="0"/>
      <w:marRight w:val="0"/>
      <w:marTop w:val="0"/>
      <w:marBottom w:val="0"/>
      <w:divBdr>
        <w:top w:val="none" w:sz="0" w:space="0" w:color="auto"/>
        <w:left w:val="none" w:sz="0" w:space="0" w:color="auto"/>
        <w:bottom w:val="none" w:sz="0" w:space="0" w:color="auto"/>
        <w:right w:val="none" w:sz="0" w:space="0" w:color="auto"/>
      </w:divBdr>
    </w:div>
    <w:div w:id="960309171">
      <w:bodyDiv w:val="1"/>
      <w:marLeft w:val="0"/>
      <w:marRight w:val="0"/>
      <w:marTop w:val="0"/>
      <w:marBottom w:val="0"/>
      <w:divBdr>
        <w:top w:val="none" w:sz="0" w:space="0" w:color="auto"/>
        <w:left w:val="none" w:sz="0" w:space="0" w:color="auto"/>
        <w:bottom w:val="none" w:sz="0" w:space="0" w:color="auto"/>
        <w:right w:val="none" w:sz="0" w:space="0" w:color="auto"/>
      </w:divBdr>
    </w:div>
    <w:div w:id="960377440">
      <w:bodyDiv w:val="1"/>
      <w:marLeft w:val="0"/>
      <w:marRight w:val="0"/>
      <w:marTop w:val="0"/>
      <w:marBottom w:val="0"/>
      <w:divBdr>
        <w:top w:val="none" w:sz="0" w:space="0" w:color="auto"/>
        <w:left w:val="none" w:sz="0" w:space="0" w:color="auto"/>
        <w:bottom w:val="none" w:sz="0" w:space="0" w:color="auto"/>
        <w:right w:val="none" w:sz="0" w:space="0" w:color="auto"/>
      </w:divBdr>
    </w:div>
    <w:div w:id="960766287">
      <w:bodyDiv w:val="1"/>
      <w:marLeft w:val="0"/>
      <w:marRight w:val="0"/>
      <w:marTop w:val="0"/>
      <w:marBottom w:val="0"/>
      <w:divBdr>
        <w:top w:val="none" w:sz="0" w:space="0" w:color="auto"/>
        <w:left w:val="none" w:sz="0" w:space="0" w:color="auto"/>
        <w:bottom w:val="none" w:sz="0" w:space="0" w:color="auto"/>
        <w:right w:val="none" w:sz="0" w:space="0" w:color="auto"/>
      </w:divBdr>
    </w:div>
    <w:div w:id="9628870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09376">
      <w:bodyDiv w:val="1"/>
      <w:marLeft w:val="0"/>
      <w:marRight w:val="0"/>
      <w:marTop w:val="0"/>
      <w:marBottom w:val="0"/>
      <w:divBdr>
        <w:top w:val="none" w:sz="0" w:space="0" w:color="auto"/>
        <w:left w:val="none" w:sz="0" w:space="0" w:color="auto"/>
        <w:bottom w:val="none" w:sz="0" w:space="0" w:color="auto"/>
        <w:right w:val="none" w:sz="0" w:space="0" w:color="auto"/>
      </w:divBdr>
    </w:div>
    <w:div w:id="976299179">
      <w:bodyDiv w:val="1"/>
      <w:marLeft w:val="0"/>
      <w:marRight w:val="0"/>
      <w:marTop w:val="0"/>
      <w:marBottom w:val="0"/>
      <w:divBdr>
        <w:top w:val="none" w:sz="0" w:space="0" w:color="auto"/>
        <w:left w:val="none" w:sz="0" w:space="0" w:color="auto"/>
        <w:bottom w:val="none" w:sz="0" w:space="0" w:color="auto"/>
        <w:right w:val="none" w:sz="0" w:space="0" w:color="auto"/>
      </w:divBdr>
    </w:div>
    <w:div w:id="976762228">
      <w:bodyDiv w:val="1"/>
      <w:marLeft w:val="0"/>
      <w:marRight w:val="0"/>
      <w:marTop w:val="0"/>
      <w:marBottom w:val="0"/>
      <w:divBdr>
        <w:top w:val="none" w:sz="0" w:space="0" w:color="auto"/>
        <w:left w:val="none" w:sz="0" w:space="0" w:color="auto"/>
        <w:bottom w:val="none" w:sz="0" w:space="0" w:color="auto"/>
        <w:right w:val="none" w:sz="0" w:space="0" w:color="auto"/>
      </w:divBdr>
    </w:div>
    <w:div w:id="981737993">
      <w:bodyDiv w:val="1"/>
      <w:marLeft w:val="0"/>
      <w:marRight w:val="0"/>
      <w:marTop w:val="0"/>
      <w:marBottom w:val="0"/>
      <w:divBdr>
        <w:top w:val="none" w:sz="0" w:space="0" w:color="auto"/>
        <w:left w:val="none" w:sz="0" w:space="0" w:color="auto"/>
        <w:bottom w:val="none" w:sz="0" w:space="0" w:color="auto"/>
        <w:right w:val="none" w:sz="0" w:space="0" w:color="auto"/>
      </w:divBdr>
    </w:div>
    <w:div w:id="983894238">
      <w:bodyDiv w:val="1"/>
      <w:marLeft w:val="0"/>
      <w:marRight w:val="0"/>
      <w:marTop w:val="0"/>
      <w:marBottom w:val="0"/>
      <w:divBdr>
        <w:top w:val="none" w:sz="0" w:space="0" w:color="auto"/>
        <w:left w:val="none" w:sz="0" w:space="0" w:color="auto"/>
        <w:bottom w:val="none" w:sz="0" w:space="0" w:color="auto"/>
        <w:right w:val="none" w:sz="0" w:space="0" w:color="auto"/>
      </w:divBdr>
    </w:div>
    <w:div w:id="984550379">
      <w:bodyDiv w:val="1"/>
      <w:marLeft w:val="0"/>
      <w:marRight w:val="0"/>
      <w:marTop w:val="0"/>
      <w:marBottom w:val="0"/>
      <w:divBdr>
        <w:top w:val="none" w:sz="0" w:space="0" w:color="auto"/>
        <w:left w:val="none" w:sz="0" w:space="0" w:color="auto"/>
        <w:bottom w:val="none" w:sz="0" w:space="0" w:color="auto"/>
        <w:right w:val="none" w:sz="0" w:space="0" w:color="auto"/>
      </w:divBdr>
    </w:div>
    <w:div w:id="985164114">
      <w:bodyDiv w:val="1"/>
      <w:marLeft w:val="0"/>
      <w:marRight w:val="0"/>
      <w:marTop w:val="0"/>
      <w:marBottom w:val="0"/>
      <w:divBdr>
        <w:top w:val="none" w:sz="0" w:space="0" w:color="auto"/>
        <w:left w:val="none" w:sz="0" w:space="0" w:color="auto"/>
        <w:bottom w:val="none" w:sz="0" w:space="0" w:color="auto"/>
        <w:right w:val="none" w:sz="0" w:space="0" w:color="auto"/>
      </w:divBdr>
    </w:div>
    <w:div w:id="985932449">
      <w:bodyDiv w:val="1"/>
      <w:marLeft w:val="0"/>
      <w:marRight w:val="0"/>
      <w:marTop w:val="0"/>
      <w:marBottom w:val="0"/>
      <w:divBdr>
        <w:top w:val="none" w:sz="0" w:space="0" w:color="auto"/>
        <w:left w:val="none" w:sz="0" w:space="0" w:color="auto"/>
        <w:bottom w:val="none" w:sz="0" w:space="0" w:color="auto"/>
        <w:right w:val="none" w:sz="0" w:space="0" w:color="auto"/>
      </w:divBdr>
    </w:div>
    <w:div w:id="986931495">
      <w:bodyDiv w:val="1"/>
      <w:marLeft w:val="0"/>
      <w:marRight w:val="0"/>
      <w:marTop w:val="0"/>
      <w:marBottom w:val="0"/>
      <w:divBdr>
        <w:top w:val="none" w:sz="0" w:space="0" w:color="auto"/>
        <w:left w:val="none" w:sz="0" w:space="0" w:color="auto"/>
        <w:bottom w:val="none" w:sz="0" w:space="0" w:color="auto"/>
        <w:right w:val="none" w:sz="0" w:space="0" w:color="auto"/>
      </w:divBdr>
    </w:div>
    <w:div w:id="987367715">
      <w:bodyDiv w:val="1"/>
      <w:marLeft w:val="0"/>
      <w:marRight w:val="0"/>
      <w:marTop w:val="0"/>
      <w:marBottom w:val="0"/>
      <w:divBdr>
        <w:top w:val="none" w:sz="0" w:space="0" w:color="auto"/>
        <w:left w:val="none" w:sz="0" w:space="0" w:color="auto"/>
        <w:bottom w:val="none" w:sz="0" w:space="0" w:color="auto"/>
        <w:right w:val="none" w:sz="0" w:space="0" w:color="auto"/>
      </w:divBdr>
    </w:div>
    <w:div w:id="987586524">
      <w:bodyDiv w:val="1"/>
      <w:marLeft w:val="0"/>
      <w:marRight w:val="0"/>
      <w:marTop w:val="0"/>
      <w:marBottom w:val="0"/>
      <w:divBdr>
        <w:top w:val="none" w:sz="0" w:space="0" w:color="auto"/>
        <w:left w:val="none" w:sz="0" w:space="0" w:color="auto"/>
        <w:bottom w:val="none" w:sz="0" w:space="0" w:color="auto"/>
        <w:right w:val="none" w:sz="0" w:space="0" w:color="auto"/>
      </w:divBdr>
    </w:div>
    <w:div w:id="990257381">
      <w:bodyDiv w:val="1"/>
      <w:marLeft w:val="0"/>
      <w:marRight w:val="0"/>
      <w:marTop w:val="0"/>
      <w:marBottom w:val="0"/>
      <w:divBdr>
        <w:top w:val="none" w:sz="0" w:space="0" w:color="auto"/>
        <w:left w:val="none" w:sz="0" w:space="0" w:color="auto"/>
        <w:bottom w:val="none" w:sz="0" w:space="0" w:color="auto"/>
        <w:right w:val="none" w:sz="0" w:space="0" w:color="auto"/>
      </w:divBdr>
    </w:div>
    <w:div w:id="990863088">
      <w:bodyDiv w:val="1"/>
      <w:marLeft w:val="0"/>
      <w:marRight w:val="0"/>
      <w:marTop w:val="0"/>
      <w:marBottom w:val="0"/>
      <w:divBdr>
        <w:top w:val="none" w:sz="0" w:space="0" w:color="auto"/>
        <w:left w:val="none" w:sz="0" w:space="0" w:color="auto"/>
        <w:bottom w:val="none" w:sz="0" w:space="0" w:color="auto"/>
        <w:right w:val="none" w:sz="0" w:space="0" w:color="auto"/>
      </w:divBdr>
    </w:div>
    <w:div w:id="992484501">
      <w:bodyDiv w:val="1"/>
      <w:marLeft w:val="0"/>
      <w:marRight w:val="0"/>
      <w:marTop w:val="0"/>
      <w:marBottom w:val="0"/>
      <w:divBdr>
        <w:top w:val="none" w:sz="0" w:space="0" w:color="auto"/>
        <w:left w:val="none" w:sz="0" w:space="0" w:color="auto"/>
        <w:bottom w:val="none" w:sz="0" w:space="0" w:color="auto"/>
        <w:right w:val="none" w:sz="0" w:space="0" w:color="auto"/>
      </w:divBdr>
    </w:div>
    <w:div w:id="994450646">
      <w:bodyDiv w:val="1"/>
      <w:marLeft w:val="0"/>
      <w:marRight w:val="0"/>
      <w:marTop w:val="0"/>
      <w:marBottom w:val="0"/>
      <w:divBdr>
        <w:top w:val="none" w:sz="0" w:space="0" w:color="auto"/>
        <w:left w:val="none" w:sz="0" w:space="0" w:color="auto"/>
        <w:bottom w:val="none" w:sz="0" w:space="0" w:color="auto"/>
        <w:right w:val="none" w:sz="0" w:space="0" w:color="auto"/>
      </w:divBdr>
    </w:div>
    <w:div w:id="994574952">
      <w:bodyDiv w:val="1"/>
      <w:marLeft w:val="0"/>
      <w:marRight w:val="0"/>
      <w:marTop w:val="0"/>
      <w:marBottom w:val="0"/>
      <w:divBdr>
        <w:top w:val="none" w:sz="0" w:space="0" w:color="auto"/>
        <w:left w:val="none" w:sz="0" w:space="0" w:color="auto"/>
        <w:bottom w:val="none" w:sz="0" w:space="0" w:color="auto"/>
        <w:right w:val="none" w:sz="0" w:space="0" w:color="auto"/>
      </w:divBdr>
    </w:div>
    <w:div w:id="995574438">
      <w:bodyDiv w:val="1"/>
      <w:marLeft w:val="0"/>
      <w:marRight w:val="0"/>
      <w:marTop w:val="0"/>
      <w:marBottom w:val="0"/>
      <w:divBdr>
        <w:top w:val="none" w:sz="0" w:space="0" w:color="auto"/>
        <w:left w:val="none" w:sz="0" w:space="0" w:color="auto"/>
        <w:bottom w:val="none" w:sz="0" w:space="0" w:color="auto"/>
        <w:right w:val="none" w:sz="0" w:space="0" w:color="auto"/>
      </w:divBdr>
    </w:div>
    <w:div w:id="995689533">
      <w:bodyDiv w:val="1"/>
      <w:marLeft w:val="0"/>
      <w:marRight w:val="0"/>
      <w:marTop w:val="0"/>
      <w:marBottom w:val="0"/>
      <w:divBdr>
        <w:top w:val="none" w:sz="0" w:space="0" w:color="auto"/>
        <w:left w:val="none" w:sz="0" w:space="0" w:color="auto"/>
        <w:bottom w:val="none" w:sz="0" w:space="0" w:color="auto"/>
        <w:right w:val="none" w:sz="0" w:space="0" w:color="auto"/>
      </w:divBdr>
    </w:div>
    <w:div w:id="996419298">
      <w:bodyDiv w:val="1"/>
      <w:marLeft w:val="0"/>
      <w:marRight w:val="0"/>
      <w:marTop w:val="0"/>
      <w:marBottom w:val="0"/>
      <w:divBdr>
        <w:top w:val="none" w:sz="0" w:space="0" w:color="auto"/>
        <w:left w:val="none" w:sz="0" w:space="0" w:color="auto"/>
        <w:bottom w:val="none" w:sz="0" w:space="0" w:color="auto"/>
        <w:right w:val="none" w:sz="0" w:space="0" w:color="auto"/>
      </w:divBdr>
    </w:div>
    <w:div w:id="997660414">
      <w:bodyDiv w:val="1"/>
      <w:marLeft w:val="0"/>
      <w:marRight w:val="0"/>
      <w:marTop w:val="0"/>
      <w:marBottom w:val="0"/>
      <w:divBdr>
        <w:top w:val="none" w:sz="0" w:space="0" w:color="auto"/>
        <w:left w:val="none" w:sz="0" w:space="0" w:color="auto"/>
        <w:bottom w:val="none" w:sz="0" w:space="0" w:color="auto"/>
        <w:right w:val="none" w:sz="0" w:space="0" w:color="auto"/>
      </w:divBdr>
    </w:div>
    <w:div w:id="998188970">
      <w:bodyDiv w:val="1"/>
      <w:marLeft w:val="0"/>
      <w:marRight w:val="0"/>
      <w:marTop w:val="0"/>
      <w:marBottom w:val="0"/>
      <w:divBdr>
        <w:top w:val="none" w:sz="0" w:space="0" w:color="auto"/>
        <w:left w:val="none" w:sz="0" w:space="0" w:color="auto"/>
        <w:bottom w:val="none" w:sz="0" w:space="0" w:color="auto"/>
        <w:right w:val="none" w:sz="0" w:space="0" w:color="auto"/>
      </w:divBdr>
    </w:div>
    <w:div w:id="1000349799">
      <w:bodyDiv w:val="1"/>
      <w:marLeft w:val="0"/>
      <w:marRight w:val="0"/>
      <w:marTop w:val="0"/>
      <w:marBottom w:val="0"/>
      <w:divBdr>
        <w:top w:val="none" w:sz="0" w:space="0" w:color="auto"/>
        <w:left w:val="none" w:sz="0" w:space="0" w:color="auto"/>
        <w:bottom w:val="none" w:sz="0" w:space="0" w:color="auto"/>
        <w:right w:val="none" w:sz="0" w:space="0" w:color="auto"/>
      </w:divBdr>
    </w:div>
    <w:div w:id="1001273701">
      <w:bodyDiv w:val="1"/>
      <w:marLeft w:val="0"/>
      <w:marRight w:val="0"/>
      <w:marTop w:val="0"/>
      <w:marBottom w:val="0"/>
      <w:divBdr>
        <w:top w:val="none" w:sz="0" w:space="0" w:color="auto"/>
        <w:left w:val="none" w:sz="0" w:space="0" w:color="auto"/>
        <w:bottom w:val="none" w:sz="0" w:space="0" w:color="auto"/>
        <w:right w:val="none" w:sz="0" w:space="0" w:color="auto"/>
      </w:divBdr>
    </w:div>
    <w:div w:id="1001663022">
      <w:bodyDiv w:val="1"/>
      <w:marLeft w:val="0"/>
      <w:marRight w:val="0"/>
      <w:marTop w:val="0"/>
      <w:marBottom w:val="0"/>
      <w:divBdr>
        <w:top w:val="none" w:sz="0" w:space="0" w:color="auto"/>
        <w:left w:val="none" w:sz="0" w:space="0" w:color="auto"/>
        <w:bottom w:val="none" w:sz="0" w:space="0" w:color="auto"/>
        <w:right w:val="none" w:sz="0" w:space="0" w:color="auto"/>
      </w:divBdr>
    </w:div>
    <w:div w:id="1003973005">
      <w:bodyDiv w:val="1"/>
      <w:marLeft w:val="0"/>
      <w:marRight w:val="0"/>
      <w:marTop w:val="0"/>
      <w:marBottom w:val="0"/>
      <w:divBdr>
        <w:top w:val="none" w:sz="0" w:space="0" w:color="auto"/>
        <w:left w:val="none" w:sz="0" w:space="0" w:color="auto"/>
        <w:bottom w:val="none" w:sz="0" w:space="0" w:color="auto"/>
        <w:right w:val="none" w:sz="0" w:space="0" w:color="auto"/>
      </w:divBdr>
    </w:div>
    <w:div w:id="1005403394">
      <w:bodyDiv w:val="1"/>
      <w:marLeft w:val="0"/>
      <w:marRight w:val="0"/>
      <w:marTop w:val="0"/>
      <w:marBottom w:val="0"/>
      <w:divBdr>
        <w:top w:val="none" w:sz="0" w:space="0" w:color="auto"/>
        <w:left w:val="none" w:sz="0" w:space="0" w:color="auto"/>
        <w:bottom w:val="none" w:sz="0" w:space="0" w:color="auto"/>
        <w:right w:val="none" w:sz="0" w:space="0" w:color="auto"/>
      </w:divBdr>
    </w:div>
    <w:div w:id="1005670006">
      <w:bodyDiv w:val="1"/>
      <w:marLeft w:val="0"/>
      <w:marRight w:val="0"/>
      <w:marTop w:val="0"/>
      <w:marBottom w:val="0"/>
      <w:divBdr>
        <w:top w:val="none" w:sz="0" w:space="0" w:color="auto"/>
        <w:left w:val="none" w:sz="0" w:space="0" w:color="auto"/>
        <w:bottom w:val="none" w:sz="0" w:space="0" w:color="auto"/>
        <w:right w:val="none" w:sz="0" w:space="0" w:color="auto"/>
      </w:divBdr>
    </w:div>
    <w:div w:id="1006205787">
      <w:bodyDiv w:val="1"/>
      <w:marLeft w:val="0"/>
      <w:marRight w:val="0"/>
      <w:marTop w:val="0"/>
      <w:marBottom w:val="0"/>
      <w:divBdr>
        <w:top w:val="none" w:sz="0" w:space="0" w:color="auto"/>
        <w:left w:val="none" w:sz="0" w:space="0" w:color="auto"/>
        <w:bottom w:val="none" w:sz="0" w:space="0" w:color="auto"/>
        <w:right w:val="none" w:sz="0" w:space="0" w:color="auto"/>
      </w:divBdr>
    </w:div>
    <w:div w:id="1009060680">
      <w:bodyDiv w:val="1"/>
      <w:marLeft w:val="0"/>
      <w:marRight w:val="0"/>
      <w:marTop w:val="0"/>
      <w:marBottom w:val="0"/>
      <w:divBdr>
        <w:top w:val="none" w:sz="0" w:space="0" w:color="auto"/>
        <w:left w:val="none" w:sz="0" w:space="0" w:color="auto"/>
        <w:bottom w:val="none" w:sz="0" w:space="0" w:color="auto"/>
        <w:right w:val="none" w:sz="0" w:space="0" w:color="auto"/>
      </w:divBdr>
    </w:div>
    <w:div w:id="1009873502">
      <w:bodyDiv w:val="1"/>
      <w:marLeft w:val="0"/>
      <w:marRight w:val="0"/>
      <w:marTop w:val="0"/>
      <w:marBottom w:val="0"/>
      <w:divBdr>
        <w:top w:val="none" w:sz="0" w:space="0" w:color="auto"/>
        <w:left w:val="none" w:sz="0" w:space="0" w:color="auto"/>
        <w:bottom w:val="none" w:sz="0" w:space="0" w:color="auto"/>
        <w:right w:val="none" w:sz="0" w:space="0" w:color="auto"/>
      </w:divBdr>
    </w:div>
    <w:div w:id="1010526861">
      <w:bodyDiv w:val="1"/>
      <w:marLeft w:val="0"/>
      <w:marRight w:val="0"/>
      <w:marTop w:val="0"/>
      <w:marBottom w:val="0"/>
      <w:divBdr>
        <w:top w:val="none" w:sz="0" w:space="0" w:color="auto"/>
        <w:left w:val="none" w:sz="0" w:space="0" w:color="auto"/>
        <w:bottom w:val="none" w:sz="0" w:space="0" w:color="auto"/>
        <w:right w:val="none" w:sz="0" w:space="0" w:color="auto"/>
      </w:divBdr>
    </w:div>
    <w:div w:id="1011176466">
      <w:bodyDiv w:val="1"/>
      <w:marLeft w:val="0"/>
      <w:marRight w:val="0"/>
      <w:marTop w:val="0"/>
      <w:marBottom w:val="0"/>
      <w:divBdr>
        <w:top w:val="none" w:sz="0" w:space="0" w:color="auto"/>
        <w:left w:val="none" w:sz="0" w:space="0" w:color="auto"/>
        <w:bottom w:val="none" w:sz="0" w:space="0" w:color="auto"/>
        <w:right w:val="none" w:sz="0" w:space="0" w:color="auto"/>
      </w:divBdr>
    </w:div>
    <w:div w:id="1014066827">
      <w:bodyDiv w:val="1"/>
      <w:marLeft w:val="0"/>
      <w:marRight w:val="0"/>
      <w:marTop w:val="0"/>
      <w:marBottom w:val="0"/>
      <w:divBdr>
        <w:top w:val="none" w:sz="0" w:space="0" w:color="auto"/>
        <w:left w:val="none" w:sz="0" w:space="0" w:color="auto"/>
        <w:bottom w:val="none" w:sz="0" w:space="0" w:color="auto"/>
        <w:right w:val="none" w:sz="0" w:space="0" w:color="auto"/>
      </w:divBdr>
    </w:div>
    <w:div w:id="1014571731">
      <w:bodyDiv w:val="1"/>
      <w:marLeft w:val="0"/>
      <w:marRight w:val="0"/>
      <w:marTop w:val="0"/>
      <w:marBottom w:val="0"/>
      <w:divBdr>
        <w:top w:val="none" w:sz="0" w:space="0" w:color="auto"/>
        <w:left w:val="none" w:sz="0" w:space="0" w:color="auto"/>
        <w:bottom w:val="none" w:sz="0" w:space="0" w:color="auto"/>
        <w:right w:val="none" w:sz="0" w:space="0" w:color="auto"/>
      </w:divBdr>
    </w:div>
    <w:div w:id="1015377544">
      <w:bodyDiv w:val="1"/>
      <w:marLeft w:val="0"/>
      <w:marRight w:val="0"/>
      <w:marTop w:val="0"/>
      <w:marBottom w:val="0"/>
      <w:divBdr>
        <w:top w:val="none" w:sz="0" w:space="0" w:color="auto"/>
        <w:left w:val="none" w:sz="0" w:space="0" w:color="auto"/>
        <w:bottom w:val="none" w:sz="0" w:space="0" w:color="auto"/>
        <w:right w:val="none" w:sz="0" w:space="0" w:color="auto"/>
      </w:divBdr>
    </w:div>
    <w:div w:id="1015886138">
      <w:bodyDiv w:val="1"/>
      <w:marLeft w:val="0"/>
      <w:marRight w:val="0"/>
      <w:marTop w:val="0"/>
      <w:marBottom w:val="0"/>
      <w:divBdr>
        <w:top w:val="none" w:sz="0" w:space="0" w:color="auto"/>
        <w:left w:val="none" w:sz="0" w:space="0" w:color="auto"/>
        <w:bottom w:val="none" w:sz="0" w:space="0" w:color="auto"/>
        <w:right w:val="none" w:sz="0" w:space="0" w:color="auto"/>
      </w:divBdr>
    </w:div>
    <w:div w:id="1018121426">
      <w:bodyDiv w:val="1"/>
      <w:marLeft w:val="0"/>
      <w:marRight w:val="0"/>
      <w:marTop w:val="0"/>
      <w:marBottom w:val="0"/>
      <w:divBdr>
        <w:top w:val="none" w:sz="0" w:space="0" w:color="auto"/>
        <w:left w:val="none" w:sz="0" w:space="0" w:color="auto"/>
        <w:bottom w:val="none" w:sz="0" w:space="0" w:color="auto"/>
        <w:right w:val="none" w:sz="0" w:space="0" w:color="auto"/>
      </w:divBdr>
    </w:div>
    <w:div w:id="1018388010">
      <w:bodyDiv w:val="1"/>
      <w:marLeft w:val="0"/>
      <w:marRight w:val="0"/>
      <w:marTop w:val="0"/>
      <w:marBottom w:val="0"/>
      <w:divBdr>
        <w:top w:val="none" w:sz="0" w:space="0" w:color="auto"/>
        <w:left w:val="none" w:sz="0" w:space="0" w:color="auto"/>
        <w:bottom w:val="none" w:sz="0" w:space="0" w:color="auto"/>
        <w:right w:val="none" w:sz="0" w:space="0" w:color="auto"/>
      </w:divBdr>
    </w:div>
    <w:div w:id="1018695088">
      <w:bodyDiv w:val="1"/>
      <w:marLeft w:val="0"/>
      <w:marRight w:val="0"/>
      <w:marTop w:val="0"/>
      <w:marBottom w:val="0"/>
      <w:divBdr>
        <w:top w:val="none" w:sz="0" w:space="0" w:color="auto"/>
        <w:left w:val="none" w:sz="0" w:space="0" w:color="auto"/>
        <w:bottom w:val="none" w:sz="0" w:space="0" w:color="auto"/>
        <w:right w:val="none" w:sz="0" w:space="0" w:color="auto"/>
      </w:divBdr>
    </w:div>
    <w:div w:id="1020277857">
      <w:bodyDiv w:val="1"/>
      <w:marLeft w:val="0"/>
      <w:marRight w:val="0"/>
      <w:marTop w:val="0"/>
      <w:marBottom w:val="0"/>
      <w:divBdr>
        <w:top w:val="none" w:sz="0" w:space="0" w:color="auto"/>
        <w:left w:val="none" w:sz="0" w:space="0" w:color="auto"/>
        <w:bottom w:val="none" w:sz="0" w:space="0" w:color="auto"/>
        <w:right w:val="none" w:sz="0" w:space="0" w:color="auto"/>
      </w:divBdr>
    </w:div>
    <w:div w:id="1020854478">
      <w:bodyDiv w:val="1"/>
      <w:marLeft w:val="0"/>
      <w:marRight w:val="0"/>
      <w:marTop w:val="0"/>
      <w:marBottom w:val="0"/>
      <w:divBdr>
        <w:top w:val="none" w:sz="0" w:space="0" w:color="auto"/>
        <w:left w:val="none" w:sz="0" w:space="0" w:color="auto"/>
        <w:bottom w:val="none" w:sz="0" w:space="0" w:color="auto"/>
        <w:right w:val="none" w:sz="0" w:space="0" w:color="auto"/>
      </w:divBdr>
    </w:div>
    <w:div w:id="1025983010">
      <w:bodyDiv w:val="1"/>
      <w:marLeft w:val="0"/>
      <w:marRight w:val="0"/>
      <w:marTop w:val="0"/>
      <w:marBottom w:val="0"/>
      <w:divBdr>
        <w:top w:val="none" w:sz="0" w:space="0" w:color="auto"/>
        <w:left w:val="none" w:sz="0" w:space="0" w:color="auto"/>
        <w:bottom w:val="none" w:sz="0" w:space="0" w:color="auto"/>
        <w:right w:val="none" w:sz="0" w:space="0" w:color="auto"/>
      </w:divBdr>
    </w:div>
    <w:div w:id="1027175451">
      <w:bodyDiv w:val="1"/>
      <w:marLeft w:val="0"/>
      <w:marRight w:val="0"/>
      <w:marTop w:val="0"/>
      <w:marBottom w:val="0"/>
      <w:divBdr>
        <w:top w:val="none" w:sz="0" w:space="0" w:color="auto"/>
        <w:left w:val="none" w:sz="0" w:space="0" w:color="auto"/>
        <w:bottom w:val="none" w:sz="0" w:space="0" w:color="auto"/>
        <w:right w:val="none" w:sz="0" w:space="0" w:color="auto"/>
      </w:divBdr>
    </w:div>
    <w:div w:id="1030035532">
      <w:bodyDiv w:val="1"/>
      <w:marLeft w:val="0"/>
      <w:marRight w:val="0"/>
      <w:marTop w:val="0"/>
      <w:marBottom w:val="0"/>
      <w:divBdr>
        <w:top w:val="none" w:sz="0" w:space="0" w:color="auto"/>
        <w:left w:val="none" w:sz="0" w:space="0" w:color="auto"/>
        <w:bottom w:val="none" w:sz="0" w:space="0" w:color="auto"/>
        <w:right w:val="none" w:sz="0" w:space="0" w:color="auto"/>
      </w:divBdr>
    </w:div>
    <w:div w:id="1030495298">
      <w:bodyDiv w:val="1"/>
      <w:marLeft w:val="0"/>
      <w:marRight w:val="0"/>
      <w:marTop w:val="0"/>
      <w:marBottom w:val="0"/>
      <w:divBdr>
        <w:top w:val="none" w:sz="0" w:space="0" w:color="auto"/>
        <w:left w:val="none" w:sz="0" w:space="0" w:color="auto"/>
        <w:bottom w:val="none" w:sz="0" w:space="0" w:color="auto"/>
        <w:right w:val="none" w:sz="0" w:space="0" w:color="auto"/>
      </w:divBdr>
    </w:div>
    <w:div w:id="1030839095">
      <w:bodyDiv w:val="1"/>
      <w:marLeft w:val="0"/>
      <w:marRight w:val="0"/>
      <w:marTop w:val="0"/>
      <w:marBottom w:val="0"/>
      <w:divBdr>
        <w:top w:val="none" w:sz="0" w:space="0" w:color="auto"/>
        <w:left w:val="none" w:sz="0" w:space="0" w:color="auto"/>
        <w:bottom w:val="none" w:sz="0" w:space="0" w:color="auto"/>
        <w:right w:val="none" w:sz="0" w:space="0" w:color="auto"/>
      </w:divBdr>
    </w:div>
    <w:div w:id="1033578997">
      <w:bodyDiv w:val="1"/>
      <w:marLeft w:val="0"/>
      <w:marRight w:val="0"/>
      <w:marTop w:val="0"/>
      <w:marBottom w:val="0"/>
      <w:divBdr>
        <w:top w:val="none" w:sz="0" w:space="0" w:color="auto"/>
        <w:left w:val="none" w:sz="0" w:space="0" w:color="auto"/>
        <w:bottom w:val="none" w:sz="0" w:space="0" w:color="auto"/>
        <w:right w:val="none" w:sz="0" w:space="0" w:color="auto"/>
      </w:divBdr>
    </w:div>
    <w:div w:id="1035084889">
      <w:bodyDiv w:val="1"/>
      <w:marLeft w:val="0"/>
      <w:marRight w:val="0"/>
      <w:marTop w:val="0"/>
      <w:marBottom w:val="0"/>
      <w:divBdr>
        <w:top w:val="none" w:sz="0" w:space="0" w:color="auto"/>
        <w:left w:val="none" w:sz="0" w:space="0" w:color="auto"/>
        <w:bottom w:val="none" w:sz="0" w:space="0" w:color="auto"/>
        <w:right w:val="none" w:sz="0" w:space="0" w:color="auto"/>
      </w:divBdr>
    </w:div>
    <w:div w:id="1035424281">
      <w:bodyDiv w:val="1"/>
      <w:marLeft w:val="0"/>
      <w:marRight w:val="0"/>
      <w:marTop w:val="0"/>
      <w:marBottom w:val="0"/>
      <w:divBdr>
        <w:top w:val="none" w:sz="0" w:space="0" w:color="auto"/>
        <w:left w:val="none" w:sz="0" w:space="0" w:color="auto"/>
        <w:bottom w:val="none" w:sz="0" w:space="0" w:color="auto"/>
        <w:right w:val="none" w:sz="0" w:space="0" w:color="auto"/>
      </w:divBdr>
    </w:div>
    <w:div w:id="1036395388">
      <w:bodyDiv w:val="1"/>
      <w:marLeft w:val="0"/>
      <w:marRight w:val="0"/>
      <w:marTop w:val="0"/>
      <w:marBottom w:val="0"/>
      <w:divBdr>
        <w:top w:val="none" w:sz="0" w:space="0" w:color="auto"/>
        <w:left w:val="none" w:sz="0" w:space="0" w:color="auto"/>
        <w:bottom w:val="none" w:sz="0" w:space="0" w:color="auto"/>
        <w:right w:val="none" w:sz="0" w:space="0" w:color="auto"/>
      </w:divBdr>
    </w:div>
    <w:div w:id="1037243384">
      <w:bodyDiv w:val="1"/>
      <w:marLeft w:val="0"/>
      <w:marRight w:val="0"/>
      <w:marTop w:val="0"/>
      <w:marBottom w:val="0"/>
      <w:divBdr>
        <w:top w:val="none" w:sz="0" w:space="0" w:color="auto"/>
        <w:left w:val="none" w:sz="0" w:space="0" w:color="auto"/>
        <w:bottom w:val="none" w:sz="0" w:space="0" w:color="auto"/>
        <w:right w:val="none" w:sz="0" w:space="0" w:color="auto"/>
      </w:divBdr>
    </w:div>
    <w:div w:id="1038894705">
      <w:bodyDiv w:val="1"/>
      <w:marLeft w:val="0"/>
      <w:marRight w:val="0"/>
      <w:marTop w:val="0"/>
      <w:marBottom w:val="0"/>
      <w:divBdr>
        <w:top w:val="none" w:sz="0" w:space="0" w:color="auto"/>
        <w:left w:val="none" w:sz="0" w:space="0" w:color="auto"/>
        <w:bottom w:val="none" w:sz="0" w:space="0" w:color="auto"/>
        <w:right w:val="none" w:sz="0" w:space="0" w:color="auto"/>
      </w:divBdr>
    </w:div>
    <w:div w:id="1038968273">
      <w:bodyDiv w:val="1"/>
      <w:marLeft w:val="0"/>
      <w:marRight w:val="0"/>
      <w:marTop w:val="0"/>
      <w:marBottom w:val="0"/>
      <w:divBdr>
        <w:top w:val="none" w:sz="0" w:space="0" w:color="auto"/>
        <w:left w:val="none" w:sz="0" w:space="0" w:color="auto"/>
        <w:bottom w:val="none" w:sz="0" w:space="0" w:color="auto"/>
        <w:right w:val="none" w:sz="0" w:space="0" w:color="auto"/>
      </w:divBdr>
    </w:div>
    <w:div w:id="1039361041">
      <w:bodyDiv w:val="1"/>
      <w:marLeft w:val="0"/>
      <w:marRight w:val="0"/>
      <w:marTop w:val="0"/>
      <w:marBottom w:val="0"/>
      <w:divBdr>
        <w:top w:val="none" w:sz="0" w:space="0" w:color="auto"/>
        <w:left w:val="none" w:sz="0" w:space="0" w:color="auto"/>
        <w:bottom w:val="none" w:sz="0" w:space="0" w:color="auto"/>
        <w:right w:val="none" w:sz="0" w:space="0" w:color="auto"/>
      </w:divBdr>
    </w:div>
    <w:div w:id="1040083159">
      <w:bodyDiv w:val="1"/>
      <w:marLeft w:val="0"/>
      <w:marRight w:val="0"/>
      <w:marTop w:val="0"/>
      <w:marBottom w:val="0"/>
      <w:divBdr>
        <w:top w:val="none" w:sz="0" w:space="0" w:color="auto"/>
        <w:left w:val="none" w:sz="0" w:space="0" w:color="auto"/>
        <w:bottom w:val="none" w:sz="0" w:space="0" w:color="auto"/>
        <w:right w:val="none" w:sz="0" w:space="0" w:color="auto"/>
      </w:divBdr>
    </w:div>
    <w:div w:id="1041054387">
      <w:bodyDiv w:val="1"/>
      <w:marLeft w:val="0"/>
      <w:marRight w:val="0"/>
      <w:marTop w:val="0"/>
      <w:marBottom w:val="0"/>
      <w:divBdr>
        <w:top w:val="none" w:sz="0" w:space="0" w:color="auto"/>
        <w:left w:val="none" w:sz="0" w:space="0" w:color="auto"/>
        <w:bottom w:val="none" w:sz="0" w:space="0" w:color="auto"/>
        <w:right w:val="none" w:sz="0" w:space="0" w:color="auto"/>
      </w:divBdr>
    </w:div>
    <w:div w:id="1041595283">
      <w:bodyDiv w:val="1"/>
      <w:marLeft w:val="0"/>
      <w:marRight w:val="0"/>
      <w:marTop w:val="0"/>
      <w:marBottom w:val="0"/>
      <w:divBdr>
        <w:top w:val="none" w:sz="0" w:space="0" w:color="auto"/>
        <w:left w:val="none" w:sz="0" w:space="0" w:color="auto"/>
        <w:bottom w:val="none" w:sz="0" w:space="0" w:color="auto"/>
        <w:right w:val="none" w:sz="0" w:space="0" w:color="auto"/>
      </w:divBdr>
    </w:div>
    <w:div w:id="1043211079">
      <w:bodyDiv w:val="1"/>
      <w:marLeft w:val="0"/>
      <w:marRight w:val="0"/>
      <w:marTop w:val="0"/>
      <w:marBottom w:val="0"/>
      <w:divBdr>
        <w:top w:val="none" w:sz="0" w:space="0" w:color="auto"/>
        <w:left w:val="none" w:sz="0" w:space="0" w:color="auto"/>
        <w:bottom w:val="none" w:sz="0" w:space="0" w:color="auto"/>
        <w:right w:val="none" w:sz="0" w:space="0" w:color="auto"/>
      </w:divBdr>
    </w:div>
    <w:div w:id="1047682899">
      <w:bodyDiv w:val="1"/>
      <w:marLeft w:val="0"/>
      <w:marRight w:val="0"/>
      <w:marTop w:val="0"/>
      <w:marBottom w:val="0"/>
      <w:divBdr>
        <w:top w:val="none" w:sz="0" w:space="0" w:color="auto"/>
        <w:left w:val="none" w:sz="0" w:space="0" w:color="auto"/>
        <w:bottom w:val="none" w:sz="0" w:space="0" w:color="auto"/>
        <w:right w:val="none" w:sz="0" w:space="0" w:color="auto"/>
      </w:divBdr>
    </w:div>
    <w:div w:id="1049109822">
      <w:bodyDiv w:val="1"/>
      <w:marLeft w:val="0"/>
      <w:marRight w:val="0"/>
      <w:marTop w:val="0"/>
      <w:marBottom w:val="0"/>
      <w:divBdr>
        <w:top w:val="none" w:sz="0" w:space="0" w:color="auto"/>
        <w:left w:val="none" w:sz="0" w:space="0" w:color="auto"/>
        <w:bottom w:val="none" w:sz="0" w:space="0" w:color="auto"/>
        <w:right w:val="none" w:sz="0" w:space="0" w:color="auto"/>
      </w:divBdr>
    </w:div>
    <w:div w:id="1049959376">
      <w:bodyDiv w:val="1"/>
      <w:marLeft w:val="0"/>
      <w:marRight w:val="0"/>
      <w:marTop w:val="0"/>
      <w:marBottom w:val="0"/>
      <w:divBdr>
        <w:top w:val="none" w:sz="0" w:space="0" w:color="auto"/>
        <w:left w:val="none" w:sz="0" w:space="0" w:color="auto"/>
        <w:bottom w:val="none" w:sz="0" w:space="0" w:color="auto"/>
        <w:right w:val="none" w:sz="0" w:space="0" w:color="auto"/>
      </w:divBdr>
    </w:div>
    <w:div w:id="1051156271">
      <w:bodyDiv w:val="1"/>
      <w:marLeft w:val="0"/>
      <w:marRight w:val="0"/>
      <w:marTop w:val="0"/>
      <w:marBottom w:val="0"/>
      <w:divBdr>
        <w:top w:val="none" w:sz="0" w:space="0" w:color="auto"/>
        <w:left w:val="none" w:sz="0" w:space="0" w:color="auto"/>
        <w:bottom w:val="none" w:sz="0" w:space="0" w:color="auto"/>
        <w:right w:val="none" w:sz="0" w:space="0" w:color="auto"/>
      </w:divBdr>
    </w:div>
    <w:div w:id="1054544294">
      <w:bodyDiv w:val="1"/>
      <w:marLeft w:val="0"/>
      <w:marRight w:val="0"/>
      <w:marTop w:val="0"/>
      <w:marBottom w:val="0"/>
      <w:divBdr>
        <w:top w:val="none" w:sz="0" w:space="0" w:color="auto"/>
        <w:left w:val="none" w:sz="0" w:space="0" w:color="auto"/>
        <w:bottom w:val="none" w:sz="0" w:space="0" w:color="auto"/>
        <w:right w:val="none" w:sz="0" w:space="0" w:color="auto"/>
      </w:divBdr>
    </w:div>
    <w:div w:id="1063597691">
      <w:bodyDiv w:val="1"/>
      <w:marLeft w:val="0"/>
      <w:marRight w:val="0"/>
      <w:marTop w:val="0"/>
      <w:marBottom w:val="0"/>
      <w:divBdr>
        <w:top w:val="none" w:sz="0" w:space="0" w:color="auto"/>
        <w:left w:val="none" w:sz="0" w:space="0" w:color="auto"/>
        <w:bottom w:val="none" w:sz="0" w:space="0" w:color="auto"/>
        <w:right w:val="none" w:sz="0" w:space="0" w:color="auto"/>
      </w:divBdr>
    </w:div>
    <w:div w:id="1065298654">
      <w:bodyDiv w:val="1"/>
      <w:marLeft w:val="0"/>
      <w:marRight w:val="0"/>
      <w:marTop w:val="0"/>
      <w:marBottom w:val="0"/>
      <w:divBdr>
        <w:top w:val="none" w:sz="0" w:space="0" w:color="auto"/>
        <w:left w:val="none" w:sz="0" w:space="0" w:color="auto"/>
        <w:bottom w:val="none" w:sz="0" w:space="0" w:color="auto"/>
        <w:right w:val="none" w:sz="0" w:space="0" w:color="auto"/>
      </w:divBdr>
    </w:div>
    <w:div w:id="1065952795">
      <w:bodyDiv w:val="1"/>
      <w:marLeft w:val="0"/>
      <w:marRight w:val="0"/>
      <w:marTop w:val="0"/>
      <w:marBottom w:val="0"/>
      <w:divBdr>
        <w:top w:val="none" w:sz="0" w:space="0" w:color="auto"/>
        <w:left w:val="none" w:sz="0" w:space="0" w:color="auto"/>
        <w:bottom w:val="none" w:sz="0" w:space="0" w:color="auto"/>
        <w:right w:val="none" w:sz="0" w:space="0" w:color="auto"/>
      </w:divBdr>
    </w:div>
    <w:div w:id="1067725920">
      <w:bodyDiv w:val="1"/>
      <w:marLeft w:val="0"/>
      <w:marRight w:val="0"/>
      <w:marTop w:val="0"/>
      <w:marBottom w:val="0"/>
      <w:divBdr>
        <w:top w:val="none" w:sz="0" w:space="0" w:color="auto"/>
        <w:left w:val="none" w:sz="0" w:space="0" w:color="auto"/>
        <w:bottom w:val="none" w:sz="0" w:space="0" w:color="auto"/>
        <w:right w:val="none" w:sz="0" w:space="0" w:color="auto"/>
      </w:divBdr>
    </w:div>
    <w:div w:id="1070352582">
      <w:bodyDiv w:val="1"/>
      <w:marLeft w:val="0"/>
      <w:marRight w:val="0"/>
      <w:marTop w:val="0"/>
      <w:marBottom w:val="0"/>
      <w:divBdr>
        <w:top w:val="none" w:sz="0" w:space="0" w:color="auto"/>
        <w:left w:val="none" w:sz="0" w:space="0" w:color="auto"/>
        <w:bottom w:val="none" w:sz="0" w:space="0" w:color="auto"/>
        <w:right w:val="none" w:sz="0" w:space="0" w:color="auto"/>
      </w:divBdr>
    </w:div>
    <w:div w:id="1072889925">
      <w:bodyDiv w:val="1"/>
      <w:marLeft w:val="0"/>
      <w:marRight w:val="0"/>
      <w:marTop w:val="0"/>
      <w:marBottom w:val="0"/>
      <w:divBdr>
        <w:top w:val="none" w:sz="0" w:space="0" w:color="auto"/>
        <w:left w:val="none" w:sz="0" w:space="0" w:color="auto"/>
        <w:bottom w:val="none" w:sz="0" w:space="0" w:color="auto"/>
        <w:right w:val="none" w:sz="0" w:space="0" w:color="auto"/>
      </w:divBdr>
    </w:div>
    <w:div w:id="1077166407">
      <w:bodyDiv w:val="1"/>
      <w:marLeft w:val="0"/>
      <w:marRight w:val="0"/>
      <w:marTop w:val="0"/>
      <w:marBottom w:val="0"/>
      <w:divBdr>
        <w:top w:val="none" w:sz="0" w:space="0" w:color="auto"/>
        <w:left w:val="none" w:sz="0" w:space="0" w:color="auto"/>
        <w:bottom w:val="none" w:sz="0" w:space="0" w:color="auto"/>
        <w:right w:val="none" w:sz="0" w:space="0" w:color="auto"/>
      </w:divBdr>
    </w:div>
    <w:div w:id="1077634947">
      <w:bodyDiv w:val="1"/>
      <w:marLeft w:val="0"/>
      <w:marRight w:val="0"/>
      <w:marTop w:val="0"/>
      <w:marBottom w:val="0"/>
      <w:divBdr>
        <w:top w:val="none" w:sz="0" w:space="0" w:color="auto"/>
        <w:left w:val="none" w:sz="0" w:space="0" w:color="auto"/>
        <w:bottom w:val="none" w:sz="0" w:space="0" w:color="auto"/>
        <w:right w:val="none" w:sz="0" w:space="0" w:color="auto"/>
      </w:divBdr>
    </w:div>
    <w:div w:id="1077744995">
      <w:bodyDiv w:val="1"/>
      <w:marLeft w:val="0"/>
      <w:marRight w:val="0"/>
      <w:marTop w:val="0"/>
      <w:marBottom w:val="0"/>
      <w:divBdr>
        <w:top w:val="none" w:sz="0" w:space="0" w:color="auto"/>
        <w:left w:val="none" w:sz="0" w:space="0" w:color="auto"/>
        <w:bottom w:val="none" w:sz="0" w:space="0" w:color="auto"/>
        <w:right w:val="none" w:sz="0" w:space="0" w:color="auto"/>
      </w:divBdr>
    </w:div>
    <w:div w:id="1080562939">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83140064">
      <w:bodyDiv w:val="1"/>
      <w:marLeft w:val="0"/>
      <w:marRight w:val="0"/>
      <w:marTop w:val="0"/>
      <w:marBottom w:val="0"/>
      <w:divBdr>
        <w:top w:val="none" w:sz="0" w:space="0" w:color="auto"/>
        <w:left w:val="none" w:sz="0" w:space="0" w:color="auto"/>
        <w:bottom w:val="none" w:sz="0" w:space="0" w:color="auto"/>
        <w:right w:val="none" w:sz="0" w:space="0" w:color="auto"/>
      </w:divBdr>
    </w:div>
    <w:div w:id="1087847577">
      <w:bodyDiv w:val="1"/>
      <w:marLeft w:val="0"/>
      <w:marRight w:val="0"/>
      <w:marTop w:val="0"/>
      <w:marBottom w:val="0"/>
      <w:divBdr>
        <w:top w:val="none" w:sz="0" w:space="0" w:color="auto"/>
        <w:left w:val="none" w:sz="0" w:space="0" w:color="auto"/>
        <w:bottom w:val="none" w:sz="0" w:space="0" w:color="auto"/>
        <w:right w:val="none" w:sz="0" w:space="0" w:color="auto"/>
      </w:divBdr>
    </w:div>
    <w:div w:id="1089500369">
      <w:bodyDiv w:val="1"/>
      <w:marLeft w:val="0"/>
      <w:marRight w:val="0"/>
      <w:marTop w:val="0"/>
      <w:marBottom w:val="0"/>
      <w:divBdr>
        <w:top w:val="none" w:sz="0" w:space="0" w:color="auto"/>
        <w:left w:val="none" w:sz="0" w:space="0" w:color="auto"/>
        <w:bottom w:val="none" w:sz="0" w:space="0" w:color="auto"/>
        <w:right w:val="none" w:sz="0" w:space="0" w:color="auto"/>
      </w:divBdr>
    </w:div>
    <w:div w:id="1093016699">
      <w:bodyDiv w:val="1"/>
      <w:marLeft w:val="0"/>
      <w:marRight w:val="0"/>
      <w:marTop w:val="0"/>
      <w:marBottom w:val="0"/>
      <w:divBdr>
        <w:top w:val="none" w:sz="0" w:space="0" w:color="auto"/>
        <w:left w:val="none" w:sz="0" w:space="0" w:color="auto"/>
        <w:bottom w:val="none" w:sz="0" w:space="0" w:color="auto"/>
        <w:right w:val="none" w:sz="0" w:space="0" w:color="auto"/>
      </w:divBdr>
    </w:div>
    <w:div w:id="1093355114">
      <w:bodyDiv w:val="1"/>
      <w:marLeft w:val="0"/>
      <w:marRight w:val="0"/>
      <w:marTop w:val="0"/>
      <w:marBottom w:val="0"/>
      <w:divBdr>
        <w:top w:val="none" w:sz="0" w:space="0" w:color="auto"/>
        <w:left w:val="none" w:sz="0" w:space="0" w:color="auto"/>
        <w:bottom w:val="none" w:sz="0" w:space="0" w:color="auto"/>
        <w:right w:val="none" w:sz="0" w:space="0" w:color="auto"/>
      </w:divBdr>
    </w:div>
    <w:div w:id="1099066088">
      <w:bodyDiv w:val="1"/>
      <w:marLeft w:val="0"/>
      <w:marRight w:val="0"/>
      <w:marTop w:val="0"/>
      <w:marBottom w:val="0"/>
      <w:divBdr>
        <w:top w:val="none" w:sz="0" w:space="0" w:color="auto"/>
        <w:left w:val="none" w:sz="0" w:space="0" w:color="auto"/>
        <w:bottom w:val="none" w:sz="0" w:space="0" w:color="auto"/>
        <w:right w:val="none" w:sz="0" w:space="0" w:color="auto"/>
      </w:divBdr>
    </w:div>
    <w:div w:id="1103644322">
      <w:bodyDiv w:val="1"/>
      <w:marLeft w:val="0"/>
      <w:marRight w:val="0"/>
      <w:marTop w:val="0"/>
      <w:marBottom w:val="0"/>
      <w:divBdr>
        <w:top w:val="none" w:sz="0" w:space="0" w:color="auto"/>
        <w:left w:val="none" w:sz="0" w:space="0" w:color="auto"/>
        <w:bottom w:val="none" w:sz="0" w:space="0" w:color="auto"/>
        <w:right w:val="none" w:sz="0" w:space="0" w:color="auto"/>
      </w:divBdr>
    </w:div>
    <w:div w:id="1109660601">
      <w:bodyDiv w:val="1"/>
      <w:marLeft w:val="0"/>
      <w:marRight w:val="0"/>
      <w:marTop w:val="0"/>
      <w:marBottom w:val="0"/>
      <w:divBdr>
        <w:top w:val="none" w:sz="0" w:space="0" w:color="auto"/>
        <w:left w:val="none" w:sz="0" w:space="0" w:color="auto"/>
        <w:bottom w:val="none" w:sz="0" w:space="0" w:color="auto"/>
        <w:right w:val="none" w:sz="0" w:space="0" w:color="auto"/>
      </w:divBdr>
    </w:div>
    <w:div w:id="1112360047">
      <w:bodyDiv w:val="1"/>
      <w:marLeft w:val="0"/>
      <w:marRight w:val="0"/>
      <w:marTop w:val="0"/>
      <w:marBottom w:val="0"/>
      <w:divBdr>
        <w:top w:val="none" w:sz="0" w:space="0" w:color="auto"/>
        <w:left w:val="none" w:sz="0" w:space="0" w:color="auto"/>
        <w:bottom w:val="none" w:sz="0" w:space="0" w:color="auto"/>
        <w:right w:val="none" w:sz="0" w:space="0" w:color="auto"/>
      </w:divBdr>
    </w:div>
    <w:div w:id="1115054298">
      <w:bodyDiv w:val="1"/>
      <w:marLeft w:val="0"/>
      <w:marRight w:val="0"/>
      <w:marTop w:val="0"/>
      <w:marBottom w:val="0"/>
      <w:divBdr>
        <w:top w:val="none" w:sz="0" w:space="0" w:color="auto"/>
        <w:left w:val="none" w:sz="0" w:space="0" w:color="auto"/>
        <w:bottom w:val="none" w:sz="0" w:space="0" w:color="auto"/>
        <w:right w:val="none" w:sz="0" w:space="0" w:color="auto"/>
      </w:divBdr>
    </w:div>
    <w:div w:id="1116674106">
      <w:bodyDiv w:val="1"/>
      <w:marLeft w:val="0"/>
      <w:marRight w:val="0"/>
      <w:marTop w:val="0"/>
      <w:marBottom w:val="0"/>
      <w:divBdr>
        <w:top w:val="none" w:sz="0" w:space="0" w:color="auto"/>
        <w:left w:val="none" w:sz="0" w:space="0" w:color="auto"/>
        <w:bottom w:val="none" w:sz="0" w:space="0" w:color="auto"/>
        <w:right w:val="none" w:sz="0" w:space="0" w:color="auto"/>
      </w:divBdr>
    </w:div>
    <w:div w:id="1116677213">
      <w:bodyDiv w:val="1"/>
      <w:marLeft w:val="0"/>
      <w:marRight w:val="0"/>
      <w:marTop w:val="0"/>
      <w:marBottom w:val="0"/>
      <w:divBdr>
        <w:top w:val="none" w:sz="0" w:space="0" w:color="auto"/>
        <w:left w:val="none" w:sz="0" w:space="0" w:color="auto"/>
        <w:bottom w:val="none" w:sz="0" w:space="0" w:color="auto"/>
        <w:right w:val="none" w:sz="0" w:space="0" w:color="auto"/>
      </w:divBdr>
    </w:div>
    <w:div w:id="1117525855">
      <w:bodyDiv w:val="1"/>
      <w:marLeft w:val="0"/>
      <w:marRight w:val="0"/>
      <w:marTop w:val="0"/>
      <w:marBottom w:val="0"/>
      <w:divBdr>
        <w:top w:val="none" w:sz="0" w:space="0" w:color="auto"/>
        <w:left w:val="none" w:sz="0" w:space="0" w:color="auto"/>
        <w:bottom w:val="none" w:sz="0" w:space="0" w:color="auto"/>
        <w:right w:val="none" w:sz="0" w:space="0" w:color="auto"/>
      </w:divBdr>
    </w:div>
    <w:div w:id="1117724841">
      <w:bodyDiv w:val="1"/>
      <w:marLeft w:val="0"/>
      <w:marRight w:val="0"/>
      <w:marTop w:val="0"/>
      <w:marBottom w:val="0"/>
      <w:divBdr>
        <w:top w:val="none" w:sz="0" w:space="0" w:color="auto"/>
        <w:left w:val="none" w:sz="0" w:space="0" w:color="auto"/>
        <w:bottom w:val="none" w:sz="0" w:space="0" w:color="auto"/>
        <w:right w:val="none" w:sz="0" w:space="0" w:color="auto"/>
      </w:divBdr>
    </w:div>
    <w:div w:id="1118523533">
      <w:bodyDiv w:val="1"/>
      <w:marLeft w:val="0"/>
      <w:marRight w:val="0"/>
      <w:marTop w:val="0"/>
      <w:marBottom w:val="0"/>
      <w:divBdr>
        <w:top w:val="none" w:sz="0" w:space="0" w:color="auto"/>
        <w:left w:val="none" w:sz="0" w:space="0" w:color="auto"/>
        <w:bottom w:val="none" w:sz="0" w:space="0" w:color="auto"/>
        <w:right w:val="none" w:sz="0" w:space="0" w:color="auto"/>
      </w:divBdr>
    </w:div>
    <w:div w:id="1118793487">
      <w:bodyDiv w:val="1"/>
      <w:marLeft w:val="0"/>
      <w:marRight w:val="0"/>
      <w:marTop w:val="0"/>
      <w:marBottom w:val="0"/>
      <w:divBdr>
        <w:top w:val="none" w:sz="0" w:space="0" w:color="auto"/>
        <w:left w:val="none" w:sz="0" w:space="0" w:color="auto"/>
        <w:bottom w:val="none" w:sz="0" w:space="0" w:color="auto"/>
        <w:right w:val="none" w:sz="0" w:space="0" w:color="auto"/>
      </w:divBdr>
    </w:div>
    <w:div w:id="1120418825">
      <w:bodyDiv w:val="1"/>
      <w:marLeft w:val="0"/>
      <w:marRight w:val="0"/>
      <w:marTop w:val="0"/>
      <w:marBottom w:val="0"/>
      <w:divBdr>
        <w:top w:val="none" w:sz="0" w:space="0" w:color="auto"/>
        <w:left w:val="none" w:sz="0" w:space="0" w:color="auto"/>
        <w:bottom w:val="none" w:sz="0" w:space="0" w:color="auto"/>
        <w:right w:val="none" w:sz="0" w:space="0" w:color="auto"/>
      </w:divBdr>
    </w:div>
    <w:div w:id="1121026013">
      <w:bodyDiv w:val="1"/>
      <w:marLeft w:val="0"/>
      <w:marRight w:val="0"/>
      <w:marTop w:val="0"/>
      <w:marBottom w:val="0"/>
      <w:divBdr>
        <w:top w:val="none" w:sz="0" w:space="0" w:color="auto"/>
        <w:left w:val="none" w:sz="0" w:space="0" w:color="auto"/>
        <w:bottom w:val="none" w:sz="0" w:space="0" w:color="auto"/>
        <w:right w:val="none" w:sz="0" w:space="0" w:color="auto"/>
      </w:divBdr>
    </w:div>
    <w:div w:id="1121921778">
      <w:bodyDiv w:val="1"/>
      <w:marLeft w:val="0"/>
      <w:marRight w:val="0"/>
      <w:marTop w:val="0"/>
      <w:marBottom w:val="0"/>
      <w:divBdr>
        <w:top w:val="none" w:sz="0" w:space="0" w:color="auto"/>
        <w:left w:val="none" w:sz="0" w:space="0" w:color="auto"/>
        <w:bottom w:val="none" w:sz="0" w:space="0" w:color="auto"/>
        <w:right w:val="none" w:sz="0" w:space="0" w:color="auto"/>
      </w:divBdr>
    </w:div>
    <w:div w:id="1123694399">
      <w:bodyDiv w:val="1"/>
      <w:marLeft w:val="0"/>
      <w:marRight w:val="0"/>
      <w:marTop w:val="0"/>
      <w:marBottom w:val="0"/>
      <w:divBdr>
        <w:top w:val="none" w:sz="0" w:space="0" w:color="auto"/>
        <w:left w:val="none" w:sz="0" w:space="0" w:color="auto"/>
        <w:bottom w:val="none" w:sz="0" w:space="0" w:color="auto"/>
        <w:right w:val="none" w:sz="0" w:space="0" w:color="auto"/>
      </w:divBdr>
    </w:div>
    <w:div w:id="1126657433">
      <w:bodyDiv w:val="1"/>
      <w:marLeft w:val="0"/>
      <w:marRight w:val="0"/>
      <w:marTop w:val="0"/>
      <w:marBottom w:val="0"/>
      <w:divBdr>
        <w:top w:val="none" w:sz="0" w:space="0" w:color="auto"/>
        <w:left w:val="none" w:sz="0" w:space="0" w:color="auto"/>
        <w:bottom w:val="none" w:sz="0" w:space="0" w:color="auto"/>
        <w:right w:val="none" w:sz="0" w:space="0" w:color="auto"/>
      </w:divBdr>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132865756">
      <w:bodyDiv w:val="1"/>
      <w:marLeft w:val="0"/>
      <w:marRight w:val="0"/>
      <w:marTop w:val="0"/>
      <w:marBottom w:val="0"/>
      <w:divBdr>
        <w:top w:val="none" w:sz="0" w:space="0" w:color="auto"/>
        <w:left w:val="none" w:sz="0" w:space="0" w:color="auto"/>
        <w:bottom w:val="none" w:sz="0" w:space="0" w:color="auto"/>
        <w:right w:val="none" w:sz="0" w:space="0" w:color="auto"/>
      </w:divBdr>
    </w:div>
    <w:div w:id="113536920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074">
      <w:bodyDiv w:val="1"/>
      <w:marLeft w:val="0"/>
      <w:marRight w:val="0"/>
      <w:marTop w:val="0"/>
      <w:marBottom w:val="0"/>
      <w:divBdr>
        <w:top w:val="none" w:sz="0" w:space="0" w:color="auto"/>
        <w:left w:val="none" w:sz="0" w:space="0" w:color="auto"/>
        <w:bottom w:val="none" w:sz="0" w:space="0" w:color="auto"/>
        <w:right w:val="none" w:sz="0" w:space="0" w:color="auto"/>
      </w:divBdr>
    </w:div>
    <w:div w:id="1136294241">
      <w:bodyDiv w:val="1"/>
      <w:marLeft w:val="0"/>
      <w:marRight w:val="0"/>
      <w:marTop w:val="0"/>
      <w:marBottom w:val="0"/>
      <w:divBdr>
        <w:top w:val="none" w:sz="0" w:space="0" w:color="auto"/>
        <w:left w:val="none" w:sz="0" w:space="0" w:color="auto"/>
        <w:bottom w:val="none" w:sz="0" w:space="0" w:color="auto"/>
        <w:right w:val="none" w:sz="0" w:space="0" w:color="auto"/>
      </w:divBdr>
    </w:div>
    <w:div w:id="1137527601">
      <w:bodyDiv w:val="1"/>
      <w:marLeft w:val="0"/>
      <w:marRight w:val="0"/>
      <w:marTop w:val="0"/>
      <w:marBottom w:val="0"/>
      <w:divBdr>
        <w:top w:val="none" w:sz="0" w:space="0" w:color="auto"/>
        <w:left w:val="none" w:sz="0" w:space="0" w:color="auto"/>
        <w:bottom w:val="none" w:sz="0" w:space="0" w:color="auto"/>
        <w:right w:val="none" w:sz="0" w:space="0" w:color="auto"/>
      </w:divBdr>
    </w:div>
    <w:div w:id="1142235916">
      <w:bodyDiv w:val="1"/>
      <w:marLeft w:val="0"/>
      <w:marRight w:val="0"/>
      <w:marTop w:val="0"/>
      <w:marBottom w:val="0"/>
      <w:divBdr>
        <w:top w:val="none" w:sz="0" w:space="0" w:color="auto"/>
        <w:left w:val="none" w:sz="0" w:space="0" w:color="auto"/>
        <w:bottom w:val="none" w:sz="0" w:space="0" w:color="auto"/>
        <w:right w:val="none" w:sz="0" w:space="0" w:color="auto"/>
      </w:divBdr>
    </w:div>
    <w:div w:id="1146362417">
      <w:bodyDiv w:val="1"/>
      <w:marLeft w:val="0"/>
      <w:marRight w:val="0"/>
      <w:marTop w:val="0"/>
      <w:marBottom w:val="0"/>
      <w:divBdr>
        <w:top w:val="none" w:sz="0" w:space="0" w:color="auto"/>
        <w:left w:val="none" w:sz="0" w:space="0" w:color="auto"/>
        <w:bottom w:val="none" w:sz="0" w:space="0" w:color="auto"/>
        <w:right w:val="none" w:sz="0" w:space="0" w:color="auto"/>
      </w:divBdr>
    </w:div>
    <w:div w:id="1146969326">
      <w:bodyDiv w:val="1"/>
      <w:marLeft w:val="0"/>
      <w:marRight w:val="0"/>
      <w:marTop w:val="0"/>
      <w:marBottom w:val="0"/>
      <w:divBdr>
        <w:top w:val="none" w:sz="0" w:space="0" w:color="auto"/>
        <w:left w:val="none" w:sz="0" w:space="0" w:color="auto"/>
        <w:bottom w:val="none" w:sz="0" w:space="0" w:color="auto"/>
        <w:right w:val="none" w:sz="0" w:space="0" w:color="auto"/>
      </w:divBdr>
    </w:div>
    <w:div w:id="1150949440">
      <w:bodyDiv w:val="1"/>
      <w:marLeft w:val="0"/>
      <w:marRight w:val="0"/>
      <w:marTop w:val="0"/>
      <w:marBottom w:val="0"/>
      <w:divBdr>
        <w:top w:val="none" w:sz="0" w:space="0" w:color="auto"/>
        <w:left w:val="none" w:sz="0" w:space="0" w:color="auto"/>
        <w:bottom w:val="none" w:sz="0" w:space="0" w:color="auto"/>
        <w:right w:val="none" w:sz="0" w:space="0" w:color="auto"/>
      </w:divBdr>
    </w:div>
    <w:div w:id="1157454327">
      <w:bodyDiv w:val="1"/>
      <w:marLeft w:val="0"/>
      <w:marRight w:val="0"/>
      <w:marTop w:val="0"/>
      <w:marBottom w:val="0"/>
      <w:divBdr>
        <w:top w:val="none" w:sz="0" w:space="0" w:color="auto"/>
        <w:left w:val="none" w:sz="0" w:space="0" w:color="auto"/>
        <w:bottom w:val="none" w:sz="0" w:space="0" w:color="auto"/>
        <w:right w:val="none" w:sz="0" w:space="0" w:color="auto"/>
      </w:divBdr>
    </w:div>
    <w:div w:id="1159073825">
      <w:bodyDiv w:val="1"/>
      <w:marLeft w:val="0"/>
      <w:marRight w:val="0"/>
      <w:marTop w:val="0"/>
      <w:marBottom w:val="0"/>
      <w:divBdr>
        <w:top w:val="none" w:sz="0" w:space="0" w:color="auto"/>
        <w:left w:val="none" w:sz="0" w:space="0" w:color="auto"/>
        <w:bottom w:val="none" w:sz="0" w:space="0" w:color="auto"/>
        <w:right w:val="none" w:sz="0" w:space="0" w:color="auto"/>
      </w:divBdr>
    </w:div>
    <w:div w:id="1162507456">
      <w:bodyDiv w:val="1"/>
      <w:marLeft w:val="0"/>
      <w:marRight w:val="0"/>
      <w:marTop w:val="0"/>
      <w:marBottom w:val="0"/>
      <w:divBdr>
        <w:top w:val="none" w:sz="0" w:space="0" w:color="auto"/>
        <w:left w:val="none" w:sz="0" w:space="0" w:color="auto"/>
        <w:bottom w:val="none" w:sz="0" w:space="0" w:color="auto"/>
        <w:right w:val="none" w:sz="0" w:space="0" w:color="auto"/>
      </w:divBdr>
    </w:div>
    <w:div w:id="1162938060">
      <w:bodyDiv w:val="1"/>
      <w:marLeft w:val="0"/>
      <w:marRight w:val="0"/>
      <w:marTop w:val="0"/>
      <w:marBottom w:val="0"/>
      <w:divBdr>
        <w:top w:val="none" w:sz="0" w:space="0" w:color="auto"/>
        <w:left w:val="none" w:sz="0" w:space="0" w:color="auto"/>
        <w:bottom w:val="none" w:sz="0" w:space="0" w:color="auto"/>
        <w:right w:val="none" w:sz="0" w:space="0" w:color="auto"/>
      </w:divBdr>
    </w:div>
    <w:div w:id="1163467111">
      <w:bodyDiv w:val="1"/>
      <w:marLeft w:val="0"/>
      <w:marRight w:val="0"/>
      <w:marTop w:val="0"/>
      <w:marBottom w:val="0"/>
      <w:divBdr>
        <w:top w:val="none" w:sz="0" w:space="0" w:color="auto"/>
        <w:left w:val="none" w:sz="0" w:space="0" w:color="auto"/>
        <w:bottom w:val="none" w:sz="0" w:space="0" w:color="auto"/>
        <w:right w:val="none" w:sz="0" w:space="0" w:color="auto"/>
      </w:divBdr>
    </w:div>
    <w:div w:id="1164512548">
      <w:bodyDiv w:val="1"/>
      <w:marLeft w:val="0"/>
      <w:marRight w:val="0"/>
      <w:marTop w:val="0"/>
      <w:marBottom w:val="0"/>
      <w:divBdr>
        <w:top w:val="none" w:sz="0" w:space="0" w:color="auto"/>
        <w:left w:val="none" w:sz="0" w:space="0" w:color="auto"/>
        <w:bottom w:val="none" w:sz="0" w:space="0" w:color="auto"/>
        <w:right w:val="none" w:sz="0" w:space="0" w:color="auto"/>
      </w:divBdr>
    </w:div>
    <w:div w:id="1165054963">
      <w:bodyDiv w:val="1"/>
      <w:marLeft w:val="0"/>
      <w:marRight w:val="0"/>
      <w:marTop w:val="0"/>
      <w:marBottom w:val="0"/>
      <w:divBdr>
        <w:top w:val="none" w:sz="0" w:space="0" w:color="auto"/>
        <w:left w:val="none" w:sz="0" w:space="0" w:color="auto"/>
        <w:bottom w:val="none" w:sz="0" w:space="0" w:color="auto"/>
        <w:right w:val="none" w:sz="0" w:space="0" w:color="auto"/>
      </w:divBdr>
    </w:div>
    <w:div w:id="1167746578">
      <w:bodyDiv w:val="1"/>
      <w:marLeft w:val="0"/>
      <w:marRight w:val="0"/>
      <w:marTop w:val="0"/>
      <w:marBottom w:val="0"/>
      <w:divBdr>
        <w:top w:val="none" w:sz="0" w:space="0" w:color="auto"/>
        <w:left w:val="none" w:sz="0" w:space="0" w:color="auto"/>
        <w:bottom w:val="none" w:sz="0" w:space="0" w:color="auto"/>
        <w:right w:val="none" w:sz="0" w:space="0" w:color="auto"/>
      </w:divBdr>
    </w:div>
    <w:div w:id="1168130042">
      <w:bodyDiv w:val="1"/>
      <w:marLeft w:val="0"/>
      <w:marRight w:val="0"/>
      <w:marTop w:val="0"/>
      <w:marBottom w:val="0"/>
      <w:divBdr>
        <w:top w:val="none" w:sz="0" w:space="0" w:color="auto"/>
        <w:left w:val="none" w:sz="0" w:space="0" w:color="auto"/>
        <w:bottom w:val="none" w:sz="0" w:space="0" w:color="auto"/>
        <w:right w:val="none" w:sz="0" w:space="0" w:color="auto"/>
      </w:divBdr>
    </w:div>
    <w:div w:id="1168446082">
      <w:bodyDiv w:val="1"/>
      <w:marLeft w:val="0"/>
      <w:marRight w:val="0"/>
      <w:marTop w:val="0"/>
      <w:marBottom w:val="0"/>
      <w:divBdr>
        <w:top w:val="none" w:sz="0" w:space="0" w:color="auto"/>
        <w:left w:val="none" w:sz="0" w:space="0" w:color="auto"/>
        <w:bottom w:val="none" w:sz="0" w:space="0" w:color="auto"/>
        <w:right w:val="none" w:sz="0" w:space="0" w:color="auto"/>
      </w:divBdr>
    </w:div>
    <w:div w:id="1172719281">
      <w:bodyDiv w:val="1"/>
      <w:marLeft w:val="0"/>
      <w:marRight w:val="0"/>
      <w:marTop w:val="0"/>
      <w:marBottom w:val="0"/>
      <w:divBdr>
        <w:top w:val="none" w:sz="0" w:space="0" w:color="auto"/>
        <w:left w:val="none" w:sz="0" w:space="0" w:color="auto"/>
        <w:bottom w:val="none" w:sz="0" w:space="0" w:color="auto"/>
        <w:right w:val="none" w:sz="0" w:space="0" w:color="auto"/>
      </w:divBdr>
    </w:div>
    <w:div w:id="1174147648">
      <w:bodyDiv w:val="1"/>
      <w:marLeft w:val="0"/>
      <w:marRight w:val="0"/>
      <w:marTop w:val="0"/>
      <w:marBottom w:val="0"/>
      <w:divBdr>
        <w:top w:val="none" w:sz="0" w:space="0" w:color="auto"/>
        <w:left w:val="none" w:sz="0" w:space="0" w:color="auto"/>
        <w:bottom w:val="none" w:sz="0" w:space="0" w:color="auto"/>
        <w:right w:val="none" w:sz="0" w:space="0" w:color="auto"/>
      </w:divBdr>
    </w:div>
    <w:div w:id="1174689299">
      <w:bodyDiv w:val="1"/>
      <w:marLeft w:val="0"/>
      <w:marRight w:val="0"/>
      <w:marTop w:val="0"/>
      <w:marBottom w:val="0"/>
      <w:divBdr>
        <w:top w:val="none" w:sz="0" w:space="0" w:color="auto"/>
        <w:left w:val="none" w:sz="0" w:space="0" w:color="auto"/>
        <w:bottom w:val="none" w:sz="0" w:space="0" w:color="auto"/>
        <w:right w:val="none" w:sz="0" w:space="0" w:color="auto"/>
      </w:divBdr>
    </w:div>
    <w:div w:id="1176766559">
      <w:bodyDiv w:val="1"/>
      <w:marLeft w:val="0"/>
      <w:marRight w:val="0"/>
      <w:marTop w:val="0"/>
      <w:marBottom w:val="0"/>
      <w:divBdr>
        <w:top w:val="none" w:sz="0" w:space="0" w:color="auto"/>
        <w:left w:val="none" w:sz="0" w:space="0" w:color="auto"/>
        <w:bottom w:val="none" w:sz="0" w:space="0" w:color="auto"/>
        <w:right w:val="none" w:sz="0" w:space="0" w:color="auto"/>
      </w:divBdr>
    </w:div>
    <w:div w:id="1176923339">
      <w:bodyDiv w:val="1"/>
      <w:marLeft w:val="0"/>
      <w:marRight w:val="0"/>
      <w:marTop w:val="0"/>
      <w:marBottom w:val="0"/>
      <w:divBdr>
        <w:top w:val="none" w:sz="0" w:space="0" w:color="auto"/>
        <w:left w:val="none" w:sz="0" w:space="0" w:color="auto"/>
        <w:bottom w:val="none" w:sz="0" w:space="0" w:color="auto"/>
        <w:right w:val="none" w:sz="0" w:space="0" w:color="auto"/>
      </w:divBdr>
    </w:div>
    <w:div w:id="1177111813">
      <w:bodyDiv w:val="1"/>
      <w:marLeft w:val="0"/>
      <w:marRight w:val="0"/>
      <w:marTop w:val="0"/>
      <w:marBottom w:val="0"/>
      <w:divBdr>
        <w:top w:val="none" w:sz="0" w:space="0" w:color="auto"/>
        <w:left w:val="none" w:sz="0" w:space="0" w:color="auto"/>
        <w:bottom w:val="none" w:sz="0" w:space="0" w:color="auto"/>
        <w:right w:val="none" w:sz="0" w:space="0" w:color="auto"/>
      </w:divBdr>
    </w:div>
    <w:div w:id="1177504098">
      <w:bodyDiv w:val="1"/>
      <w:marLeft w:val="0"/>
      <w:marRight w:val="0"/>
      <w:marTop w:val="0"/>
      <w:marBottom w:val="0"/>
      <w:divBdr>
        <w:top w:val="none" w:sz="0" w:space="0" w:color="auto"/>
        <w:left w:val="none" w:sz="0" w:space="0" w:color="auto"/>
        <w:bottom w:val="none" w:sz="0" w:space="0" w:color="auto"/>
        <w:right w:val="none" w:sz="0" w:space="0" w:color="auto"/>
      </w:divBdr>
    </w:div>
    <w:div w:id="1178303004">
      <w:bodyDiv w:val="1"/>
      <w:marLeft w:val="0"/>
      <w:marRight w:val="0"/>
      <w:marTop w:val="0"/>
      <w:marBottom w:val="0"/>
      <w:divBdr>
        <w:top w:val="none" w:sz="0" w:space="0" w:color="auto"/>
        <w:left w:val="none" w:sz="0" w:space="0" w:color="auto"/>
        <w:bottom w:val="none" w:sz="0" w:space="0" w:color="auto"/>
        <w:right w:val="none" w:sz="0" w:space="0" w:color="auto"/>
      </w:divBdr>
    </w:div>
    <w:div w:id="1183783759">
      <w:bodyDiv w:val="1"/>
      <w:marLeft w:val="0"/>
      <w:marRight w:val="0"/>
      <w:marTop w:val="0"/>
      <w:marBottom w:val="0"/>
      <w:divBdr>
        <w:top w:val="none" w:sz="0" w:space="0" w:color="auto"/>
        <w:left w:val="none" w:sz="0" w:space="0" w:color="auto"/>
        <w:bottom w:val="none" w:sz="0" w:space="0" w:color="auto"/>
        <w:right w:val="none" w:sz="0" w:space="0" w:color="auto"/>
      </w:divBdr>
    </w:div>
    <w:div w:id="1185830316">
      <w:bodyDiv w:val="1"/>
      <w:marLeft w:val="0"/>
      <w:marRight w:val="0"/>
      <w:marTop w:val="0"/>
      <w:marBottom w:val="0"/>
      <w:divBdr>
        <w:top w:val="none" w:sz="0" w:space="0" w:color="auto"/>
        <w:left w:val="none" w:sz="0" w:space="0" w:color="auto"/>
        <w:bottom w:val="none" w:sz="0" w:space="0" w:color="auto"/>
        <w:right w:val="none" w:sz="0" w:space="0" w:color="auto"/>
      </w:divBdr>
    </w:div>
    <w:div w:id="1192572693">
      <w:bodyDiv w:val="1"/>
      <w:marLeft w:val="0"/>
      <w:marRight w:val="0"/>
      <w:marTop w:val="0"/>
      <w:marBottom w:val="0"/>
      <w:divBdr>
        <w:top w:val="none" w:sz="0" w:space="0" w:color="auto"/>
        <w:left w:val="none" w:sz="0" w:space="0" w:color="auto"/>
        <w:bottom w:val="none" w:sz="0" w:space="0" w:color="auto"/>
        <w:right w:val="none" w:sz="0" w:space="0" w:color="auto"/>
      </w:divBdr>
    </w:div>
    <w:div w:id="1194810917">
      <w:bodyDiv w:val="1"/>
      <w:marLeft w:val="0"/>
      <w:marRight w:val="0"/>
      <w:marTop w:val="0"/>
      <w:marBottom w:val="0"/>
      <w:divBdr>
        <w:top w:val="none" w:sz="0" w:space="0" w:color="auto"/>
        <w:left w:val="none" w:sz="0" w:space="0" w:color="auto"/>
        <w:bottom w:val="none" w:sz="0" w:space="0" w:color="auto"/>
        <w:right w:val="none" w:sz="0" w:space="0" w:color="auto"/>
      </w:divBdr>
    </w:div>
    <w:div w:id="1195539629">
      <w:bodyDiv w:val="1"/>
      <w:marLeft w:val="0"/>
      <w:marRight w:val="0"/>
      <w:marTop w:val="0"/>
      <w:marBottom w:val="0"/>
      <w:divBdr>
        <w:top w:val="none" w:sz="0" w:space="0" w:color="auto"/>
        <w:left w:val="none" w:sz="0" w:space="0" w:color="auto"/>
        <w:bottom w:val="none" w:sz="0" w:space="0" w:color="auto"/>
        <w:right w:val="none" w:sz="0" w:space="0" w:color="auto"/>
      </w:divBdr>
    </w:div>
    <w:div w:id="1195924605">
      <w:bodyDiv w:val="1"/>
      <w:marLeft w:val="0"/>
      <w:marRight w:val="0"/>
      <w:marTop w:val="0"/>
      <w:marBottom w:val="0"/>
      <w:divBdr>
        <w:top w:val="none" w:sz="0" w:space="0" w:color="auto"/>
        <w:left w:val="none" w:sz="0" w:space="0" w:color="auto"/>
        <w:bottom w:val="none" w:sz="0" w:space="0" w:color="auto"/>
        <w:right w:val="none" w:sz="0" w:space="0" w:color="auto"/>
      </w:divBdr>
    </w:div>
    <w:div w:id="1198199093">
      <w:bodyDiv w:val="1"/>
      <w:marLeft w:val="0"/>
      <w:marRight w:val="0"/>
      <w:marTop w:val="0"/>
      <w:marBottom w:val="0"/>
      <w:divBdr>
        <w:top w:val="none" w:sz="0" w:space="0" w:color="auto"/>
        <w:left w:val="none" w:sz="0" w:space="0" w:color="auto"/>
        <w:bottom w:val="none" w:sz="0" w:space="0" w:color="auto"/>
        <w:right w:val="none" w:sz="0" w:space="0" w:color="auto"/>
      </w:divBdr>
    </w:div>
    <w:div w:id="1200316758">
      <w:bodyDiv w:val="1"/>
      <w:marLeft w:val="0"/>
      <w:marRight w:val="0"/>
      <w:marTop w:val="0"/>
      <w:marBottom w:val="0"/>
      <w:divBdr>
        <w:top w:val="none" w:sz="0" w:space="0" w:color="auto"/>
        <w:left w:val="none" w:sz="0" w:space="0" w:color="auto"/>
        <w:bottom w:val="none" w:sz="0" w:space="0" w:color="auto"/>
        <w:right w:val="none" w:sz="0" w:space="0" w:color="auto"/>
      </w:divBdr>
    </w:div>
    <w:div w:id="120097298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830938">
      <w:bodyDiv w:val="1"/>
      <w:marLeft w:val="0"/>
      <w:marRight w:val="0"/>
      <w:marTop w:val="0"/>
      <w:marBottom w:val="0"/>
      <w:divBdr>
        <w:top w:val="none" w:sz="0" w:space="0" w:color="auto"/>
        <w:left w:val="none" w:sz="0" w:space="0" w:color="auto"/>
        <w:bottom w:val="none" w:sz="0" w:space="0" w:color="auto"/>
        <w:right w:val="none" w:sz="0" w:space="0" w:color="auto"/>
      </w:divBdr>
    </w:div>
    <w:div w:id="1204487653">
      <w:bodyDiv w:val="1"/>
      <w:marLeft w:val="0"/>
      <w:marRight w:val="0"/>
      <w:marTop w:val="0"/>
      <w:marBottom w:val="0"/>
      <w:divBdr>
        <w:top w:val="none" w:sz="0" w:space="0" w:color="auto"/>
        <w:left w:val="none" w:sz="0" w:space="0" w:color="auto"/>
        <w:bottom w:val="none" w:sz="0" w:space="0" w:color="auto"/>
        <w:right w:val="none" w:sz="0" w:space="0" w:color="auto"/>
      </w:divBdr>
    </w:div>
    <w:div w:id="1204561021">
      <w:bodyDiv w:val="1"/>
      <w:marLeft w:val="0"/>
      <w:marRight w:val="0"/>
      <w:marTop w:val="0"/>
      <w:marBottom w:val="0"/>
      <w:divBdr>
        <w:top w:val="none" w:sz="0" w:space="0" w:color="auto"/>
        <w:left w:val="none" w:sz="0" w:space="0" w:color="auto"/>
        <w:bottom w:val="none" w:sz="0" w:space="0" w:color="auto"/>
        <w:right w:val="none" w:sz="0" w:space="0" w:color="auto"/>
      </w:divBdr>
    </w:div>
    <w:div w:id="1205943713">
      <w:bodyDiv w:val="1"/>
      <w:marLeft w:val="0"/>
      <w:marRight w:val="0"/>
      <w:marTop w:val="0"/>
      <w:marBottom w:val="0"/>
      <w:divBdr>
        <w:top w:val="none" w:sz="0" w:space="0" w:color="auto"/>
        <w:left w:val="none" w:sz="0" w:space="0" w:color="auto"/>
        <w:bottom w:val="none" w:sz="0" w:space="0" w:color="auto"/>
        <w:right w:val="none" w:sz="0" w:space="0" w:color="auto"/>
      </w:divBdr>
    </w:div>
    <w:div w:id="1206483337">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10651814">
      <w:bodyDiv w:val="1"/>
      <w:marLeft w:val="0"/>
      <w:marRight w:val="0"/>
      <w:marTop w:val="0"/>
      <w:marBottom w:val="0"/>
      <w:divBdr>
        <w:top w:val="none" w:sz="0" w:space="0" w:color="auto"/>
        <w:left w:val="none" w:sz="0" w:space="0" w:color="auto"/>
        <w:bottom w:val="none" w:sz="0" w:space="0" w:color="auto"/>
        <w:right w:val="none" w:sz="0" w:space="0" w:color="auto"/>
      </w:divBdr>
    </w:div>
    <w:div w:id="1211650301">
      <w:bodyDiv w:val="1"/>
      <w:marLeft w:val="0"/>
      <w:marRight w:val="0"/>
      <w:marTop w:val="0"/>
      <w:marBottom w:val="0"/>
      <w:divBdr>
        <w:top w:val="none" w:sz="0" w:space="0" w:color="auto"/>
        <w:left w:val="none" w:sz="0" w:space="0" w:color="auto"/>
        <w:bottom w:val="none" w:sz="0" w:space="0" w:color="auto"/>
        <w:right w:val="none" w:sz="0" w:space="0" w:color="auto"/>
      </w:divBdr>
    </w:div>
    <w:div w:id="1214579967">
      <w:bodyDiv w:val="1"/>
      <w:marLeft w:val="0"/>
      <w:marRight w:val="0"/>
      <w:marTop w:val="0"/>
      <w:marBottom w:val="0"/>
      <w:divBdr>
        <w:top w:val="none" w:sz="0" w:space="0" w:color="auto"/>
        <w:left w:val="none" w:sz="0" w:space="0" w:color="auto"/>
        <w:bottom w:val="none" w:sz="0" w:space="0" w:color="auto"/>
        <w:right w:val="none" w:sz="0" w:space="0" w:color="auto"/>
      </w:divBdr>
    </w:div>
    <w:div w:id="1218784689">
      <w:bodyDiv w:val="1"/>
      <w:marLeft w:val="0"/>
      <w:marRight w:val="0"/>
      <w:marTop w:val="0"/>
      <w:marBottom w:val="0"/>
      <w:divBdr>
        <w:top w:val="none" w:sz="0" w:space="0" w:color="auto"/>
        <w:left w:val="none" w:sz="0" w:space="0" w:color="auto"/>
        <w:bottom w:val="none" w:sz="0" w:space="0" w:color="auto"/>
        <w:right w:val="none" w:sz="0" w:space="0" w:color="auto"/>
      </w:divBdr>
    </w:div>
    <w:div w:id="1219974424">
      <w:bodyDiv w:val="1"/>
      <w:marLeft w:val="0"/>
      <w:marRight w:val="0"/>
      <w:marTop w:val="0"/>
      <w:marBottom w:val="0"/>
      <w:divBdr>
        <w:top w:val="none" w:sz="0" w:space="0" w:color="auto"/>
        <w:left w:val="none" w:sz="0" w:space="0" w:color="auto"/>
        <w:bottom w:val="none" w:sz="0" w:space="0" w:color="auto"/>
        <w:right w:val="none" w:sz="0" w:space="0" w:color="auto"/>
      </w:divBdr>
    </w:div>
    <w:div w:id="1220677721">
      <w:bodyDiv w:val="1"/>
      <w:marLeft w:val="0"/>
      <w:marRight w:val="0"/>
      <w:marTop w:val="0"/>
      <w:marBottom w:val="0"/>
      <w:divBdr>
        <w:top w:val="none" w:sz="0" w:space="0" w:color="auto"/>
        <w:left w:val="none" w:sz="0" w:space="0" w:color="auto"/>
        <w:bottom w:val="none" w:sz="0" w:space="0" w:color="auto"/>
        <w:right w:val="none" w:sz="0" w:space="0" w:color="auto"/>
      </w:divBdr>
    </w:div>
    <w:div w:id="1221332343">
      <w:bodyDiv w:val="1"/>
      <w:marLeft w:val="0"/>
      <w:marRight w:val="0"/>
      <w:marTop w:val="0"/>
      <w:marBottom w:val="0"/>
      <w:divBdr>
        <w:top w:val="none" w:sz="0" w:space="0" w:color="auto"/>
        <w:left w:val="none" w:sz="0" w:space="0" w:color="auto"/>
        <w:bottom w:val="none" w:sz="0" w:space="0" w:color="auto"/>
        <w:right w:val="none" w:sz="0" w:space="0" w:color="auto"/>
      </w:divBdr>
    </w:div>
    <w:div w:id="1223565710">
      <w:bodyDiv w:val="1"/>
      <w:marLeft w:val="0"/>
      <w:marRight w:val="0"/>
      <w:marTop w:val="0"/>
      <w:marBottom w:val="0"/>
      <w:divBdr>
        <w:top w:val="none" w:sz="0" w:space="0" w:color="auto"/>
        <w:left w:val="none" w:sz="0" w:space="0" w:color="auto"/>
        <w:bottom w:val="none" w:sz="0" w:space="0" w:color="auto"/>
        <w:right w:val="none" w:sz="0" w:space="0" w:color="auto"/>
      </w:divBdr>
    </w:div>
    <w:div w:id="1223758216">
      <w:bodyDiv w:val="1"/>
      <w:marLeft w:val="0"/>
      <w:marRight w:val="0"/>
      <w:marTop w:val="0"/>
      <w:marBottom w:val="0"/>
      <w:divBdr>
        <w:top w:val="none" w:sz="0" w:space="0" w:color="auto"/>
        <w:left w:val="none" w:sz="0" w:space="0" w:color="auto"/>
        <w:bottom w:val="none" w:sz="0" w:space="0" w:color="auto"/>
        <w:right w:val="none" w:sz="0" w:space="0" w:color="auto"/>
      </w:divBdr>
    </w:div>
    <w:div w:id="1223978695">
      <w:bodyDiv w:val="1"/>
      <w:marLeft w:val="0"/>
      <w:marRight w:val="0"/>
      <w:marTop w:val="0"/>
      <w:marBottom w:val="0"/>
      <w:divBdr>
        <w:top w:val="none" w:sz="0" w:space="0" w:color="auto"/>
        <w:left w:val="none" w:sz="0" w:space="0" w:color="auto"/>
        <w:bottom w:val="none" w:sz="0" w:space="0" w:color="auto"/>
        <w:right w:val="none" w:sz="0" w:space="0" w:color="auto"/>
      </w:divBdr>
    </w:div>
    <w:div w:id="1227765640">
      <w:bodyDiv w:val="1"/>
      <w:marLeft w:val="0"/>
      <w:marRight w:val="0"/>
      <w:marTop w:val="0"/>
      <w:marBottom w:val="0"/>
      <w:divBdr>
        <w:top w:val="none" w:sz="0" w:space="0" w:color="auto"/>
        <w:left w:val="none" w:sz="0" w:space="0" w:color="auto"/>
        <w:bottom w:val="none" w:sz="0" w:space="0" w:color="auto"/>
        <w:right w:val="none" w:sz="0" w:space="0" w:color="auto"/>
      </w:divBdr>
    </w:div>
    <w:div w:id="1228149715">
      <w:bodyDiv w:val="1"/>
      <w:marLeft w:val="0"/>
      <w:marRight w:val="0"/>
      <w:marTop w:val="0"/>
      <w:marBottom w:val="0"/>
      <w:divBdr>
        <w:top w:val="none" w:sz="0" w:space="0" w:color="auto"/>
        <w:left w:val="none" w:sz="0" w:space="0" w:color="auto"/>
        <w:bottom w:val="none" w:sz="0" w:space="0" w:color="auto"/>
        <w:right w:val="none" w:sz="0" w:space="0" w:color="auto"/>
      </w:divBdr>
    </w:div>
    <w:div w:id="1229337856">
      <w:bodyDiv w:val="1"/>
      <w:marLeft w:val="0"/>
      <w:marRight w:val="0"/>
      <w:marTop w:val="0"/>
      <w:marBottom w:val="0"/>
      <w:divBdr>
        <w:top w:val="none" w:sz="0" w:space="0" w:color="auto"/>
        <w:left w:val="none" w:sz="0" w:space="0" w:color="auto"/>
        <w:bottom w:val="none" w:sz="0" w:space="0" w:color="auto"/>
        <w:right w:val="none" w:sz="0" w:space="0" w:color="auto"/>
      </w:divBdr>
    </w:div>
    <w:div w:id="1231191714">
      <w:bodyDiv w:val="1"/>
      <w:marLeft w:val="0"/>
      <w:marRight w:val="0"/>
      <w:marTop w:val="0"/>
      <w:marBottom w:val="0"/>
      <w:divBdr>
        <w:top w:val="none" w:sz="0" w:space="0" w:color="auto"/>
        <w:left w:val="none" w:sz="0" w:space="0" w:color="auto"/>
        <w:bottom w:val="none" w:sz="0" w:space="0" w:color="auto"/>
        <w:right w:val="none" w:sz="0" w:space="0" w:color="auto"/>
      </w:divBdr>
    </w:div>
    <w:div w:id="1233811680">
      <w:bodyDiv w:val="1"/>
      <w:marLeft w:val="0"/>
      <w:marRight w:val="0"/>
      <w:marTop w:val="0"/>
      <w:marBottom w:val="0"/>
      <w:divBdr>
        <w:top w:val="none" w:sz="0" w:space="0" w:color="auto"/>
        <w:left w:val="none" w:sz="0" w:space="0" w:color="auto"/>
        <w:bottom w:val="none" w:sz="0" w:space="0" w:color="auto"/>
        <w:right w:val="none" w:sz="0" w:space="0" w:color="auto"/>
      </w:divBdr>
    </w:div>
    <w:div w:id="1236160434">
      <w:bodyDiv w:val="1"/>
      <w:marLeft w:val="0"/>
      <w:marRight w:val="0"/>
      <w:marTop w:val="0"/>
      <w:marBottom w:val="0"/>
      <w:divBdr>
        <w:top w:val="none" w:sz="0" w:space="0" w:color="auto"/>
        <w:left w:val="none" w:sz="0" w:space="0" w:color="auto"/>
        <w:bottom w:val="none" w:sz="0" w:space="0" w:color="auto"/>
        <w:right w:val="none" w:sz="0" w:space="0" w:color="auto"/>
      </w:divBdr>
    </w:div>
    <w:div w:id="1236620898">
      <w:bodyDiv w:val="1"/>
      <w:marLeft w:val="0"/>
      <w:marRight w:val="0"/>
      <w:marTop w:val="0"/>
      <w:marBottom w:val="0"/>
      <w:divBdr>
        <w:top w:val="none" w:sz="0" w:space="0" w:color="auto"/>
        <w:left w:val="none" w:sz="0" w:space="0" w:color="auto"/>
        <w:bottom w:val="none" w:sz="0" w:space="0" w:color="auto"/>
        <w:right w:val="none" w:sz="0" w:space="0" w:color="auto"/>
      </w:divBdr>
    </w:div>
    <w:div w:id="1243956263">
      <w:bodyDiv w:val="1"/>
      <w:marLeft w:val="0"/>
      <w:marRight w:val="0"/>
      <w:marTop w:val="0"/>
      <w:marBottom w:val="0"/>
      <w:divBdr>
        <w:top w:val="none" w:sz="0" w:space="0" w:color="auto"/>
        <w:left w:val="none" w:sz="0" w:space="0" w:color="auto"/>
        <w:bottom w:val="none" w:sz="0" w:space="0" w:color="auto"/>
        <w:right w:val="none" w:sz="0" w:space="0" w:color="auto"/>
      </w:divBdr>
    </w:div>
    <w:div w:id="1244336618">
      <w:bodyDiv w:val="1"/>
      <w:marLeft w:val="0"/>
      <w:marRight w:val="0"/>
      <w:marTop w:val="0"/>
      <w:marBottom w:val="0"/>
      <w:divBdr>
        <w:top w:val="none" w:sz="0" w:space="0" w:color="auto"/>
        <w:left w:val="none" w:sz="0" w:space="0" w:color="auto"/>
        <w:bottom w:val="none" w:sz="0" w:space="0" w:color="auto"/>
        <w:right w:val="none" w:sz="0" w:space="0" w:color="auto"/>
      </w:divBdr>
    </w:div>
    <w:div w:id="1244988582">
      <w:bodyDiv w:val="1"/>
      <w:marLeft w:val="0"/>
      <w:marRight w:val="0"/>
      <w:marTop w:val="0"/>
      <w:marBottom w:val="0"/>
      <w:divBdr>
        <w:top w:val="none" w:sz="0" w:space="0" w:color="auto"/>
        <w:left w:val="none" w:sz="0" w:space="0" w:color="auto"/>
        <w:bottom w:val="none" w:sz="0" w:space="0" w:color="auto"/>
        <w:right w:val="none" w:sz="0" w:space="0" w:color="auto"/>
      </w:divBdr>
    </w:div>
    <w:div w:id="1246187801">
      <w:bodyDiv w:val="1"/>
      <w:marLeft w:val="0"/>
      <w:marRight w:val="0"/>
      <w:marTop w:val="0"/>
      <w:marBottom w:val="0"/>
      <w:divBdr>
        <w:top w:val="none" w:sz="0" w:space="0" w:color="auto"/>
        <w:left w:val="none" w:sz="0" w:space="0" w:color="auto"/>
        <w:bottom w:val="none" w:sz="0" w:space="0" w:color="auto"/>
        <w:right w:val="none" w:sz="0" w:space="0" w:color="auto"/>
      </w:divBdr>
    </w:div>
    <w:div w:id="1249271803">
      <w:bodyDiv w:val="1"/>
      <w:marLeft w:val="0"/>
      <w:marRight w:val="0"/>
      <w:marTop w:val="0"/>
      <w:marBottom w:val="0"/>
      <w:divBdr>
        <w:top w:val="none" w:sz="0" w:space="0" w:color="auto"/>
        <w:left w:val="none" w:sz="0" w:space="0" w:color="auto"/>
        <w:bottom w:val="none" w:sz="0" w:space="0" w:color="auto"/>
        <w:right w:val="none" w:sz="0" w:space="0" w:color="auto"/>
      </w:divBdr>
    </w:div>
    <w:div w:id="1250580592">
      <w:bodyDiv w:val="1"/>
      <w:marLeft w:val="0"/>
      <w:marRight w:val="0"/>
      <w:marTop w:val="0"/>
      <w:marBottom w:val="0"/>
      <w:divBdr>
        <w:top w:val="none" w:sz="0" w:space="0" w:color="auto"/>
        <w:left w:val="none" w:sz="0" w:space="0" w:color="auto"/>
        <w:bottom w:val="none" w:sz="0" w:space="0" w:color="auto"/>
        <w:right w:val="none" w:sz="0" w:space="0" w:color="auto"/>
      </w:divBdr>
    </w:div>
    <w:div w:id="1252468285">
      <w:bodyDiv w:val="1"/>
      <w:marLeft w:val="0"/>
      <w:marRight w:val="0"/>
      <w:marTop w:val="0"/>
      <w:marBottom w:val="0"/>
      <w:divBdr>
        <w:top w:val="none" w:sz="0" w:space="0" w:color="auto"/>
        <w:left w:val="none" w:sz="0" w:space="0" w:color="auto"/>
        <w:bottom w:val="none" w:sz="0" w:space="0" w:color="auto"/>
        <w:right w:val="none" w:sz="0" w:space="0" w:color="auto"/>
      </w:divBdr>
    </w:div>
    <w:div w:id="1252661400">
      <w:bodyDiv w:val="1"/>
      <w:marLeft w:val="0"/>
      <w:marRight w:val="0"/>
      <w:marTop w:val="0"/>
      <w:marBottom w:val="0"/>
      <w:divBdr>
        <w:top w:val="none" w:sz="0" w:space="0" w:color="auto"/>
        <w:left w:val="none" w:sz="0" w:space="0" w:color="auto"/>
        <w:bottom w:val="none" w:sz="0" w:space="0" w:color="auto"/>
        <w:right w:val="none" w:sz="0" w:space="0" w:color="auto"/>
      </w:divBdr>
    </w:div>
    <w:div w:id="125482136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320334">
      <w:bodyDiv w:val="1"/>
      <w:marLeft w:val="0"/>
      <w:marRight w:val="0"/>
      <w:marTop w:val="0"/>
      <w:marBottom w:val="0"/>
      <w:divBdr>
        <w:top w:val="none" w:sz="0" w:space="0" w:color="auto"/>
        <w:left w:val="none" w:sz="0" w:space="0" w:color="auto"/>
        <w:bottom w:val="none" w:sz="0" w:space="0" w:color="auto"/>
        <w:right w:val="none" w:sz="0" w:space="0" w:color="auto"/>
      </w:divBdr>
    </w:div>
    <w:div w:id="1259558286">
      <w:bodyDiv w:val="1"/>
      <w:marLeft w:val="0"/>
      <w:marRight w:val="0"/>
      <w:marTop w:val="0"/>
      <w:marBottom w:val="0"/>
      <w:divBdr>
        <w:top w:val="none" w:sz="0" w:space="0" w:color="auto"/>
        <w:left w:val="none" w:sz="0" w:space="0" w:color="auto"/>
        <w:bottom w:val="none" w:sz="0" w:space="0" w:color="auto"/>
        <w:right w:val="none" w:sz="0" w:space="0" w:color="auto"/>
      </w:divBdr>
    </w:div>
    <w:div w:id="1260257644">
      <w:bodyDiv w:val="1"/>
      <w:marLeft w:val="0"/>
      <w:marRight w:val="0"/>
      <w:marTop w:val="0"/>
      <w:marBottom w:val="0"/>
      <w:divBdr>
        <w:top w:val="none" w:sz="0" w:space="0" w:color="auto"/>
        <w:left w:val="none" w:sz="0" w:space="0" w:color="auto"/>
        <w:bottom w:val="none" w:sz="0" w:space="0" w:color="auto"/>
        <w:right w:val="none" w:sz="0" w:space="0" w:color="auto"/>
      </w:divBdr>
    </w:div>
    <w:div w:id="1261334408">
      <w:bodyDiv w:val="1"/>
      <w:marLeft w:val="0"/>
      <w:marRight w:val="0"/>
      <w:marTop w:val="0"/>
      <w:marBottom w:val="0"/>
      <w:divBdr>
        <w:top w:val="none" w:sz="0" w:space="0" w:color="auto"/>
        <w:left w:val="none" w:sz="0" w:space="0" w:color="auto"/>
        <w:bottom w:val="none" w:sz="0" w:space="0" w:color="auto"/>
        <w:right w:val="none" w:sz="0" w:space="0" w:color="auto"/>
      </w:divBdr>
    </w:div>
    <w:div w:id="1261335127">
      <w:bodyDiv w:val="1"/>
      <w:marLeft w:val="0"/>
      <w:marRight w:val="0"/>
      <w:marTop w:val="0"/>
      <w:marBottom w:val="0"/>
      <w:divBdr>
        <w:top w:val="none" w:sz="0" w:space="0" w:color="auto"/>
        <w:left w:val="none" w:sz="0" w:space="0" w:color="auto"/>
        <w:bottom w:val="none" w:sz="0" w:space="0" w:color="auto"/>
        <w:right w:val="none" w:sz="0" w:space="0" w:color="auto"/>
      </w:divBdr>
    </w:div>
    <w:div w:id="1263804342">
      <w:bodyDiv w:val="1"/>
      <w:marLeft w:val="0"/>
      <w:marRight w:val="0"/>
      <w:marTop w:val="0"/>
      <w:marBottom w:val="0"/>
      <w:divBdr>
        <w:top w:val="none" w:sz="0" w:space="0" w:color="auto"/>
        <w:left w:val="none" w:sz="0" w:space="0" w:color="auto"/>
        <w:bottom w:val="none" w:sz="0" w:space="0" w:color="auto"/>
        <w:right w:val="none" w:sz="0" w:space="0" w:color="auto"/>
      </w:divBdr>
    </w:div>
    <w:div w:id="1264537361">
      <w:bodyDiv w:val="1"/>
      <w:marLeft w:val="0"/>
      <w:marRight w:val="0"/>
      <w:marTop w:val="0"/>
      <w:marBottom w:val="0"/>
      <w:divBdr>
        <w:top w:val="none" w:sz="0" w:space="0" w:color="auto"/>
        <w:left w:val="none" w:sz="0" w:space="0" w:color="auto"/>
        <w:bottom w:val="none" w:sz="0" w:space="0" w:color="auto"/>
        <w:right w:val="none" w:sz="0" w:space="0" w:color="auto"/>
      </w:divBdr>
    </w:div>
    <w:div w:id="1265456567">
      <w:bodyDiv w:val="1"/>
      <w:marLeft w:val="0"/>
      <w:marRight w:val="0"/>
      <w:marTop w:val="0"/>
      <w:marBottom w:val="0"/>
      <w:divBdr>
        <w:top w:val="none" w:sz="0" w:space="0" w:color="auto"/>
        <w:left w:val="none" w:sz="0" w:space="0" w:color="auto"/>
        <w:bottom w:val="none" w:sz="0" w:space="0" w:color="auto"/>
        <w:right w:val="none" w:sz="0" w:space="0" w:color="auto"/>
      </w:divBdr>
    </w:div>
    <w:div w:id="1265458572">
      <w:bodyDiv w:val="1"/>
      <w:marLeft w:val="0"/>
      <w:marRight w:val="0"/>
      <w:marTop w:val="0"/>
      <w:marBottom w:val="0"/>
      <w:divBdr>
        <w:top w:val="none" w:sz="0" w:space="0" w:color="auto"/>
        <w:left w:val="none" w:sz="0" w:space="0" w:color="auto"/>
        <w:bottom w:val="none" w:sz="0" w:space="0" w:color="auto"/>
        <w:right w:val="none" w:sz="0" w:space="0" w:color="auto"/>
      </w:divBdr>
    </w:div>
    <w:div w:id="1266424515">
      <w:bodyDiv w:val="1"/>
      <w:marLeft w:val="0"/>
      <w:marRight w:val="0"/>
      <w:marTop w:val="0"/>
      <w:marBottom w:val="0"/>
      <w:divBdr>
        <w:top w:val="none" w:sz="0" w:space="0" w:color="auto"/>
        <w:left w:val="none" w:sz="0" w:space="0" w:color="auto"/>
        <w:bottom w:val="none" w:sz="0" w:space="0" w:color="auto"/>
        <w:right w:val="none" w:sz="0" w:space="0" w:color="auto"/>
      </w:divBdr>
    </w:div>
    <w:div w:id="1266646829">
      <w:bodyDiv w:val="1"/>
      <w:marLeft w:val="0"/>
      <w:marRight w:val="0"/>
      <w:marTop w:val="0"/>
      <w:marBottom w:val="0"/>
      <w:divBdr>
        <w:top w:val="none" w:sz="0" w:space="0" w:color="auto"/>
        <w:left w:val="none" w:sz="0" w:space="0" w:color="auto"/>
        <w:bottom w:val="none" w:sz="0" w:space="0" w:color="auto"/>
        <w:right w:val="none" w:sz="0" w:space="0" w:color="auto"/>
      </w:divBdr>
    </w:div>
    <w:div w:id="1271163856">
      <w:bodyDiv w:val="1"/>
      <w:marLeft w:val="0"/>
      <w:marRight w:val="0"/>
      <w:marTop w:val="0"/>
      <w:marBottom w:val="0"/>
      <w:divBdr>
        <w:top w:val="none" w:sz="0" w:space="0" w:color="auto"/>
        <w:left w:val="none" w:sz="0" w:space="0" w:color="auto"/>
        <w:bottom w:val="none" w:sz="0" w:space="0" w:color="auto"/>
        <w:right w:val="none" w:sz="0" w:space="0" w:color="auto"/>
      </w:divBdr>
    </w:div>
    <w:div w:id="1273513701">
      <w:bodyDiv w:val="1"/>
      <w:marLeft w:val="0"/>
      <w:marRight w:val="0"/>
      <w:marTop w:val="0"/>
      <w:marBottom w:val="0"/>
      <w:divBdr>
        <w:top w:val="none" w:sz="0" w:space="0" w:color="auto"/>
        <w:left w:val="none" w:sz="0" w:space="0" w:color="auto"/>
        <w:bottom w:val="none" w:sz="0" w:space="0" w:color="auto"/>
        <w:right w:val="none" w:sz="0" w:space="0" w:color="auto"/>
      </w:divBdr>
    </w:div>
    <w:div w:id="1275481784">
      <w:bodyDiv w:val="1"/>
      <w:marLeft w:val="0"/>
      <w:marRight w:val="0"/>
      <w:marTop w:val="0"/>
      <w:marBottom w:val="0"/>
      <w:divBdr>
        <w:top w:val="none" w:sz="0" w:space="0" w:color="auto"/>
        <w:left w:val="none" w:sz="0" w:space="0" w:color="auto"/>
        <w:bottom w:val="none" w:sz="0" w:space="0" w:color="auto"/>
        <w:right w:val="none" w:sz="0" w:space="0" w:color="auto"/>
      </w:divBdr>
    </w:div>
    <w:div w:id="1275938835">
      <w:bodyDiv w:val="1"/>
      <w:marLeft w:val="0"/>
      <w:marRight w:val="0"/>
      <w:marTop w:val="0"/>
      <w:marBottom w:val="0"/>
      <w:divBdr>
        <w:top w:val="none" w:sz="0" w:space="0" w:color="auto"/>
        <w:left w:val="none" w:sz="0" w:space="0" w:color="auto"/>
        <w:bottom w:val="none" w:sz="0" w:space="0" w:color="auto"/>
        <w:right w:val="none" w:sz="0" w:space="0" w:color="auto"/>
      </w:divBdr>
    </w:div>
    <w:div w:id="1276323716">
      <w:bodyDiv w:val="1"/>
      <w:marLeft w:val="0"/>
      <w:marRight w:val="0"/>
      <w:marTop w:val="0"/>
      <w:marBottom w:val="0"/>
      <w:divBdr>
        <w:top w:val="none" w:sz="0" w:space="0" w:color="auto"/>
        <w:left w:val="none" w:sz="0" w:space="0" w:color="auto"/>
        <w:bottom w:val="none" w:sz="0" w:space="0" w:color="auto"/>
        <w:right w:val="none" w:sz="0" w:space="0" w:color="auto"/>
      </w:divBdr>
    </w:div>
    <w:div w:id="1277442578">
      <w:bodyDiv w:val="1"/>
      <w:marLeft w:val="0"/>
      <w:marRight w:val="0"/>
      <w:marTop w:val="0"/>
      <w:marBottom w:val="0"/>
      <w:divBdr>
        <w:top w:val="none" w:sz="0" w:space="0" w:color="auto"/>
        <w:left w:val="none" w:sz="0" w:space="0" w:color="auto"/>
        <w:bottom w:val="none" w:sz="0" w:space="0" w:color="auto"/>
        <w:right w:val="none" w:sz="0" w:space="0" w:color="auto"/>
      </w:divBdr>
    </w:div>
    <w:div w:id="1277640113">
      <w:bodyDiv w:val="1"/>
      <w:marLeft w:val="0"/>
      <w:marRight w:val="0"/>
      <w:marTop w:val="0"/>
      <w:marBottom w:val="0"/>
      <w:divBdr>
        <w:top w:val="none" w:sz="0" w:space="0" w:color="auto"/>
        <w:left w:val="none" w:sz="0" w:space="0" w:color="auto"/>
        <w:bottom w:val="none" w:sz="0" w:space="0" w:color="auto"/>
        <w:right w:val="none" w:sz="0" w:space="0" w:color="auto"/>
      </w:divBdr>
    </w:div>
    <w:div w:id="1278177823">
      <w:bodyDiv w:val="1"/>
      <w:marLeft w:val="0"/>
      <w:marRight w:val="0"/>
      <w:marTop w:val="0"/>
      <w:marBottom w:val="0"/>
      <w:divBdr>
        <w:top w:val="none" w:sz="0" w:space="0" w:color="auto"/>
        <w:left w:val="none" w:sz="0" w:space="0" w:color="auto"/>
        <w:bottom w:val="none" w:sz="0" w:space="0" w:color="auto"/>
        <w:right w:val="none" w:sz="0" w:space="0" w:color="auto"/>
      </w:divBdr>
    </w:div>
    <w:div w:id="1279986751">
      <w:bodyDiv w:val="1"/>
      <w:marLeft w:val="0"/>
      <w:marRight w:val="0"/>
      <w:marTop w:val="0"/>
      <w:marBottom w:val="0"/>
      <w:divBdr>
        <w:top w:val="none" w:sz="0" w:space="0" w:color="auto"/>
        <w:left w:val="none" w:sz="0" w:space="0" w:color="auto"/>
        <w:bottom w:val="none" w:sz="0" w:space="0" w:color="auto"/>
        <w:right w:val="none" w:sz="0" w:space="0" w:color="auto"/>
      </w:divBdr>
    </w:div>
    <w:div w:id="1281573772">
      <w:bodyDiv w:val="1"/>
      <w:marLeft w:val="0"/>
      <w:marRight w:val="0"/>
      <w:marTop w:val="0"/>
      <w:marBottom w:val="0"/>
      <w:divBdr>
        <w:top w:val="none" w:sz="0" w:space="0" w:color="auto"/>
        <w:left w:val="none" w:sz="0" w:space="0" w:color="auto"/>
        <w:bottom w:val="none" w:sz="0" w:space="0" w:color="auto"/>
        <w:right w:val="none" w:sz="0" w:space="0" w:color="auto"/>
      </w:divBdr>
    </w:div>
    <w:div w:id="1282805463">
      <w:bodyDiv w:val="1"/>
      <w:marLeft w:val="0"/>
      <w:marRight w:val="0"/>
      <w:marTop w:val="0"/>
      <w:marBottom w:val="0"/>
      <w:divBdr>
        <w:top w:val="none" w:sz="0" w:space="0" w:color="auto"/>
        <w:left w:val="none" w:sz="0" w:space="0" w:color="auto"/>
        <w:bottom w:val="none" w:sz="0" w:space="0" w:color="auto"/>
        <w:right w:val="none" w:sz="0" w:space="0" w:color="auto"/>
      </w:divBdr>
    </w:div>
    <w:div w:id="1283997612">
      <w:bodyDiv w:val="1"/>
      <w:marLeft w:val="0"/>
      <w:marRight w:val="0"/>
      <w:marTop w:val="0"/>
      <w:marBottom w:val="0"/>
      <w:divBdr>
        <w:top w:val="none" w:sz="0" w:space="0" w:color="auto"/>
        <w:left w:val="none" w:sz="0" w:space="0" w:color="auto"/>
        <w:bottom w:val="none" w:sz="0" w:space="0" w:color="auto"/>
        <w:right w:val="none" w:sz="0" w:space="0" w:color="auto"/>
      </w:divBdr>
    </w:div>
    <w:div w:id="1285578218">
      <w:bodyDiv w:val="1"/>
      <w:marLeft w:val="0"/>
      <w:marRight w:val="0"/>
      <w:marTop w:val="0"/>
      <w:marBottom w:val="0"/>
      <w:divBdr>
        <w:top w:val="none" w:sz="0" w:space="0" w:color="auto"/>
        <w:left w:val="none" w:sz="0" w:space="0" w:color="auto"/>
        <w:bottom w:val="none" w:sz="0" w:space="0" w:color="auto"/>
        <w:right w:val="none" w:sz="0" w:space="0" w:color="auto"/>
      </w:divBdr>
    </w:div>
    <w:div w:id="1285959481">
      <w:bodyDiv w:val="1"/>
      <w:marLeft w:val="0"/>
      <w:marRight w:val="0"/>
      <w:marTop w:val="0"/>
      <w:marBottom w:val="0"/>
      <w:divBdr>
        <w:top w:val="none" w:sz="0" w:space="0" w:color="auto"/>
        <w:left w:val="none" w:sz="0" w:space="0" w:color="auto"/>
        <w:bottom w:val="none" w:sz="0" w:space="0" w:color="auto"/>
        <w:right w:val="none" w:sz="0" w:space="0" w:color="auto"/>
      </w:divBdr>
    </w:div>
    <w:div w:id="1287657688">
      <w:bodyDiv w:val="1"/>
      <w:marLeft w:val="0"/>
      <w:marRight w:val="0"/>
      <w:marTop w:val="0"/>
      <w:marBottom w:val="0"/>
      <w:divBdr>
        <w:top w:val="none" w:sz="0" w:space="0" w:color="auto"/>
        <w:left w:val="none" w:sz="0" w:space="0" w:color="auto"/>
        <w:bottom w:val="none" w:sz="0" w:space="0" w:color="auto"/>
        <w:right w:val="none" w:sz="0" w:space="0" w:color="auto"/>
      </w:divBdr>
    </w:div>
    <w:div w:id="1290430203">
      <w:bodyDiv w:val="1"/>
      <w:marLeft w:val="0"/>
      <w:marRight w:val="0"/>
      <w:marTop w:val="0"/>
      <w:marBottom w:val="0"/>
      <w:divBdr>
        <w:top w:val="none" w:sz="0" w:space="0" w:color="auto"/>
        <w:left w:val="none" w:sz="0" w:space="0" w:color="auto"/>
        <w:bottom w:val="none" w:sz="0" w:space="0" w:color="auto"/>
        <w:right w:val="none" w:sz="0" w:space="0" w:color="auto"/>
      </w:divBdr>
    </w:div>
    <w:div w:id="1292054917">
      <w:bodyDiv w:val="1"/>
      <w:marLeft w:val="0"/>
      <w:marRight w:val="0"/>
      <w:marTop w:val="0"/>
      <w:marBottom w:val="0"/>
      <w:divBdr>
        <w:top w:val="none" w:sz="0" w:space="0" w:color="auto"/>
        <w:left w:val="none" w:sz="0" w:space="0" w:color="auto"/>
        <w:bottom w:val="none" w:sz="0" w:space="0" w:color="auto"/>
        <w:right w:val="none" w:sz="0" w:space="0" w:color="auto"/>
      </w:divBdr>
    </w:div>
    <w:div w:id="1293754705">
      <w:bodyDiv w:val="1"/>
      <w:marLeft w:val="0"/>
      <w:marRight w:val="0"/>
      <w:marTop w:val="0"/>
      <w:marBottom w:val="0"/>
      <w:divBdr>
        <w:top w:val="none" w:sz="0" w:space="0" w:color="auto"/>
        <w:left w:val="none" w:sz="0" w:space="0" w:color="auto"/>
        <w:bottom w:val="none" w:sz="0" w:space="0" w:color="auto"/>
        <w:right w:val="none" w:sz="0" w:space="0" w:color="auto"/>
      </w:divBdr>
    </w:div>
    <w:div w:id="1294017327">
      <w:bodyDiv w:val="1"/>
      <w:marLeft w:val="0"/>
      <w:marRight w:val="0"/>
      <w:marTop w:val="0"/>
      <w:marBottom w:val="0"/>
      <w:divBdr>
        <w:top w:val="none" w:sz="0" w:space="0" w:color="auto"/>
        <w:left w:val="none" w:sz="0" w:space="0" w:color="auto"/>
        <w:bottom w:val="none" w:sz="0" w:space="0" w:color="auto"/>
        <w:right w:val="none" w:sz="0" w:space="0" w:color="auto"/>
      </w:divBdr>
    </w:div>
    <w:div w:id="1296523181">
      <w:bodyDiv w:val="1"/>
      <w:marLeft w:val="0"/>
      <w:marRight w:val="0"/>
      <w:marTop w:val="0"/>
      <w:marBottom w:val="0"/>
      <w:divBdr>
        <w:top w:val="none" w:sz="0" w:space="0" w:color="auto"/>
        <w:left w:val="none" w:sz="0" w:space="0" w:color="auto"/>
        <w:bottom w:val="none" w:sz="0" w:space="0" w:color="auto"/>
        <w:right w:val="none" w:sz="0" w:space="0" w:color="auto"/>
      </w:divBdr>
    </w:div>
    <w:div w:id="129702652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636606">
      <w:bodyDiv w:val="1"/>
      <w:marLeft w:val="0"/>
      <w:marRight w:val="0"/>
      <w:marTop w:val="0"/>
      <w:marBottom w:val="0"/>
      <w:divBdr>
        <w:top w:val="none" w:sz="0" w:space="0" w:color="auto"/>
        <w:left w:val="none" w:sz="0" w:space="0" w:color="auto"/>
        <w:bottom w:val="none" w:sz="0" w:space="0" w:color="auto"/>
        <w:right w:val="none" w:sz="0" w:space="0" w:color="auto"/>
      </w:divBdr>
    </w:div>
    <w:div w:id="1298874176">
      <w:bodyDiv w:val="1"/>
      <w:marLeft w:val="0"/>
      <w:marRight w:val="0"/>
      <w:marTop w:val="0"/>
      <w:marBottom w:val="0"/>
      <w:divBdr>
        <w:top w:val="none" w:sz="0" w:space="0" w:color="auto"/>
        <w:left w:val="none" w:sz="0" w:space="0" w:color="auto"/>
        <w:bottom w:val="none" w:sz="0" w:space="0" w:color="auto"/>
        <w:right w:val="none" w:sz="0" w:space="0" w:color="auto"/>
      </w:divBdr>
    </w:div>
    <w:div w:id="1299845464">
      <w:bodyDiv w:val="1"/>
      <w:marLeft w:val="0"/>
      <w:marRight w:val="0"/>
      <w:marTop w:val="0"/>
      <w:marBottom w:val="0"/>
      <w:divBdr>
        <w:top w:val="none" w:sz="0" w:space="0" w:color="auto"/>
        <w:left w:val="none" w:sz="0" w:space="0" w:color="auto"/>
        <w:bottom w:val="none" w:sz="0" w:space="0" w:color="auto"/>
        <w:right w:val="none" w:sz="0" w:space="0" w:color="auto"/>
      </w:divBdr>
    </w:div>
    <w:div w:id="1302232727">
      <w:bodyDiv w:val="1"/>
      <w:marLeft w:val="0"/>
      <w:marRight w:val="0"/>
      <w:marTop w:val="0"/>
      <w:marBottom w:val="0"/>
      <w:divBdr>
        <w:top w:val="none" w:sz="0" w:space="0" w:color="auto"/>
        <w:left w:val="none" w:sz="0" w:space="0" w:color="auto"/>
        <w:bottom w:val="none" w:sz="0" w:space="0" w:color="auto"/>
        <w:right w:val="none" w:sz="0" w:space="0" w:color="auto"/>
      </w:divBdr>
    </w:div>
    <w:div w:id="1304889580">
      <w:bodyDiv w:val="1"/>
      <w:marLeft w:val="0"/>
      <w:marRight w:val="0"/>
      <w:marTop w:val="0"/>
      <w:marBottom w:val="0"/>
      <w:divBdr>
        <w:top w:val="none" w:sz="0" w:space="0" w:color="auto"/>
        <w:left w:val="none" w:sz="0" w:space="0" w:color="auto"/>
        <w:bottom w:val="none" w:sz="0" w:space="0" w:color="auto"/>
        <w:right w:val="none" w:sz="0" w:space="0" w:color="auto"/>
      </w:divBdr>
    </w:div>
    <w:div w:id="1305893311">
      <w:bodyDiv w:val="1"/>
      <w:marLeft w:val="0"/>
      <w:marRight w:val="0"/>
      <w:marTop w:val="0"/>
      <w:marBottom w:val="0"/>
      <w:divBdr>
        <w:top w:val="none" w:sz="0" w:space="0" w:color="auto"/>
        <w:left w:val="none" w:sz="0" w:space="0" w:color="auto"/>
        <w:bottom w:val="none" w:sz="0" w:space="0" w:color="auto"/>
        <w:right w:val="none" w:sz="0" w:space="0" w:color="auto"/>
      </w:divBdr>
    </w:div>
    <w:div w:id="1308969569">
      <w:bodyDiv w:val="1"/>
      <w:marLeft w:val="0"/>
      <w:marRight w:val="0"/>
      <w:marTop w:val="0"/>
      <w:marBottom w:val="0"/>
      <w:divBdr>
        <w:top w:val="none" w:sz="0" w:space="0" w:color="auto"/>
        <w:left w:val="none" w:sz="0" w:space="0" w:color="auto"/>
        <w:bottom w:val="none" w:sz="0" w:space="0" w:color="auto"/>
        <w:right w:val="none" w:sz="0" w:space="0" w:color="auto"/>
      </w:divBdr>
    </w:div>
    <w:div w:id="1310750408">
      <w:bodyDiv w:val="1"/>
      <w:marLeft w:val="0"/>
      <w:marRight w:val="0"/>
      <w:marTop w:val="0"/>
      <w:marBottom w:val="0"/>
      <w:divBdr>
        <w:top w:val="none" w:sz="0" w:space="0" w:color="auto"/>
        <w:left w:val="none" w:sz="0" w:space="0" w:color="auto"/>
        <w:bottom w:val="none" w:sz="0" w:space="0" w:color="auto"/>
        <w:right w:val="none" w:sz="0" w:space="0" w:color="auto"/>
      </w:divBdr>
    </w:div>
    <w:div w:id="1310788651">
      <w:bodyDiv w:val="1"/>
      <w:marLeft w:val="0"/>
      <w:marRight w:val="0"/>
      <w:marTop w:val="0"/>
      <w:marBottom w:val="0"/>
      <w:divBdr>
        <w:top w:val="none" w:sz="0" w:space="0" w:color="auto"/>
        <w:left w:val="none" w:sz="0" w:space="0" w:color="auto"/>
        <w:bottom w:val="none" w:sz="0" w:space="0" w:color="auto"/>
        <w:right w:val="none" w:sz="0" w:space="0" w:color="auto"/>
      </w:divBdr>
    </w:div>
    <w:div w:id="1311639619">
      <w:bodyDiv w:val="1"/>
      <w:marLeft w:val="0"/>
      <w:marRight w:val="0"/>
      <w:marTop w:val="0"/>
      <w:marBottom w:val="0"/>
      <w:divBdr>
        <w:top w:val="none" w:sz="0" w:space="0" w:color="auto"/>
        <w:left w:val="none" w:sz="0" w:space="0" w:color="auto"/>
        <w:bottom w:val="none" w:sz="0" w:space="0" w:color="auto"/>
        <w:right w:val="none" w:sz="0" w:space="0" w:color="auto"/>
      </w:divBdr>
    </w:div>
    <w:div w:id="1312104337">
      <w:bodyDiv w:val="1"/>
      <w:marLeft w:val="0"/>
      <w:marRight w:val="0"/>
      <w:marTop w:val="0"/>
      <w:marBottom w:val="0"/>
      <w:divBdr>
        <w:top w:val="none" w:sz="0" w:space="0" w:color="auto"/>
        <w:left w:val="none" w:sz="0" w:space="0" w:color="auto"/>
        <w:bottom w:val="none" w:sz="0" w:space="0" w:color="auto"/>
        <w:right w:val="none" w:sz="0" w:space="0" w:color="auto"/>
      </w:divBdr>
    </w:div>
    <w:div w:id="1312177121">
      <w:bodyDiv w:val="1"/>
      <w:marLeft w:val="0"/>
      <w:marRight w:val="0"/>
      <w:marTop w:val="0"/>
      <w:marBottom w:val="0"/>
      <w:divBdr>
        <w:top w:val="none" w:sz="0" w:space="0" w:color="auto"/>
        <w:left w:val="none" w:sz="0" w:space="0" w:color="auto"/>
        <w:bottom w:val="none" w:sz="0" w:space="0" w:color="auto"/>
        <w:right w:val="none" w:sz="0" w:space="0" w:color="auto"/>
      </w:divBdr>
    </w:div>
    <w:div w:id="1312634776">
      <w:bodyDiv w:val="1"/>
      <w:marLeft w:val="0"/>
      <w:marRight w:val="0"/>
      <w:marTop w:val="0"/>
      <w:marBottom w:val="0"/>
      <w:divBdr>
        <w:top w:val="none" w:sz="0" w:space="0" w:color="auto"/>
        <w:left w:val="none" w:sz="0" w:space="0" w:color="auto"/>
        <w:bottom w:val="none" w:sz="0" w:space="0" w:color="auto"/>
        <w:right w:val="none" w:sz="0" w:space="0" w:color="auto"/>
      </w:divBdr>
    </w:div>
    <w:div w:id="1317106950">
      <w:bodyDiv w:val="1"/>
      <w:marLeft w:val="0"/>
      <w:marRight w:val="0"/>
      <w:marTop w:val="0"/>
      <w:marBottom w:val="0"/>
      <w:divBdr>
        <w:top w:val="none" w:sz="0" w:space="0" w:color="auto"/>
        <w:left w:val="none" w:sz="0" w:space="0" w:color="auto"/>
        <w:bottom w:val="none" w:sz="0" w:space="0" w:color="auto"/>
        <w:right w:val="none" w:sz="0" w:space="0" w:color="auto"/>
      </w:divBdr>
    </w:div>
    <w:div w:id="1319840509">
      <w:bodyDiv w:val="1"/>
      <w:marLeft w:val="0"/>
      <w:marRight w:val="0"/>
      <w:marTop w:val="0"/>
      <w:marBottom w:val="0"/>
      <w:divBdr>
        <w:top w:val="none" w:sz="0" w:space="0" w:color="auto"/>
        <w:left w:val="none" w:sz="0" w:space="0" w:color="auto"/>
        <w:bottom w:val="none" w:sz="0" w:space="0" w:color="auto"/>
        <w:right w:val="none" w:sz="0" w:space="0" w:color="auto"/>
      </w:divBdr>
    </w:div>
    <w:div w:id="1322780237">
      <w:bodyDiv w:val="1"/>
      <w:marLeft w:val="0"/>
      <w:marRight w:val="0"/>
      <w:marTop w:val="0"/>
      <w:marBottom w:val="0"/>
      <w:divBdr>
        <w:top w:val="none" w:sz="0" w:space="0" w:color="auto"/>
        <w:left w:val="none" w:sz="0" w:space="0" w:color="auto"/>
        <w:bottom w:val="none" w:sz="0" w:space="0" w:color="auto"/>
        <w:right w:val="none" w:sz="0" w:space="0" w:color="auto"/>
      </w:divBdr>
    </w:div>
    <w:div w:id="1323512626">
      <w:bodyDiv w:val="1"/>
      <w:marLeft w:val="0"/>
      <w:marRight w:val="0"/>
      <w:marTop w:val="0"/>
      <w:marBottom w:val="0"/>
      <w:divBdr>
        <w:top w:val="none" w:sz="0" w:space="0" w:color="auto"/>
        <w:left w:val="none" w:sz="0" w:space="0" w:color="auto"/>
        <w:bottom w:val="none" w:sz="0" w:space="0" w:color="auto"/>
        <w:right w:val="none" w:sz="0" w:space="0" w:color="auto"/>
      </w:divBdr>
    </w:div>
    <w:div w:id="1324624774">
      <w:bodyDiv w:val="1"/>
      <w:marLeft w:val="0"/>
      <w:marRight w:val="0"/>
      <w:marTop w:val="0"/>
      <w:marBottom w:val="0"/>
      <w:divBdr>
        <w:top w:val="none" w:sz="0" w:space="0" w:color="auto"/>
        <w:left w:val="none" w:sz="0" w:space="0" w:color="auto"/>
        <w:bottom w:val="none" w:sz="0" w:space="0" w:color="auto"/>
        <w:right w:val="none" w:sz="0" w:space="0" w:color="auto"/>
      </w:divBdr>
    </w:div>
    <w:div w:id="1325623033">
      <w:bodyDiv w:val="1"/>
      <w:marLeft w:val="0"/>
      <w:marRight w:val="0"/>
      <w:marTop w:val="0"/>
      <w:marBottom w:val="0"/>
      <w:divBdr>
        <w:top w:val="none" w:sz="0" w:space="0" w:color="auto"/>
        <w:left w:val="none" w:sz="0" w:space="0" w:color="auto"/>
        <w:bottom w:val="none" w:sz="0" w:space="0" w:color="auto"/>
        <w:right w:val="none" w:sz="0" w:space="0" w:color="auto"/>
      </w:divBdr>
    </w:div>
    <w:div w:id="1328245505">
      <w:bodyDiv w:val="1"/>
      <w:marLeft w:val="0"/>
      <w:marRight w:val="0"/>
      <w:marTop w:val="0"/>
      <w:marBottom w:val="0"/>
      <w:divBdr>
        <w:top w:val="none" w:sz="0" w:space="0" w:color="auto"/>
        <w:left w:val="none" w:sz="0" w:space="0" w:color="auto"/>
        <w:bottom w:val="none" w:sz="0" w:space="0" w:color="auto"/>
        <w:right w:val="none" w:sz="0" w:space="0" w:color="auto"/>
      </w:divBdr>
    </w:div>
    <w:div w:id="1330862661">
      <w:bodyDiv w:val="1"/>
      <w:marLeft w:val="0"/>
      <w:marRight w:val="0"/>
      <w:marTop w:val="0"/>
      <w:marBottom w:val="0"/>
      <w:divBdr>
        <w:top w:val="none" w:sz="0" w:space="0" w:color="auto"/>
        <w:left w:val="none" w:sz="0" w:space="0" w:color="auto"/>
        <w:bottom w:val="none" w:sz="0" w:space="0" w:color="auto"/>
        <w:right w:val="none" w:sz="0" w:space="0" w:color="auto"/>
      </w:divBdr>
    </w:div>
    <w:div w:id="1332374982">
      <w:bodyDiv w:val="1"/>
      <w:marLeft w:val="0"/>
      <w:marRight w:val="0"/>
      <w:marTop w:val="0"/>
      <w:marBottom w:val="0"/>
      <w:divBdr>
        <w:top w:val="none" w:sz="0" w:space="0" w:color="auto"/>
        <w:left w:val="none" w:sz="0" w:space="0" w:color="auto"/>
        <w:bottom w:val="none" w:sz="0" w:space="0" w:color="auto"/>
        <w:right w:val="none" w:sz="0" w:space="0" w:color="auto"/>
      </w:divBdr>
    </w:div>
    <w:div w:id="1333141270">
      <w:bodyDiv w:val="1"/>
      <w:marLeft w:val="0"/>
      <w:marRight w:val="0"/>
      <w:marTop w:val="0"/>
      <w:marBottom w:val="0"/>
      <w:divBdr>
        <w:top w:val="none" w:sz="0" w:space="0" w:color="auto"/>
        <w:left w:val="none" w:sz="0" w:space="0" w:color="auto"/>
        <w:bottom w:val="none" w:sz="0" w:space="0" w:color="auto"/>
        <w:right w:val="none" w:sz="0" w:space="0" w:color="auto"/>
      </w:divBdr>
    </w:div>
    <w:div w:id="1337075041">
      <w:bodyDiv w:val="1"/>
      <w:marLeft w:val="0"/>
      <w:marRight w:val="0"/>
      <w:marTop w:val="0"/>
      <w:marBottom w:val="0"/>
      <w:divBdr>
        <w:top w:val="none" w:sz="0" w:space="0" w:color="auto"/>
        <w:left w:val="none" w:sz="0" w:space="0" w:color="auto"/>
        <w:bottom w:val="none" w:sz="0" w:space="0" w:color="auto"/>
        <w:right w:val="none" w:sz="0" w:space="0" w:color="auto"/>
      </w:divBdr>
    </w:div>
    <w:div w:id="1338577047">
      <w:bodyDiv w:val="1"/>
      <w:marLeft w:val="0"/>
      <w:marRight w:val="0"/>
      <w:marTop w:val="0"/>
      <w:marBottom w:val="0"/>
      <w:divBdr>
        <w:top w:val="none" w:sz="0" w:space="0" w:color="auto"/>
        <w:left w:val="none" w:sz="0" w:space="0" w:color="auto"/>
        <w:bottom w:val="none" w:sz="0" w:space="0" w:color="auto"/>
        <w:right w:val="none" w:sz="0" w:space="0" w:color="auto"/>
      </w:divBdr>
    </w:div>
    <w:div w:id="1344358972">
      <w:bodyDiv w:val="1"/>
      <w:marLeft w:val="0"/>
      <w:marRight w:val="0"/>
      <w:marTop w:val="0"/>
      <w:marBottom w:val="0"/>
      <w:divBdr>
        <w:top w:val="none" w:sz="0" w:space="0" w:color="auto"/>
        <w:left w:val="none" w:sz="0" w:space="0" w:color="auto"/>
        <w:bottom w:val="none" w:sz="0" w:space="0" w:color="auto"/>
        <w:right w:val="none" w:sz="0" w:space="0" w:color="auto"/>
      </w:divBdr>
    </w:div>
    <w:div w:id="134466810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130344">
      <w:bodyDiv w:val="1"/>
      <w:marLeft w:val="0"/>
      <w:marRight w:val="0"/>
      <w:marTop w:val="0"/>
      <w:marBottom w:val="0"/>
      <w:divBdr>
        <w:top w:val="none" w:sz="0" w:space="0" w:color="auto"/>
        <w:left w:val="none" w:sz="0" w:space="0" w:color="auto"/>
        <w:bottom w:val="none" w:sz="0" w:space="0" w:color="auto"/>
        <w:right w:val="none" w:sz="0" w:space="0" w:color="auto"/>
      </w:divBdr>
    </w:div>
    <w:div w:id="1346321391">
      <w:bodyDiv w:val="1"/>
      <w:marLeft w:val="0"/>
      <w:marRight w:val="0"/>
      <w:marTop w:val="0"/>
      <w:marBottom w:val="0"/>
      <w:divBdr>
        <w:top w:val="none" w:sz="0" w:space="0" w:color="auto"/>
        <w:left w:val="none" w:sz="0" w:space="0" w:color="auto"/>
        <w:bottom w:val="none" w:sz="0" w:space="0" w:color="auto"/>
        <w:right w:val="none" w:sz="0" w:space="0" w:color="auto"/>
      </w:divBdr>
    </w:div>
    <w:div w:id="1346903165">
      <w:bodyDiv w:val="1"/>
      <w:marLeft w:val="0"/>
      <w:marRight w:val="0"/>
      <w:marTop w:val="0"/>
      <w:marBottom w:val="0"/>
      <w:divBdr>
        <w:top w:val="none" w:sz="0" w:space="0" w:color="auto"/>
        <w:left w:val="none" w:sz="0" w:space="0" w:color="auto"/>
        <w:bottom w:val="none" w:sz="0" w:space="0" w:color="auto"/>
        <w:right w:val="none" w:sz="0" w:space="0" w:color="auto"/>
      </w:divBdr>
    </w:div>
    <w:div w:id="1348172893">
      <w:bodyDiv w:val="1"/>
      <w:marLeft w:val="0"/>
      <w:marRight w:val="0"/>
      <w:marTop w:val="0"/>
      <w:marBottom w:val="0"/>
      <w:divBdr>
        <w:top w:val="none" w:sz="0" w:space="0" w:color="auto"/>
        <w:left w:val="none" w:sz="0" w:space="0" w:color="auto"/>
        <w:bottom w:val="none" w:sz="0" w:space="0" w:color="auto"/>
        <w:right w:val="none" w:sz="0" w:space="0" w:color="auto"/>
      </w:divBdr>
    </w:div>
    <w:div w:id="1349255676">
      <w:bodyDiv w:val="1"/>
      <w:marLeft w:val="0"/>
      <w:marRight w:val="0"/>
      <w:marTop w:val="0"/>
      <w:marBottom w:val="0"/>
      <w:divBdr>
        <w:top w:val="none" w:sz="0" w:space="0" w:color="auto"/>
        <w:left w:val="none" w:sz="0" w:space="0" w:color="auto"/>
        <w:bottom w:val="none" w:sz="0" w:space="0" w:color="auto"/>
        <w:right w:val="none" w:sz="0" w:space="0" w:color="auto"/>
      </w:divBdr>
    </w:div>
    <w:div w:id="1349722767">
      <w:bodyDiv w:val="1"/>
      <w:marLeft w:val="0"/>
      <w:marRight w:val="0"/>
      <w:marTop w:val="0"/>
      <w:marBottom w:val="0"/>
      <w:divBdr>
        <w:top w:val="none" w:sz="0" w:space="0" w:color="auto"/>
        <w:left w:val="none" w:sz="0" w:space="0" w:color="auto"/>
        <w:bottom w:val="none" w:sz="0" w:space="0" w:color="auto"/>
        <w:right w:val="none" w:sz="0" w:space="0" w:color="auto"/>
      </w:divBdr>
    </w:div>
    <w:div w:id="1355308252">
      <w:bodyDiv w:val="1"/>
      <w:marLeft w:val="0"/>
      <w:marRight w:val="0"/>
      <w:marTop w:val="0"/>
      <w:marBottom w:val="0"/>
      <w:divBdr>
        <w:top w:val="none" w:sz="0" w:space="0" w:color="auto"/>
        <w:left w:val="none" w:sz="0" w:space="0" w:color="auto"/>
        <w:bottom w:val="none" w:sz="0" w:space="0" w:color="auto"/>
        <w:right w:val="none" w:sz="0" w:space="0" w:color="auto"/>
      </w:divBdr>
    </w:div>
    <w:div w:id="1361319160">
      <w:bodyDiv w:val="1"/>
      <w:marLeft w:val="0"/>
      <w:marRight w:val="0"/>
      <w:marTop w:val="0"/>
      <w:marBottom w:val="0"/>
      <w:divBdr>
        <w:top w:val="none" w:sz="0" w:space="0" w:color="auto"/>
        <w:left w:val="none" w:sz="0" w:space="0" w:color="auto"/>
        <w:bottom w:val="none" w:sz="0" w:space="0" w:color="auto"/>
        <w:right w:val="none" w:sz="0" w:space="0" w:color="auto"/>
      </w:divBdr>
    </w:div>
    <w:div w:id="1362122946">
      <w:bodyDiv w:val="1"/>
      <w:marLeft w:val="0"/>
      <w:marRight w:val="0"/>
      <w:marTop w:val="0"/>
      <w:marBottom w:val="0"/>
      <w:divBdr>
        <w:top w:val="none" w:sz="0" w:space="0" w:color="auto"/>
        <w:left w:val="none" w:sz="0" w:space="0" w:color="auto"/>
        <w:bottom w:val="none" w:sz="0" w:space="0" w:color="auto"/>
        <w:right w:val="none" w:sz="0" w:space="0" w:color="auto"/>
      </w:divBdr>
    </w:div>
    <w:div w:id="1366250757">
      <w:bodyDiv w:val="1"/>
      <w:marLeft w:val="0"/>
      <w:marRight w:val="0"/>
      <w:marTop w:val="0"/>
      <w:marBottom w:val="0"/>
      <w:divBdr>
        <w:top w:val="none" w:sz="0" w:space="0" w:color="auto"/>
        <w:left w:val="none" w:sz="0" w:space="0" w:color="auto"/>
        <w:bottom w:val="none" w:sz="0" w:space="0" w:color="auto"/>
        <w:right w:val="none" w:sz="0" w:space="0" w:color="auto"/>
      </w:divBdr>
    </w:div>
    <w:div w:id="1366826122">
      <w:bodyDiv w:val="1"/>
      <w:marLeft w:val="0"/>
      <w:marRight w:val="0"/>
      <w:marTop w:val="0"/>
      <w:marBottom w:val="0"/>
      <w:divBdr>
        <w:top w:val="none" w:sz="0" w:space="0" w:color="auto"/>
        <w:left w:val="none" w:sz="0" w:space="0" w:color="auto"/>
        <w:bottom w:val="none" w:sz="0" w:space="0" w:color="auto"/>
        <w:right w:val="none" w:sz="0" w:space="0" w:color="auto"/>
      </w:divBdr>
    </w:div>
    <w:div w:id="1371757339">
      <w:bodyDiv w:val="1"/>
      <w:marLeft w:val="0"/>
      <w:marRight w:val="0"/>
      <w:marTop w:val="0"/>
      <w:marBottom w:val="0"/>
      <w:divBdr>
        <w:top w:val="none" w:sz="0" w:space="0" w:color="auto"/>
        <w:left w:val="none" w:sz="0" w:space="0" w:color="auto"/>
        <w:bottom w:val="none" w:sz="0" w:space="0" w:color="auto"/>
        <w:right w:val="none" w:sz="0" w:space="0" w:color="auto"/>
      </w:divBdr>
    </w:div>
    <w:div w:id="1371800969">
      <w:bodyDiv w:val="1"/>
      <w:marLeft w:val="0"/>
      <w:marRight w:val="0"/>
      <w:marTop w:val="0"/>
      <w:marBottom w:val="0"/>
      <w:divBdr>
        <w:top w:val="none" w:sz="0" w:space="0" w:color="auto"/>
        <w:left w:val="none" w:sz="0" w:space="0" w:color="auto"/>
        <w:bottom w:val="none" w:sz="0" w:space="0" w:color="auto"/>
        <w:right w:val="none" w:sz="0" w:space="0" w:color="auto"/>
      </w:divBdr>
    </w:div>
    <w:div w:id="1373261779">
      <w:bodyDiv w:val="1"/>
      <w:marLeft w:val="0"/>
      <w:marRight w:val="0"/>
      <w:marTop w:val="0"/>
      <w:marBottom w:val="0"/>
      <w:divBdr>
        <w:top w:val="none" w:sz="0" w:space="0" w:color="auto"/>
        <w:left w:val="none" w:sz="0" w:space="0" w:color="auto"/>
        <w:bottom w:val="none" w:sz="0" w:space="0" w:color="auto"/>
        <w:right w:val="none" w:sz="0" w:space="0" w:color="auto"/>
      </w:divBdr>
    </w:div>
    <w:div w:id="1377314069">
      <w:bodyDiv w:val="1"/>
      <w:marLeft w:val="0"/>
      <w:marRight w:val="0"/>
      <w:marTop w:val="0"/>
      <w:marBottom w:val="0"/>
      <w:divBdr>
        <w:top w:val="none" w:sz="0" w:space="0" w:color="auto"/>
        <w:left w:val="none" w:sz="0" w:space="0" w:color="auto"/>
        <w:bottom w:val="none" w:sz="0" w:space="0" w:color="auto"/>
        <w:right w:val="none" w:sz="0" w:space="0" w:color="auto"/>
      </w:divBdr>
    </w:div>
    <w:div w:id="1378429839">
      <w:bodyDiv w:val="1"/>
      <w:marLeft w:val="0"/>
      <w:marRight w:val="0"/>
      <w:marTop w:val="0"/>
      <w:marBottom w:val="0"/>
      <w:divBdr>
        <w:top w:val="none" w:sz="0" w:space="0" w:color="auto"/>
        <w:left w:val="none" w:sz="0" w:space="0" w:color="auto"/>
        <w:bottom w:val="none" w:sz="0" w:space="0" w:color="auto"/>
        <w:right w:val="none" w:sz="0" w:space="0" w:color="auto"/>
      </w:divBdr>
    </w:div>
    <w:div w:id="1379284774">
      <w:bodyDiv w:val="1"/>
      <w:marLeft w:val="0"/>
      <w:marRight w:val="0"/>
      <w:marTop w:val="0"/>
      <w:marBottom w:val="0"/>
      <w:divBdr>
        <w:top w:val="none" w:sz="0" w:space="0" w:color="auto"/>
        <w:left w:val="none" w:sz="0" w:space="0" w:color="auto"/>
        <w:bottom w:val="none" w:sz="0" w:space="0" w:color="auto"/>
        <w:right w:val="none" w:sz="0" w:space="0" w:color="auto"/>
      </w:divBdr>
    </w:div>
    <w:div w:id="1379865337">
      <w:bodyDiv w:val="1"/>
      <w:marLeft w:val="0"/>
      <w:marRight w:val="0"/>
      <w:marTop w:val="0"/>
      <w:marBottom w:val="0"/>
      <w:divBdr>
        <w:top w:val="none" w:sz="0" w:space="0" w:color="auto"/>
        <w:left w:val="none" w:sz="0" w:space="0" w:color="auto"/>
        <w:bottom w:val="none" w:sz="0" w:space="0" w:color="auto"/>
        <w:right w:val="none" w:sz="0" w:space="0" w:color="auto"/>
      </w:divBdr>
    </w:div>
    <w:div w:id="1384137366">
      <w:bodyDiv w:val="1"/>
      <w:marLeft w:val="0"/>
      <w:marRight w:val="0"/>
      <w:marTop w:val="0"/>
      <w:marBottom w:val="0"/>
      <w:divBdr>
        <w:top w:val="none" w:sz="0" w:space="0" w:color="auto"/>
        <w:left w:val="none" w:sz="0" w:space="0" w:color="auto"/>
        <w:bottom w:val="none" w:sz="0" w:space="0" w:color="auto"/>
        <w:right w:val="none" w:sz="0" w:space="0" w:color="auto"/>
      </w:divBdr>
    </w:div>
    <w:div w:id="1384479443">
      <w:bodyDiv w:val="1"/>
      <w:marLeft w:val="0"/>
      <w:marRight w:val="0"/>
      <w:marTop w:val="0"/>
      <w:marBottom w:val="0"/>
      <w:divBdr>
        <w:top w:val="none" w:sz="0" w:space="0" w:color="auto"/>
        <w:left w:val="none" w:sz="0" w:space="0" w:color="auto"/>
        <w:bottom w:val="none" w:sz="0" w:space="0" w:color="auto"/>
        <w:right w:val="none" w:sz="0" w:space="0" w:color="auto"/>
      </w:divBdr>
    </w:div>
    <w:div w:id="1385442869">
      <w:bodyDiv w:val="1"/>
      <w:marLeft w:val="0"/>
      <w:marRight w:val="0"/>
      <w:marTop w:val="0"/>
      <w:marBottom w:val="0"/>
      <w:divBdr>
        <w:top w:val="none" w:sz="0" w:space="0" w:color="auto"/>
        <w:left w:val="none" w:sz="0" w:space="0" w:color="auto"/>
        <w:bottom w:val="none" w:sz="0" w:space="0" w:color="auto"/>
        <w:right w:val="none" w:sz="0" w:space="0" w:color="auto"/>
      </w:divBdr>
    </w:div>
    <w:div w:id="1385450070">
      <w:bodyDiv w:val="1"/>
      <w:marLeft w:val="0"/>
      <w:marRight w:val="0"/>
      <w:marTop w:val="0"/>
      <w:marBottom w:val="0"/>
      <w:divBdr>
        <w:top w:val="none" w:sz="0" w:space="0" w:color="auto"/>
        <w:left w:val="none" w:sz="0" w:space="0" w:color="auto"/>
        <w:bottom w:val="none" w:sz="0" w:space="0" w:color="auto"/>
        <w:right w:val="none" w:sz="0" w:space="0" w:color="auto"/>
      </w:divBdr>
    </w:div>
    <w:div w:id="1387491199">
      <w:bodyDiv w:val="1"/>
      <w:marLeft w:val="0"/>
      <w:marRight w:val="0"/>
      <w:marTop w:val="0"/>
      <w:marBottom w:val="0"/>
      <w:divBdr>
        <w:top w:val="none" w:sz="0" w:space="0" w:color="auto"/>
        <w:left w:val="none" w:sz="0" w:space="0" w:color="auto"/>
        <w:bottom w:val="none" w:sz="0" w:space="0" w:color="auto"/>
        <w:right w:val="none" w:sz="0" w:space="0" w:color="auto"/>
      </w:divBdr>
    </w:div>
    <w:div w:id="1387870556">
      <w:bodyDiv w:val="1"/>
      <w:marLeft w:val="0"/>
      <w:marRight w:val="0"/>
      <w:marTop w:val="0"/>
      <w:marBottom w:val="0"/>
      <w:divBdr>
        <w:top w:val="none" w:sz="0" w:space="0" w:color="auto"/>
        <w:left w:val="none" w:sz="0" w:space="0" w:color="auto"/>
        <w:bottom w:val="none" w:sz="0" w:space="0" w:color="auto"/>
        <w:right w:val="none" w:sz="0" w:space="0" w:color="auto"/>
      </w:divBdr>
    </w:div>
    <w:div w:id="1388602799">
      <w:bodyDiv w:val="1"/>
      <w:marLeft w:val="0"/>
      <w:marRight w:val="0"/>
      <w:marTop w:val="0"/>
      <w:marBottom w:val="0"/>
      <w:divBdr>
        <w:top w:val="none" w:sz="0" w:space="0" w:color="auto"/>
        <w:left w:val="none" w:sz="0" w:space="0" w:color="auto"/>
        <w:bottom w:val="none" w:sz="0" w:space="0" w:color="auto"/>
        <w:right w:val="none" w:sz="0" w:space="0" w:color="auto"/>
      </w:divBdr>
    </w:div>
    <w:div w:id="1390105600">
      <w:bodyDiv w:val="1"/>
      <w:marLeft w:val="0"/>
      <w:marRight w:val="0"/>
      <w:marTop w:val="0"/>
      <w:marBottom w:val="0"/>
      <w:divBdr>
        <w:top w:val="none" w:sz="0" w:space="0" w:color="auto"/>
        <w:left w:val="none" w:sz="0" w:space="0" w:color="auto"/>
        <w:bottom w:val="none" w:sz="0" w:space="0" w:color="auto"/>
        <w:right w:val="none" w:sz="0" w:space="0" w:color="auto"/>
      </w:divBdr>
    </w:div>
    <w:div w:id="1390500325">
      <w:bodyDiv w:val="1"/>
      <w:marLeft w:val="0"/>
      <w:marRight w:val="0"/>
      <w:marTop w:val="0"/>
      <w:marBottom w:val="0"/>
      <w:divBdr>
        <w:top w:val="none" w:sz="0" w:space="0" w:color="auto"/>
        <w:left w:val="none" w:sz="0" w:space="0" w:color="auto"/>
        <w:bottom w:val="none" w:sz="0" w:space="0" w:color="auto"/>
        <w:right w:val="none" w:sz="0" w:space="0" w:color="auto"/>
      </w:divBdr>
    </w:div>
    <w:div w:id="1391266795">
      <w:bodyDiv w:val="1"/>
      <w:marLeft w:val="0"/>
      <w:marRight w:val="0"/>
      <w:marTop w:val="0"/>
      <w:marBottom w:val="0"/>
      <w:divBdr>
        <w:top w:val="none" w:sz="0" w:space="0" w:color="auto"/>
        <w:left w:val="none" w:sz="0" w:space="0" w:color="auto"/>
        <w:bottom w:val="none" w:sz="0" w:space="0" w:color="auto"/>
        <w:right w:val="none" w:sz="0" w:space="0" w:color="auto"/>
      </w:divBdr>
    </w:div>
    <w:div w:id="1394351795">
      <w:bodyDiv w:val="1"/>
      <w:marLeft w:val="0"/>
      <w:marRight w:val="0"/>
      <w:marTop w:val="0"/>
      <w:marBottom w:val="0"/>
      <w:divBdr>
        <w:top w:val="none" w:sz="0" w:space="0" w:color="auto"/>
        <w:left w:val="none" w:sz="0" w:space="0" w:color="auto"/>
        <w:bottom w:val="none" w:sz="0" w:space="0" w:color="auto"/>
        <w:right w:val="none" w:sz="0" w:space="0" w:color="auto"/>
      </w:divBdr>
    </w:div>
    <w:div w:id="1398211647">
      <w:bodyDiv w:val="1"/>
      <w:marLeft w:val="0"/>
      <w:marRight w:val="0"/>
      <w:marTop w:val="0"/>
      <w:marBottom w:val="0"/>
      <w:divBdr>
        <w:top w:val="none" w:sz="0" w:space="0" w:color="auto"/>
        <w:left w:val="none" w:sz="0" w:space="0" w:color="auto"/>
        <w:bottom w:val="none" w:sz="0" w:space="0" w:color="auto"/>
        <w:right w:val="none" w:sz="0" w:space="0" w:color="auto"/>
      </w:divBdr>
    </w:div>
    <w:div w:id="1399864556">
      <w:bodyDiv w:val="1"/>
      <w:marLeft w:val="0"/>
      <w:marRight w:val="0"/>
      <w:marTop w:val="0"/>
      <w:marBottom w:val="0"/>
      <w:divBdr>
        <w:top w:val="none" w:sz="0" w:space="0" w:color="auto"/>
        <w:left w:val="none" w:sz="0" w:space="0" w:color="auto"/>
        <w:bottom w:val="none" w:sz="0" w:space="0" w:color="auto"/>
        <w:right w:val="none" w:sz="0" w:space="0" w:color="auto"/>
      </w:divBdr>
    </w:div>
    <w:div w:id="1400903855">
      <w:bodyDiv w:val="1"/>
      <w:marLeft w:val="0"/>
      <w:marRight w:val="0"/>
      <w:marTop w:val="0"/>
      <w:marBottom w:val="0"/>
      <w:divBdr>
        <w:top w:val="none" w:sz="0" w:space="0" w:color="auto"/>
        <w:left w:val="none" w:sz="0" w:space="0" w:color="auto"/>
        <w:bottom w:val="none" w:sz="0" w:space="0" w:color="auto"/>
        <w:right w:val="none" w:sz="0" w:space="0" w:color="auto"/>
      </w:divBdr>
    </w:div>
    <w:div w:id="1401096178">
      <w:bodyDiv w:val="1"/>
      <w:marLeft w:val="0"/>
      <w:marRight w:val="0"/>
      <w:marTop w:val="0"/>
      <w:marBottom w:val="0"/>
      <w:divBdr>
        <w:top w:val="none" w:sz="0" w:space="0" w:color="auto"/>
        <w:left w:val="none" w:sz="0" w:space="0" w:color="auto"/>
        <w:bottom w:val="none" w:sz="0" w:space="0" w:color="auto"/>
        <w:right w:val="none" w:sz="0" w:space="0" w:color="auto"/>
      </w:divBdr>
    </w:div>
    <w:div w:id="1402175138">
      <w:bodyDiv w:val="1"/>
      <w:marLeft w:val="0"/>
      <w:marRight w:val="0"/>
      <w:marTop w:val="0"/>
      <w:marBottom w:val="0"/>
      <w:divBdr>
        <w:top w:val="none" w:sz="0" w:space="0" w:color="auto"/>
        <w:left w:val="none" w:sz="0" w:space="0" w:color="auto"/>
        <w:bottom w:val="none" w:sz="0" w:space="0" w:color="auto"/>
        <w:right w:val="none" w:sz="0" w:space="0" w:color="auto"/>
      </w:divBdr>
    </w:div>
    <w:div w:id="1403259922">
      <w:bodyDiv w:val="1"/>
      <w:marLeft w:val="0"/>
      <w:marRight w:val="0"/>
      <w:marTop w:val="0"/>
      <w:marBottom w:val="0"/>
      <w:divBdr>
        <w:top w:val="none" w:sz="0" w:space="0" w:color="auto"/>
        <w:left w:val="none" w:sz="0" w:space="0" w:color="auto"/>
        <w:bottom w:val="none" w:sz="0" w:space="0" w:color="auto"/>
        <w:right w:val="none" w:sz="0" w:space="0" w:color="auto"/>
      </w:divBdr>
    </w:div>
    <w:div w:id="1406993225">
      <w:bodyDiv w:val="1"/>
      <w:marLeft w:val="0"/>
      <w:marRight w:val="0"/>
      <w:marTop w:val="0"/>
      <w:marBottom w:val="0"/>
      <w:divBdr>
        <w:top w:val="none" w:sz="0" w:space="0" w:color="auto"/>
        <w:left w:val="none" w:sz="0" w:space="0" w:color="auto"/>
        <w:bottom w:val="none" w:sz="0" w:space="0" w:color="auto"/>
        <w:right w:val="none" w:sz="0" w:space="0" w:color="auto"/>
      </w:divBdr>
    </w:div>
    <w:div w:id="1407726522">
      <w:bodyDiv w:val="1"/>
      <w:marLeft w:val="0"/>
      <w:marRight w:val="0"/>
      <w:marTop w:val="0"/>
      <w:marBottom w:val="0"/>
      <w:divBdr>
        <w:top w:val="none" w:sz="0" w:space="0" w:color="auto"/>
        <w:left w:val="none" w:sz="0" w:space="0" w:color="auto"/>
        <w:bottom w:val="none" w:sz="0" w:space="0" w:color="auto"/>
        <w:right w:val="none" w:sz="0" w:space="0" w:color="auto"/>
      </w:divBdr>
    </w:div>
    <w:div w:id="140850068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813577">
      <w:bodyDiv w:val="1"/>
      <w:marLeft w:val="0"/>
      <w:marRight w:val="0"/>
      <w:marTop w:val="0"/>
      <w:marBottom w:val="0"/>
      <w:divBdr>
        <w:top w:val="none" w:sz="0" w:space="0" w:color="auto"/>
        <w:left w:val="none" w:sz="0" w:space="0" w:color="auto"/>
        <w:bottom w:val="none" w:sz="0" w:space="0" w:color="auto"/>
        <w:right w:val="none" w:sz="0" w:space="0" w:color="auto"/>
      </w:divBdr>
    </w:div>
    <w:div w:id="1414621608">
      <w:bodyDiv w:val="1"/>
      <w:marLeft w:val="0"/>
      <w:marRight w:val="0"/>
      <w:marTop w:val="0"/>
      <w:marBottom w:val="0"/>
      <w:divBdr>
        <w:top w:val="none" w:sz="0" w:space="0" w:color="auto"/>
        <w:left w:val="none" w:sz="0" w:space="0" w:color="auto"/>
        <w:bottom w:val="none" w:sz="0" w:space="0" w:color="auto"/>
        <w:right w:val="none" w:sz="0" w:space="0" w:color="auto"/>
      </w:divBdr>
    </w:div>
    <w:div w:id="1419864778">
      <w:bodyDiv w:val="1"/>
      <w:marLeft w:val="0"/>
      <w:marRight w:val="0"/>
      <w:marTop w:val="0"/>
      <w:marBottom w:val="0"/>
      <w:divBdr>
        <w:top w:val="none" w:sz="0" w:space="0" w:color="auto"/>
        <w:left w:val="none" w:sz="0" w:space="0" w:color="auto"/>
        <w:bottom w:val="none" w:sz="0" w:space="0" w:color="auto"/>
        <w:right w:val="none" w:sz="0" w:space="0" w:color="auto"/>
      </w:divBdr>
    </w:div>
    <w:div w:id="1422750339">
      <w:bodyDiv w:val="1"/>
      <w:marLeft w:val="0"/>
      <w:marRight w:val="0"/>
      <w:marTop w:val="0"/>
      <w:marBottom w:val="0"/>
      <w:divBdr>
        <w:top w:val="none" w:sz="0" w:space="0" w:color="auto"/>
        <w:left w:val="none" w:sz="0" w:space="0" w:color="auto"/>
        <w:bottom w:val="none" w:sz="0" w:space="0" w:color="auto"/>
        <w:right w:val="none" w:sz="0" w:space="0" w:color="auto"/>
      </w:divBdr>
    </w:div>
    <w:div w:id="1422870953">
      <w:bodyDiv w:val="1"/>
      <w:marLeft w:val="0"/>
      <w:marRight w:val="0"/>
      <w:marTop w:val="0"/>
      <w:marBottom w:val="0"/>
      <w:divBdr>
        <w:top w:val="none" w:sz="0" w:space="0" w:color="auto"/>
        <w:left w:val="none" w:sz="0" w:space="0" w:color="auto"/>
        <w:bottom w:val="none" w:sz="0" w:space="0" w:color="auto"/>
        <w:right w:val="none" w:sz="0" w:space="0" w:color="auto"/>
      </w:divBdr>
    </w:div>
    <w:div w:id="1423407652">
      <w:bodyDiv w:val="1"/>
      <w:marLeft w:val="0"/>
      <w:marRight w:val="0"/>
      <w:marTop w:val="0"/>
      <w:marBottom w:val="0"/>
      <w:divBdr>
        <w:top w:val="none" w:sz="0" w:space="0" w:color="auto"/>
        <w:left w:val="none" w:sz="0" w:space="0" w:color="auto"/>
        <w:bottom w:val="none" w:sz="0" w:space="0" w:color="auto"/>
        <w:right w:val="none" w:sz="0" w:space="0" w:color="auto"/>
      </w:divBdr>
    </w:div>
    <w:div w:id="1426341955">
      <w:bodyDiv w:val="1"/>
      <w:marLeft w:val="0"/>
      <w:marRight w:val="0"/>
      <w:marTop w:val="0"/>
      <w:marBottom w:val="0"/>
      <w:divBdr>
        <w:top w:val="none" w:sz="0" w:space="0" w:color="auto"/>
        <w:left w:val="none" w:sz="0" w:space="0" w:color="auto"/>
        <w:bottom w:val="none" w:sz="0" w:space="0" w:color="auto"/>
        <w:right w:val="none" w:sz="0" w:space="0" w:color="auto"/>
      </w:divBdr>
    </w:div>
    <w:div w:id="1428769029">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059730">
      <w:bodyDiv w:val="1"/>
      <w:marLeft w:val="0"/>
      <w:marRight w:val="0"/>
      <w:marTop w:val="0"/>
      <w:marBottom w:val="0"/>
      <w:divBdr>
        <w:top w:val="none" w:sz="0" w:space="0" w:color="auto"/>
        <w:left w:val="none" w:sz="0" w:space="0" w:color="auto"/>
        <w:bottom w:val="none" w:sz="0" w:space="0" w:color="auto"/>
        <w:right w:val="none" w:sz="0" w:space="0" w:color="auto"/>
      </w:divBdr>
    </w:div>
    <w:div w:id="1434663408">
      <w:bodyDiv w:val="1"/>
      <w:marLeft w:val="0"/>
      <w:marRight w:val="0"/>
      <w:marTop w:val="0"/>
      <w:marBottom w:val="0"/>
      <w:divBdr>
        <w:top w:val="none" w:sz="0" w:space="0" w:color="auto"/>
        <w:left w:val="none" w:sz="0" w:space="0" w:color="auto"/>
        <w:bottom w:val="none" w:sz="0" w:space="0" w:color="auto"/>
        <w:right w:val="none" w:sz="0" w:space="0" w:color="auto"/>
      </w:divBdr>
    </w:div>
    <w:div w:id="1437406395">
      <w:bodyDiv w:val="1"/>
      <w:marLeft w:val="0"/>
      <w:marRight w:val="0"/>
      <w:marTop w:val="0"/>
      <w:marBottom w:val="0"/>
      <w:divBdr>
        <w:top w:val="none" w:sz="0" w:space="0" w:color="auto"/>
        <w:left w:val="none" w:sz="0" w:space="0" w:color="auto"/>
        <w:bottom w:val="none" w:sz="0" w:space="0" w:color="auto"/>
        <w:right w:val="none" w:sz="0" w:space="0" w:color="auto"/>
      </w:divBdr>
    </w:div>
    <w:div w:id="144002570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609325">
      <w:bodyDiv w:val="1"/>
      <w:marLeft w:val="0"/>
      <w:marRight w:val="0"/>
      <w:marTop w:val="0"/>
      <w:marBottom w:val="0"/>
      <w:divBdr>
        <w:top w:val="none" w:sz="0" w:space="0" w:color="auto"/>
        <w:left w:val="none" w:sz="0" w:space="0" w:color="auto"/>
        <w:bottom w:val="none" w:sz="0" w:space="0" w:color="auto"/>
        <w:right w:val="none" w:sz="0" w:space="0" w:color="auto"/>
      </w:divBdr>
    </w:div>
    <w:div w:id="1447239607">
      <w:bodyDiv w:val="1"/>
      <w:marLeft w:val="0"/>
      <w:marRight w:val="0"/>
      <w:marTop w:val="0"/>
      <w:marBottom w:val="0"/>
      <w:divBdr>
        <w:top w:val="none" w:sz="0" w:space="0" w:color="auto"/>
        <w:left w:val="none" w:sz="0" w:space="0" w:color="auto"/>
        <w:bottom w:val="none" w:sz="0" w:space="0" w:color="auto"/>
        <w:right w:val="none" w:sz="0" w:space="0" w:color="auto"/>
      </w:divBdr>
    </w:div>
    <w:div w:id="1447966154">
      <w:bodyDiv w:val="1"/>
      <w:marLeft w:val="0"/>
      <w:marRight w:val="0"/>
      <w:marTop w:val="0"/>
      <w:marBottom w:val="0"/>
      <w:divBdr>
        <w:top w:val="none" w:sz="0" w:space="0" w:color="auto"/>
        <w:left w:val="none" w:sz="0" w:space="0" w:color="auto"/>
        <w:bottom w:val="none" w:sz="0" w:space="0" w:color="auto"/>
        <w:right w:val="none" w:sz="0" w:space="0" w:color="auto"/>
      </w:divBdr>
    </w:div>
    <w:div w:id="1456867523">
      <w:bodyDiv w:val="1"/>
      <w:marLeft w:val="0"/>
      <w:marRight w:val="0"/>
      <w:marTop w:val="0"/>
      <w:marBottom w:val="0"/>
      <w:divBdr>
        <w:top w:val="none" w:sz="0" w:space="0" w:color="auto"/>
        <w:left w:val="none" w:sz="0" w:space="0" w:color="auto"/>
        <w:bottom w:val="none" w:sz="0" w:space="0" w:color="auto"/>
        <w:right w:val="none" w:sz="0" w:space="0" w:color="auto"/>
      </w:divBdr>
    </w:div>
    <w:div w:id="1458254547">
      <w:bodyDiv w:val="1"/>
      <w:marLeft w:val="0"/>
      <w:marRight w:val="0"/>
      <w:marTop w:val="0"/>
      <w:marBottom w:val="0"/>
      <w:divBdr>
        <w:top w:val="none" w:sz="0" w:space="0" w:color="auto"/>
        <w:left w:val="none" w:sz="0" w:space="0" w:color="auto"/>
        <w:bottom w:val="none" w:sz="0" w:space="0" w:color="auto"/>
        <w:right w:val="none" w:sz="0" w:space="0" w:color="auto"/>
      </w:divBdr>
    </w:div>
    <w:div w:id="1461413472">
      <w:bodyDiv w:val="1"/>
      <w:marLeft w:val="0"/>
      <w:marRight w:val="0"/>
      <w:marTop w:val="0"/>
      <w:marBottom w:val="0"/>
      <w:divBdr>
        <w:top w:val="none" w:sz="0" w:space="0" w:color="auto"/>
        <w:left w:val="none" w:sz="0" w:space="0" w:color="auto"/>
        <w:bottom w:val="none" w:sz="0" w:space="0" w:color="auto"/>
        <w:right w:val="none" w:sz="0" w:space="0" w:color="auto"/>
      </w:divBdr>
    </w:div>
    <w:div w:id="1468204418">
      <w:bodyDiv w:val="1"/>
      <w:marLeft w:val="0"/>
      <w:marRight w:val="0"/>
      <w:marTop w:val="0"/>
      <w:marBottom w:val="0"/>
      <w:divBdr>
        <w:top w:val="none" w:sz="0" w:space="0" w:color="auto"/>
        <w:left w:val="none" w:sz="0" w:space="0" w:color="auto"/>
        <w:bottom w:val="none" w:sz="0" w:space="0" w:color="auto"/>
        <w:right w:val="none" w:sz="0" w:space="0" w:color="auto"/>
      </w:divBdr>
    </w:div>
    <w:div w:id="1468932543">
      <w:bodyDiv w:val="1"/>
      <w:marLeft w:val="0"/>
      <w:marRight w:val="0"/>
      <w:marTop w:val="0"/>
      <w:marBottom w:val="0"/>
      <w:divBdr>
        <w:top w:val="none" w:sz="0" w:space="0" w:color="auto"/>
        <w:left w:val="none" w:sz="0" w:space="0" w:color="auto"/>
        <w:bottom w:val="none" w:sz="0" w:space="0" w:color="auto"/>
        <w:right w:val="none" w:sz="0" w:space="0" w:color="auto"/>
      </w:divBdr>
    </w:div>
    <w:div w:id="1469204645">
      <w:bodyDiv w:val="1"/>
      <w:marLeft w:val="0"/>
      <w:marRight w:val="0"/>
      <w:marTop w:val="0"/>
      <w:marBottom w:val="0"/>
      <w:divBdr>
        <w:top w:val="none" w:sz="0" w:space="0" w:color="auto"/>
        <w:left w:val="none" w:sz="0" w:space="0" w:color="auto"/>
        <w:bottom w:val="none" w:sz="0" w:space="0" w:color="auto"/>
        <w:right w:val="none" w:sz="0" w:space="0" w:color="auto"/>
      </w:divBdr>
    </w:div>
    <w:div w:id="1469544190">
      <w:bodyDiv w:val="1"/>
      <w:marLeft w:val="0"/>
      <w:marRight w:val="0"/>
      <w:marTop w:val="0"/>
      <w:marBottom w:val="0"/>
      <w:divBdr>
        <w:top w:val="none" w:sz="0" w:space="0" w:color="auto"/>
        <w:left w:val="none" w:sz="0" w:space="0" w:color="auto"/>
        <w:bottom w:val="none" w:sz="0" w:space="0" w:color="auto"/>
        <w:right w:val="none" w:sz="0" w:space="0" w:color="auto"/>
      </w:divBdr>
    </w:div>
    <w:div w:id="1470173110">
      <w:bodyDiv w:val="1"/>
      <w:marLeft w:val="0"/>
      <w:marRight w:val="0"/>
      <w:marTop w:val="0"/>
      <w:marBottom w:val="0"/>
      <w:divBdr>
        <w:top w:val="none" w:sz="0" w:space="0" w:color="auto"/>
        <w:left w:val="none" w:sz="0" w:space="0" w:color="auto"/>
        <w:bottom w:val="none" w:sz="0" w:space="0" w:color="auto"/>
        <w:right w:val="none" w:sz="0" w:space="0" w:color="auto"/>
      </w:divBdr>
    </w:div>
    <w:div w:id="1470901433">
      <w:bodyDiv w:val="1"/>
      <w:marLeft w:val="0"/>
      <w:marRight w:val="0"/>
      <w:marTop w:val="0"/>
      <w:marBottom w:val="0"/>
      <w:divBdr>
        <w:top w:val="none" w:sz="0" w:space="0" w:color="auto"/>
        <w:left w:val="none" w:sz="0" w:space="0" w:color="auto"/>
        <w:bottom w:val="none" w:sz="0" w:space="0" w:color="auto"/>
        <w:right w:val="none" w:sz="0" w:space="0" w:color="auto"/>
      </w:divBdr>
    </w:div>
    <w:div w:id="1472091866">
      <w:bodyDiv w:val="1"/>
      <w:marLeft w:val="0"/>
      <w:marRight w:val="0"/>
      <w:marTop w:val="0"/>
      <w:marBottom w:val="0"/>
      <w:divBdr>
        <w:top w:val="none" w:sz="0" w:space="0" w:color="auto"/>
        <w:left w:val="none" w:sz="0" w:space="0" w:color="auto"/>
        <w:bottom w:val="none" w:sz="0" w:space="0" w:color="auto"/>
        <w:right w:val="none" w:sz="0" w:space="0" w:color="auto"/>
      </w:divBdr>
    </w:div>
    <w:div w:id="1473787079">
      <w:bodyDiv w:val="1"/>
      <w:marLeft w:val="0"/>
      <w:marRight w:val="0"/>
      <w:marTop w:val="0"/>
      <w:marBottom w:val="0"/>
      <w:divBdr>
        <w:top w:val="none" w:sz="0" w:space="0" w:color="auto"/>
        <w:left w:val="none" w:sz="0" w:space="0" w:color="auto"/>
        <w:bottom w:val="none" w:sz="0" w:space="0" w:color="auto"/>
        <w:right w:val="none" w:sz="0" w:space="0" w:color="auto"/>
      </w:divBdr>
    </w:div>
    <w:div w:id="1475902744">
      <w:bodyDiv w:val="1"/>
      <w:marLeft w:val="0"/>
      <w:marRight w:val="0"/>
      <w:marTop w:val="0"/>
      <w:marBottom w:val="0"/>
      <w:divBdr>
        <w:top w:val="none" w:sz="0" w:space="0" w:color="auto"/>
        <w:left w:val="none" w:sz="0" w:space="0" w:color="auto"/>
        <w:bottom w:val="none" w:sz="0" w:space="0" w:color="auto"/>
        <w:right w:val="none" w:sz="0" w:space="0" w:color="auto"/>
      </w:divBdr>
    </w:div>
    <w:div w:id="1476216611">
      <w:bodyDiv w:val="1"/>
      <w:marLeft w:val="0"/>
      <w:marRight w:val="0"/>
      <w:marTop w:val="0"/>
      <w:marBottom w:val="0"/>
      <w:divBdr>
        <w:top w:val="none" w:sz="0" w:space="0" w:color="auto"/>
        <w:left w:val="none" w:sz="0" w:space="0" w:color="auto"/>
        <w:bottom w:val="none" w:sz="0" w:space="0" w:color="auto"/>
        <w:right w:val="none" w:sz="0" w:space="0" w:color="auto"/>
      </w:divBdr>
    </w:div>
    <w:div w:id="1478301927">
      <w:bodyDiv w:val="1"/>
      <w:marLeft w:val="0"/>
      <w:marRight w:val="0"/>
      <w:marTop w:val="0"/>
      <w:marBottom w:val="0"/>
      <w:divBdr>
        <w:top w:val="none" w:sz="0" w:space="0" w:color="auto"/>
        <w:left w:val="none" w:sz="0" w:space="0" w:color="auto"/>
        <w:bottom w:val="none" w:sz="0" w:space="0" w:color="auto"/>
        <w:right w:val="none" w:sz="0" w:space="0" w:color="auto"/>
      </w:divBdr>
    </w:div>
    <w:div w:id="1480029984">
      <w:bodyDiv w:val="1"/>
      <w:marLeft w:val="0"/>
      <w:marRight w:val="0"/>
      <w:marTop w:val="0"/>
      <w:marBottom w:val="0"/>
      <w:divBdr>
        <w:top w:val="none" w:sz="0" w:space="0" w:color="auto"/>
        <w:left w:val="none" w:sz="0" w:space="0" w:color="auto"/>
        <w:bottom w:val="none" w:sz="0" w:space="0" w:color="auto"/>
        <w:right w:val="none" w:sz="0" w:space="0" w:color="auto"/>
      </w:divBdr>
    </w:div>
    <w:div w:id="1481925504">
      <w:bodyDiv w:val="1"/>
      <w:marLeft w:val="0"/>
      <w:marRight w:val="0"/>
      <w:marTop w:val="0"/>
      <w:marBottom w:val="0"/>
      <w:divBdr>
        <w:top w:val="none" w:sz="0" w:space="0" w:color="auto"/>
        <w:left w:val="none" w:sz="0" w:space="0" w:color="auto"/>
        <w:bottom w:val="none" w:sz="0" w:space="0" w:color="auto"/>
        <w:right w:val="none" w:sz="0" w:space="0" w:color="auto"/>
      </w:divBdr>
    </w:div>
    <w:div w:id="1484616206">
      <w:bodyDiv w:val="1"/>
      <w:marLeft w:val="0"/>
      <w:marRight w:val="0"/>
      <w:marTop w:val="0"/>
      <w:marBottom w:val="0"/>
      <w:divBdr>
        <w:top w:val="none" w:sz="0" w:space="0" w:color="auto"/>
        <w:left w:val="none" w:sz="0" w:space="0" w:color="auto"/>
        <w:bottom w:val="none" w:sz="0" w:space="0" w:color="auto"/>
        <w:right w:val="none" w:sz="0" w:space="0" w:color="auto"/>
      </w:divBdr>
    </w:div>
    <w:div w:id="1486432443">
      <w:bodyDiv w:val="1"/>
      <w:marLeft w:val="0"/>
      <w:marRight w:val="0"/>
      <w:marTop w:val="0"/>
      <w:marBottom w:val="0"/>
      <w:divBdr>
        <w:top w:val="none" w:sz="0" w:space="0" w:color="auto"/>
        <w:left w:val="none" w:sz="0" w:space="0" w:color="auto"/>
        <w:bottom w:val="none" w:sz="0" w:space="0" w:color="auto"/>
        <w:right w:val="none" w:sz="0" w:space="0" w:color="auto"/>
      </w:divBdr>
    </w:div>
    <w:div w:id="1487358280">
      <w:bodyDiv w:val="1"/>
      <w:marLeft w:val="0"/>
      <w:marRight w:val="0"/>
      <w:marTop w:val="0"/>
      <w:marBottom w:val="0"/>
      <w:divBdr>
        <w:top w:val="none" w:sz="0" w:space="0" w:color="auto"/>
        <w:left w:val="none" w:sz="0" w:space="0" w:color="auto"/>
        <w:bottom w:val="none" w:sz="0" w:space="0" w:color="auto"/>
        <w:right w:val="none" w:sz="0" w:space="0" w:color="auto"/>
      </w:divBdr>
    </w:div>
    <w:div w:id="1488520461">
      <w:bodyDiv w:val="1"/>
      <w:marLeft w:val="0"/>
      <w:marRight w:val="0"/>
      <w:marTop w:val="0"/>
      <w:marBottom w:val="0"/>
      <w:divBdr>
        <w:top w:val="none" w:sz="0" w:space="0" w:color="auto"/>
        <w:left w:val="none" w:sz="0" w:space="0" w:color="auto"/>
        <w:bottom w:val="none" w:sz="0" w:space="0" w:color="auto"/>
        <w:right w:val="none" w:sz="0" w:space="0" w:color="auto"/>
      </w:divBdr>
    </w:div>
    <w:div w:id="1492479263">
      <w:bodyDiv w:val="1"/>
      <w:marLeft w:val="0"/>
      <w:marRight w:val="0"/>
      <w:marTop w:val="0"/>
      <w:marBottom w:val="0"/>
      <w:divBdr>
        <w:top w:val="none" w:sz="0" w:space="0" w:color="auto"/>
        <w:left w:val="none" w:sz="0" w:space="0" w:color="auto"/>
        <w:bottom w:val="none" w:sz="0" w:space="0" w:color="auto"/>
        <w:right w:val="none" w:sz="0" w:space="0" w:color="auto"/>
      </w:divBdr>
    </w:div>
    <w:div w:id="1495300706">
      <w:bodyDiv w:val="1"/>
      <w:marLeft w:val="0"/>
      <w:marRight w:val="0"/>
      <w:marTop w:val="0"/>
      <w:marBottom w:val="0"/>
      <w:divBdr>
        <w:top w:val="none" w:sz="0" w:space="0" w:color="auto"/>
        <w:left w:val="none" w:sz="0" w:space="0" w:color="auto"/>
        <w:bottom w:val="none" w:sz="0" w:space="0" w:color="auto"/>
        <w:right w:val="none" w:sz="0" w:space="0" w:color="auto"/>
      </w:divBdr>
    </w:div>
    <w:div w:id="1495760667">
      <w:bodyDiv w:val="1"/>
      <w:marLeft w:val="0"/>
      <w:marRight w:val="0"/>
      <w:marTop w:val="0"/>
      <w:marBottom w:val="0"/>
      <w:divBdr>
        <w:top w:val="none" w:sz="0" w:space="0" w:color="auto"/>
        <w:left w:val="none" w:sz="0" w:space="0" w:color="auto"/>
        <w:bottom w:val="none" w:sz="0" w:space="0" w:color="auto"/>
        <w:right w:val="none" w:sz="0" w:space="0" w:color="auto"/>
      </w:divBdr>
    </w:div>
    <w:div w:id="1501775423">
      <w:bodyDiv w:val="1"/>
      <w:marLeft w:val="0"/>
      <w:marRight w:val="0"/>
      <w:marTop w:val="0"/>
      <w:marBottom w:val="0"/>
      <w:divBdr>
        <w:top w:val="none" w:sz="0" w:space="0" w:color="auto"/>
        <w:left w:val="none" w:sz="0" w:space="0" w:color="auto"/>
        <w:bottom w:val="none" w:sz="0" w:space="0" w:color="auto"/>
        <w:right w:val="none" w:sz="0" w:space="0" w:color="auto"/>
      </w:divBdr>
    </w:div>
    <w:div w:id="1502234717">
      <w:bodyDiv w:val="1"/>
      <w:marLeft w:val="0"/>
      <w:marRight w:val="0"/>
      <w:marTop w:val="0"/>
      <w:marBottom w:val="0"/>
      <w:divBdr>
        <w:top w:val="none" w:sz="0" w:space="0" w:color="auto"/>
        <w:left w:val="none" w:sz="0" w:space="0" w:color="auto"/>
        <w:bottom w:val="none" w:sz="0" w:space="0" w:color="auto"/>
        <w:right w:val="none" w:sz="0" w:space="0" w:color="auto"/>
      </w:divBdr>
    </w:div>
    <w:div w:id="1502938384">
      <w:bodyDiv w:val="1"/>
      <w:marLeft w:val="0"/>
      <w:marRight w:val="0"/>
      <w:marTop w:val="0"/>
      <w:marBottom w:val="0"/>
      <w:divBdr>
        <w:top w:val="none" w:sz="0" w:space="0" w:color="auto"/>
        <w:left w:val="none" w:sz="0" w:space="0" w:color="auto"/>
        <w:bottom w:val="none" w:sz="0" w:space="0" w:color="auto"/>
        <w:right w:val="none" w:sz="0" w:space="0" w:color="auto"/>
      </w:divBdr>
    </w:div>
    <w:div w:id="1507744525">
      <w:bodyDiv w:val="1"/>
      <w:marLeft w:val="0"/>
      <w:marRight w:val="0"/>
      <w:marTop w:val="0"/>
      <w:marBottom w:val="0"/>
      <w:divBdr>
        <w:top w:val="none" w:sz="0" w:space="0" w:color="auto"/>
        <w:left w:val="none" w:sz="0" w:space="0" w:color="auto"/>
        <w:bottom w:val="none" w:sz="0" w:space="0" w:color="auto"/>
        <w:right w:val="none" w:sz="0" w:space="0" w:color="auto"/>
      </w:divBdr>
    </w:div>
    <w:div w:id="1508787285">
      <w:bodyDiv w:val="1"/>
      <w:marLeft w:val="0"/>
      <w:marRight w:val="0"/>
      <w:marTop w:val="0"/>
      <w:marBottom w:val="0"/>
      <w:divBdr>
        <w:top w:val="none" w:sz="0" w:space="0" w:color="auto"/>
        <w:left w:val="none" w:sz="0" w:space="0" w:color="auto"/>
        <w:bottom w:val="none" w:sz="0" w:space="0" w:color="auto"/>
        <w:right w:val="none" w:sz="0" w:space="0" w:color="auto"/>
      </w:divBdr>
    </w:div>
    <w:div w:id="1508984722">
      <w:bodyDiv w:val="1"/>
      <w:marLeft w:val="0"/>
      <w:marRight w:val="0"/>
      <w:marTop w:val="0"/>
      <w:marBottom w:val="0"/>
      <w:divBdr>
        <w:top w:val="none" w:sz="0" w:space="0" w:color="auto"/>
        <w:left w:val="none" w:sz="0" w:space="0" w:color="auto"/>
        <w:bottom w:val="none" w:sz="0" w:space="0" w:color="auto"/>
        <w:right w:val="none" w:sz="0" w:space="0" w:color="auto"/>
      </w:divBdr>
    </w:div>
    <w:div w:id="1513686878">
      <w:bodyDiv w:val="1"/>
      <w:marLeft w:val="0"/>
      <w:marRight w:val="0"/>
      <w:marTop w:val="0"/>
      <w:marBottom w:val="0"/>
      <w:divBdr>
        <w:top w:val="none" w:sz="0" w:space="0" w:color="auto"/>
        <w:left w:val="none" w:sz="0" w:space="0" w:color="auto"/>
        <w:bottom w:val="none" w:sz="0" w:space="0" w:color="auto"/>
        <w:right w:val="none" w:sz="0" w:space="0" w:color="auto"/>
      </w:divBdr>
    </w:div>
    <w:div w:id="1515463320">
      <w:bodyDiv w:val="1"/>
      <w:marLeft w:val="0"/>
      <w:marRight w:val="0"/>
      <w:marTop w:val="0"/>
      <w:marBottom w:val="0"/>
      <w:divBdr>
        <w:top w:val="none" w:sz="0" w:space="0" w:color="auto"/>
        <w:left w:val="none" w:sz="0" w:space="0" w:color="auto"/>
        <w:bottom w:val="none" w:sz="0" w:space="0" w:color="auto"/>
        <w:right w:val="none" w:sz="0" w:space="0" w:color="auto"/>
      </w:divBdr>
    </w:div>
    <w:div w:id="1526409578">
      <w:bodyDiv w:val="1"/>
      <w:marLeft w:val="0"/>
      <w:marRight w:val="0"/>
      <w:marTop w:val="0"/>
      <w:marBottom w:val="0"/>
      <w:divBdr>
        <w:top w:val="none" w:sz="0" w:space="0" w:color="auto"/>
        <w:left w:val="none" w:sz="0" w:space="0" w:color="auto"/>
        <w:bottom w:val="none" w:sz="0" w:space="0" w:color="auto"/>
        <w:right w:val="none" w:sz="0" w:space="0" w:color="auto"/>
      </w:divBdr>
    </w:div>
    <w:div w:id="1530098573">
      <w:bodyDiv w:val="1"/>
      <w:marLeft w:val="0"/>
      <w:marRight w:val="0"/>
      <w:marTop w:val="0"/>
      <w:marBottom w:val="0"/>
      <w:divBdr>
        <w:top w:val="none" w:sz="0" w:space="0" w:color="auto"/>
        <w:left w:val="none" w:sz="0" w:space="0" w:color="auto"/>
        <w:bottom w:val="none" w:sz="0" w:space="0" w:color="auto"/>
        <w:right w:val="none" w:sz="0" w:space="0" w:color="auto"/>
      </w:divBdr>
    </w:div>
    <w:div w:id="1530609806">
      <w:bodyDiv w:val="1"/>
      <w:marLeft w:val="0"/>
      <w:marRight w:val="0"/>
      <w:marTop w:val="0"/>
      <w:marBottom w:val="0"/>
      <w:divBdr>
        <w:top w:val="none" w:sz="0" w:space="0" w:color="auto"/>
        <w:left w:val="none" w:sz="0" w:space="0" w:color="auto"/>
        <w:bottom w:val="none" w:sz="0" w:space="0" w:color="auto"/>
        <w:right w:val="none" w:sz="0" w:space="0" w:color="auto"/>
      </w:divBdr>
    </w:div>
    <w:div w:id="1533149728">
      <w:bodyDiv w:val="1"/>
      <w:marLeft w:val="0"/>
      <w:marRight w:val="0"/>
      <w:marTop w:val="0"/>
      <w:marBottom w:val="0"/>
      <w:divBdr>
        <w:top w:val="none" w:sz="0" w:space="0" w:color="auto"/>
        <w:left w:val="none" w:sz="0" w:space="0" w:color="auto"/>
        <w:bottom w:val="none" w:sz="0" w:space="0" w:color="auto"/>
        <w:right w:val="none" w:sz="0" w:space="0" w:color="auto"/>
      </w:divBdr>
    </w:div>
    <w:div w:id="1535654819">
      <w:bodyDiv w:val="1"/>
      <w:marLeft w:val="0"/>
      <w:marRight w:val="0"/>
      <w:marTop w:val="0"/>
      <w:marBottom w:val="0"/>
      <w:divBdr>
        <w:top w:val="none" w:sz="0" w:space="0" w:color="auto"/>
        <w:left w:val="none" w:sz="0" w:space="0" w:color="auto"/>
        <w:bottom w:val="none" w:sz="0" w:space="0" w:color="auto"/>
        <w:right w:val="none" w:sz="0" w:space="0" w:color="auto"/>
      </w:divBdr>
    </w:div>
    <w:div w:id="1536384703">
      <w:bodyDiv w:val="1"/>
      <w:marLeft w:val="0"/>
      <w:marRight w:val="0"/>
      <w:marTop w:val="0"/>
      <w:marBottom w:val="0"/>
      <w:divBdr>
        <w:top w:val="none" w:sz="0" w:space="0" w:color="auto"/>
        <w:left w:val="none" w:sz="0" w:space="0" w:color="auto"/>
        <w:bottom w:val="none" w:sz="0" w:space="0" w:color="auto"/>
        <w:right w:val="none" w:sz="0" w:space="0" w:color="auto"/>
      </w:divBdr>
    </w:div>
    <w:div w:id="1536775663">
      <w:bodyDiv w:val="1"/>
      <w:marLeft w:val="0"/>
      <w:marRight w:val="0"/>
      <w:marTop w:val="0"/>
      <w:marBottom w:val="0"/>
      <w:divBdr>
        <w:top w:val="none" w:sz="0" w:space="0" w:color="auto"/>
        <w:left w:val="none" w:sz="0" w:space="0" w:color="auto"/>
        <w:bottom w:val="none" w:sz="0" w:space="0" w:color="auto"/>
        <w:right w:val="none" w:sz="0" w:space="0" w:color="auto"/>
      </w:divBdr>
    </w:div>
    <w:div w:id="1537543885">
      <w:bodyDiv w:val="1"/>
      <w:marLeft w:val="0"/>
      <w:marRight w:val="0"/>
      <w:marTop w:val="0"/>
      <w:marBottom w:val="0"/>
      <w:divBdr>
        <w:top w:val="none" w:sz="0" w:space="0" w:color="auto"/>
        <w:left w:val="none" w:sz="0" w:space="0" w:color="auto"/>
        <w:bottom w:val="none" w:sz="0" w:space="0" w:color="auto"/>
        <w:right w:val="none" w:sz="0" w:space="0" w:color="auto"/>
      </w:divBdr>
    </w:div>
    <w:div w:id="1537817206">
      <w:bodyDiv w:val="1"/>
      <w:marLeft w:val="0"/>
      <w:marRight w:val="0"/>
      <w:marTop w:val="0"/>
      <w:marBottom w:val="0"/>
      <w:divBdr>
        <w:top w:val="none" w:sz="0" w:space="0" w:color="auto"/>
        <w:left w:val="none" w:sz="0" w:space="0" w:color="auto"/>
        <w:bottom w:val="none" w:sz="0" w:space="0" w:color="auto"/>
        <w:right w:val="none" w:sz="0" w:space="0" w:color="auto"/>
      </w:divBdr>
    </w:div>
    <w:div w:id="1537960920">
      <w:bodyDiv w:val="1"/>
      <w:marLeft w:val="0"/>
      <w:marRight w:val="0"/>
      <w:marTop w:val="0"/>
      <w:marBottom w:val="0"/>
      <w:divBdr>
        <w:top w:val="none" w:sz="0" w:space="0" w:color="auto"/>
        <w:left w:val="none" w:sz="0" w:space="0" w:color="auto"/>
        <w:bottom w:val="none" w:sz="0" w:space="0" w:color="auto"/>
        <w:right w:val="none" w:sz="0" w:space="0" w:color="auto"/>
      </w:divBdr>
    </w:div>
    <w:div w:id="1538153981">
      <w:bodyDiv w:val="1"/>
      <w:marLeft w:val="0"/>
      <w:marRight w:val="0"/>
      <w:marTop w:val="0"/>
      <w:marBottom w:val="0"/>
      <w:divBdr>
        <w:top w:val="none" w:sz="0" w:space="0" w:color="auto"/>
        <w:left w:val="none" w:sz="0" w:space="0" w:color="auto"/>
        <w:bottom w:val="none" w:sz="0" w:space="0" w:color="auto"/>
        <w:right w:val="none" w:sz="0" w:space="0" w:color="auto"/>
      </w:divBdr>
    </w:div>
    <w:div w:id="1542203528">
      <w:bodyDiv w:val="1"/>
      <w:marLeft w:val="0"/>
      <w:marRight w:val="0"/>
      <w:marTop w:val="0"/>
      <w:marBottom w:val="0"/>
      <w:divBdr>
        <w:top w:val="none" w:sz="0" w:space="0" w:color="auto"/>
        <w:left w:val="none" w:sz="0" w:space="0" w:color="auto"/>
        <w:bottom w:val="none" w:sz="0" w:space="0" w:color="auto"/>
        <w:right w:val="none" w:sz="0" w:space="0" w:color="auto"/>
      </w:divBdr>
    </w:div>
    <w:div w:id="1543324080">
      <w:bodyDiv w:val="1"/>
      <w:marLeft w:val="0"/>
      <w:marRight w:val="0"/>
      <w:marTop w:val="0"/>
      <w:marBottom w:val="0"/>
      <w:divBdr>
        <w:top w:val="none" w:sz="0" w:space="0" w:color="auto"/>
        <w:left w:val="none" w:sz="0" w:space="0" w:color="auto"/>
        <w:bottom w:val="none" w:sz="0" w:space="0" w:color="auto"/>
        <w:right w:val="none" w:sz="0" w:space="0" w:color="auto"/>
      </w:divBdr>
    </w:div>
    <w:div w:id="1545556309">
      <w:bodyDiv w:val="1"/>
      <w:marLeft w:val="0"/>
      <w:marRight w:val="0"/>
      <w:marTop w:val="0"/>
      <w:marBottom w:val="0"/>
      <w:divBdr>
        <w:top w:val="none" w:sz="0" w:space="0" w:color="auto"/>
        <w:left w:val="none" w:sz="0" w:space="0" w:color="auto"/>
        <w:bottom w:val="none" w:sz="0" w:space="0" w:color="auto"/>
        <w:right w:val="none" w:sz="0" w:space="0" w:color="auto"/>
      </w:divBdr>
    </w:div>
    <w:div w:id="1551921984">
      <w:bodyDiv w:val="1"/>
      <w:marLeft w:val="0"/>
      <w:marRight w:val="0"/>
      <w:marTop w:val="0"/>
      <w:marBottom w:val="0"/>
      <w:divBdr>
        <w:top w:val="none" w:sz="0" w:space="0" w:color="auto"/>
        <w:left w:val="none" w:sz="0" w:space="0" w:color="auto"/>
        <w:bottom w:val="none" w:sz="0" w:space="0" w:color="auto"/>
        <w:right w:val="none" w:sz="0" w:space="0" w:color="auto"/>
      </w:divBdr>
    </w:div>
    <w:div w:id="1556428332">
      <w:bodyDiv w:val="1"/>
      <w:marLeft w:val="0"/>
      <w:marRight w:val="0"/>
      <w:marTop w:val="0"/>
      <w:marBottom w:val="0"/>
      <w:divBdr>
        <w:top w:val="none" w:sz="0" w:space="0" w:color="auto"/>
        <w:left w:val="none" w:sz="0" w:space="0" w:color="auto"/>
        <w:bottom w:val="none" w:sz="0" w:space="0" w:color="auto"/>
        <w:right w:val="none" w:sz="0" w:space="0" w:color="auto"/>
      </w:divBdr>
    </w:div>
    <w:div w:id="1556428743">
      <w:bodyDiv w:val="1"/>
      <w:marLeft w:val="0"/>
      <w:marRight w:val="0"/>
      <w:marTop w:val="0"/>
      <w:marBottom w:val="0"/>
      <w:divBdr>
        <w:top w:val="none" w:sz="0" w:space="0" w:color="auto"/>
        <w:left w:val="none" w:sz="0" w:space="0" w:color="auto"/>
        <w:bottom w:val="none" w:sz="0" w:space="0" w:color="auto"/>
        <w:right w:val="none" w:sz="0" w:space="0" w:color="auto"/>
      </w:divBdr>
    </w:div>
    <w:div w:id="1557087237">
      <w:bodyDiv w:val="1"/>
      <w:marLeft w:val="0"/>
      <w:marRight w:val="0"/>
      <w:marTop w:val="0"/>
      <w:marBottom w:val="0"/>
      <w:divBdr>
        <w:top w:val="none" w:sz="0" w:space="0" w:color="auto"/>
        <w:left w:val="none" w:sz="0" w:space="0" w:color="auto"/>
        <w:bottom w:val="none" w:sz="0" w:space="0" w:color="auto"/>
        <w:right w:val="none" w:sz="0" w:space="0" w:color="auto"/>
      </w:divBdr>
    </w:div>
    <w:div w:id="1557814029">
      <w:bodyDiv w:val="1"/>
      <w:marLeft w:val="0"/>
      <w:marRight w:val="0"/>
      <w:marTop w:val="0"/>
      <w:marBottom w:val="0"/>
      <w:divBdr>
        <w:top w:val="none" w:sz="0" w:space="0" w:color="auto"/>
        <w:left w:val="none" w:sz="0" w:space="0" w:color="auto"/>
        <w:bottom w:val="none" w:sz="0" w:space="0" w:color="auto"/>
        <w:right w:val="none" w:sz="0" w:space="0" w:color="auto"/>
      </w:divBdr>
    </w:div>
    <w:div w:id="1558008315">
      <w:bodyDiv w:val="1"/>
      <w:marLeft w:val="0"/>
      <w:marRight w:val="0"/>
      <w:marTop w:val="0"/>
      <w:marBottom w:val="0"/>
      <w:divBdr>
        <w:top w:val="none" w:sz="0" w:space="0" w:color="auto"/>
        <w:left w:val="none" w:sz="0" w:space="0" w:color="auto"/>
        <w:bottom w:val="none" w:sz="0" w:space="0" w:color="auto"/>
        <w:right w:val="none" w:sz="0" w:space="0" w:color="auto"/>
      </w:divBdr>
    </w:div>
    <w:div w:id="1561093468">
      <w:bodyDiv w:val="1"/>
      <w:marLeft w:val="0"/>
      <w:marRight w:val="0"/>
      <w:marTop w:val="0"/>
      <w:marBottom w:val="0"/>
      <w:divBdr>
        <w:top w:val="none" w:sz="0" w:space="0" w:color="auto"/>
        <w:left w:val="none" w:sz="0" w:space="0" w:color="auto"/>
        <w:bottom w:val="none" w:sz="0" w:space="0" w:color="auto"/>
        <w:right w:val="none" w:sz="0" w:space="0" w:color="auto"/>
      </w:divBdr>
    </w:div>
    <w:div w:id="1564678808">
      <w:bodyDiv w:val="1"/>
      <w:marLeft w:val="0"/>
      <w:marRight w:val="0"/>
      <w:marTop w:val="0"/>
      <w:marBottom w:val="0"/>
      <w:divBdr>
        <w:top w:val="none" w:sz="0" w:space="0" w:color="auto"/>
        <w:left w:val="none" w:sz="0" w:space="0" w:color="auto"/>
        <w:bottom w:val="none" w:sz="0" w:space="0" w:color="auto"/>
        <w:right w:val="none" w:sz="0" w:space="0" w:color="auto"/>
      </w:divBdr>
    </w:div>
    <w:div w:id="1565220315">
      <w:bodyDiv w:val="1"/>
      <w:marLeft w:val="0"/>
      <w:marRight w:val="0"/>
      <w:marTop w:val="0"/>
      <w:marBottom w:val="0"/>
      <w:divBdr>
        <w:top w:val="none" w:sz="0" w:space="0" w:color="auto"/>
        <w:left w:val="none" w:sz="0" w:space="0" w:color="auto"/>
        <w:bottom w:val="none" w:sz="0" w:space="0" w:color="auto"/>
        <w:right w:val="none" w:sz="0" w:space="0" w:color="auto"/>
      </w:divBdr>
    </w:div>
    <w:div w:id="1566721106">
      <w:bodyDiv w:val="1"/>
      <w:marLeft w:val="0"/>
      <w:marRight w:val="0"/>
      <w:marTop w:val="0"/>
      <w:marBottom w:val="0"/>
      <w:divBdr>
        <w:top w:val="none" w:sz="0" w:space="0" w:color="auto"/>
        <w:left w:val="none" w:sz="0" w:space="0" w:color="auto"/>
        <w:bottom w:val="none" w:sz="0" w:space="0" w:color="auto"/>
        <w:right w:val="none" w:sz="0" w:space="0" w:color="auto"/>
      </w:divBdr>
    </w:div>
    <w:div w:id="1566988702">
      <w:bodyDiv w:val="1"/>
      <w:marLeft w:val="0"/>
      <w:marRight w:val="0"/>
      <w:marTop w:val="0"/>
      <w:marBottom w:val="0"/>
      <w:divBdr>
        <w:top w:val="none" w:sz="0" w:space="0" w:color="auto"/>
        <w:left w:val="none" w:sz="0" w:space="0" w:color="auto"/>
        <w:bottom w:val="none" w:sz="0" w:space="0" w:color="auto"/>
        <w:right w:val="none" w:sz="0" w:space="0" w:color="auto"/>
      </w:divBdr>
    </w:div>
    <w:div w:id="1567380394">
      <w:bodyDiv w:val="1"/>
      <w:marLeft w:val="0"/>
      <w:marRight w:val="0"/>
      <w:marTop w:val="0"/>
      <w:marBottom w:val="0"/>
      <w:divBdr>
        <w:top w:val="none" w:sz="0" w:space="0" w:color="auto"/>
        <w:left w:val="none" w:sz="0" w:space="0" w:color="auto"/>
        <w:bottom w:val="none" w:sz="0" w:space="0" w:color="auto"/>
        <w:right w:val="none" w:sz="0" w:space="0" w:color="auto"/>
      </w:divBdr>
    </w:div>
    <w:div w:id="1568801526">
      <w:bodyDiv w:val="1"/>
      <w:marLeft w:val="0"/>
      <w:marRight w:val="0"/>
      <w:marTop w:val="0"/>
      <w:marBottom w:val="0"/>
      <w:divBdr>
        <w:top w:val="none" w:sz="0" w:space="0" w:color="auto"/>
        <w:left w:val="none" w:sz="0" w:space="0" w:color="auto"/>
        <w:bottom w:val="none" w:sz="0" w:space="0" w:color="auto"/>
        <w:right w:val="none" w:sz="0" w:space="0" w:color="auto"/>
      </w:divBdr>
    </w:div>
    <w:div w:id="1574853988">
      <w:bodyDiv w:val="1"/>
      <w:marLeft w:val="0"/>
      <w:marRight w:val="0"/>
      <w:marTop w:val="0"/>
      <w:marBottom w:val="0"/>
      <w:divBdr>
        <w:top w:val="none" w:sz="0" w:space="0" w:color="auto"/>
        <w:left w:val="none" w:sz="0" w:space="0" w:color="auto"/>
        <w:bottom w:val="none" w:sz="0" w:space="0" w:color="auto"/>
        <w:right w:val="none" w:sz="0" w:space="0" w:color="auto"/>
      </w:divBdr>
    </w:div>
    <w:div w:id="1574975333">
      <w:bodyDiv w:val="1"/>
      <w:marLeft w:val="0"/>
      <w:marRight w:val="0"/>
      <w:marTop w:val="0"/>
      <w:marBottom w:val="0"/>
      <w:divBdr>
        <w:top w:val="none" w:sz="0" w:space="0" w:color="auto"/>
        <w:left w:val="none" w:sz="0" w:space="0" w:color="auto"/>
        <w:bottom w:val="none" w:sz="0" w:space="0" w:color="auto"/>
        <w:right w:val="none" w:sz="0" w:space="0" w:color="auto"/>
      </w:divBdr>
    </w:div>
    <w:div w:id="1581062318">
      <w:bodyDiv w:val="1"/>
      <w:marLeft w:val="0"/>
      <w:marRight w:val="0"/>
      <w:marTop w:val="0"/>
      <w:marBottom w:val="0"/>
      <w:divBdr>
        <w:top w:val="none" w:sz="0" w:space="0" w:color="auto"/>
        <w:left w:val="none" w:sz="0" w:space="0" w:color="auto"/>
        <w:bottom w:val="none" w:sz="0" w:space="0" w:color="auto"/>
        <w:right w:val="none" w:sz="0" w:space="0" w:color="auto"/>
      </w:divBdr>
    </w:div>
    <w:div w:id="1581716118">
      <w:bodyDiv w:val="1"/>
      <w:marLeft w:val="0"/>
      <w:marRight w:val="0"/>
      <w:marTop w:val="0"/>
      <w:marBottom w:val="0"/>
      <w:divBdr>
        <w:top w:val="none" w:sz="0" w:space="0" w:color="auto"/>
        <w:left w:val="none" w:sz="0" w:space="0" w:color="auto"/>
        <w:bottom w:val="none" w:sz="0" w:space="0" w:color="auto"/>
        <w:right w:val="none" w:sz="0" w:space="0" w:color="auto"/>
      </w:divBdr>
    </w:div>
    <w:div w:id="1581791733">
      <w:bodyDiv w:val="1"/>
      <w:marLeft w:val="0"/>
      <w:marRight w:val="0"/>
      <w:marTop w:val="0"/>
      <w:marBottom w:val="0"/>
      <w:divBdr>
        <w:top w:val="none" w:sz="0" w:space="0" w:color="auto"/>
        <w:left w:val="none" w:sz="0" w:space="0" w:color="auto"/>
        <w:bottom w:val="none" w:sz="0" w:space="0" w:color="auto"/>
        <w:right w:val="none" w:sz="0" w:space="0" w:color="auto"/>
      </w:divBdr>
    </w:div>
    <w:div w:id="1582635826">
      <w:bodyDiv w:val="1"/>
      <w:marLeft w:val="0"/>
      <w:marRight w:val="0"/>
      <w:marTop w:val="0"/>
      <w:marBottom w:val="0"/>
      <w:divBdr>
        <w:top w:val="none" w:sz="0" w:space="0" w:color="auto"/>
        <w:left w:val="none" w:sz="0" w:space="0" w:color="auto"/>
        <w:bottom w:val="none" w:sz="0" w:space="0" w:color="auto"/>
        <w:right w:val="none" w:sz="0" w:space="0" w:color="auto"/>
      </w:divBdr>
    </w:div>
    <w:div w:id="1582717725">
      <w:bodyDiv w:val="1"/>
      <w:marLeft w:val="0"/>
      <w:marRight w:val="0"/>
      <w:marTop w:val="0"/>
      <w:marBottom w:val="0"/>
      <w:divBdr>
        <w:top w:val="none" w:sz="0" w:space="0" w:color="auto"/>
        <w:left w:val="none" w:sz="0" w:space="0" w:color="auto"/>
        <w:bottom w:val="none" w:sz="0" w:space="0" w:color="auto"/>
        <w:right w:val="none" w:sz="0" w:space="0" w:color="auto"/>
      </w:divBdr>
    </w:div>
    <w:div w:id="1583493502">
      <w:bodyDiv w:val="1"/>
      <w:marLeft w:val="0"/>
      <w:marRight w:val="0"/>
      <w:marTop w:val="0"/>
      <w:marBottom w:val="0"/>
      <w:divBdr>
        <w:top w:val="none" w:sz="0" w:space="0" w:color="auto"/>
        <w:left w:val="none" w:sz="0" w:space="0" w:color="auto"/>
        <w:bottom w:val="none" w:sz="0" w:space="0" w:color="auto"/>
        <w:right w:val="none" w:sz="0" w:space="0" w:color="auto"/>
      </w:divBdr>
    </w:div>
    <w:div w:id="1583830378">
      <w:bodyDiv w:val="1"/>
      <w:marLeft w:val="0"/>
      <w:marRight w:val="0"/>
      <w:marTop w:val="0"/>
      <w:marBottom w:val="0"/>
      <w:divBdr>
        <w:top w:val="none" w:sz="0" w:space="0" w:color="auto"/>
        <w:left w:val="none" w:sz="0" w:space="0" w:color="auto"/>
        <w:bottom w:val="none" w:sz="0" w:space="0" w:color="auto"/>
        <w:right w:val="none" w:sz="0" w:space="0" w:color="auto"/>
      </w:divBdr>
    </w:div>
    <w:div w:id="1584411657">
      <w:bodyDiv w:val="1"/>
      <w:marLeft w:val="0"/>
      <w:marRight w:val="0"/>
      <w:marTop w:val="0"/>
      <w:marBottom w:val="0"/>
      <w:divBdr>
        <w:top w:val="none" w:sz="0" w:space="0" w:color="auto"/>
        <w:left w:val="none" w:sz="0" w:space="0" w:color="auto"/>
        <w:bottom w:val="none" w:sz="0" w:space="0" w:color="auto"/>
        <w:right w:val="none" w:sz="0" w:space="0" w:color="auto"/>
      </w:divBdr>
    </w:div>
    <w:div w:id="1584873873">
      <w:bodyDiv w:val="1"/>
      <w:marLeft w:val="0"/>
      <w:marRight w:val="0"/>
      <w:marTop w:val="0"/>
      <w:marBottom w:val="0"/>
      <w:divBdr>
        <w:top w:val="none" w:sz="0" w:space="0" w:color="auto"/>
        <w:left w:val="none" w:sz="0" w:space="0" w:color="auto"/>
        <w:bottom w:val="none" w:sz="0" w:space="0" w:color="auto"/>
        <w:right w:val="none" w:sz="0" w:space="0" w:color="auto"/>
      </w:divBdr>
    </w:div>
    <w:div w:id="1584955126">
      <w:bodyDiv w:val="1"/>
      <w:marLeft w:val="0"/>
      <w:marRight w:val="0"/>
      <w:marTop w:val="0"/>
      <w:marBottom w:val="0"/>
      <w:divBdr>
        <w:top w:val="none" w:sz="0" w:space="0" w:color="auto"/>
        <w:left w:val="none" w:sz="0" w:space="0" w:color="auto"/>
        <w:bottom w:val="none" w:sz="0" w:space="0" w:color="auto"/>
        <w:right w:val="none" w:sz="0" w:space="0" w:color="auto"/>
      </w:divBdr>
    </w:div>
    <w:div w:id="1584993028">
      <w:bodyDiv w:val="1"/>
      <w:marLeft w:val="0"/>
      <w:marRight w:val="0"/>
      <w:marTop w:val="0"/>
      <w:marBottom w:val="0"/>
      <w:divBdr>
        <w:top w:val="none" w:sz="0" w:space="0" w:color="auto"/>
        <w:left w:val="none" w:sz="0" w:space="0" w:color="auto"/>
        <w:bottom w:val="none" w:sz="0" w:space="0" w:color="auto"/>
        <w:right w:val="none" w:sz="0" w:space="0" w:color="auto"/>
      </w:divBdr>
    </w:div>
    <w:div w:id="1586257522">
      <w:bodyDiv w:val="1"/>
      <w:marLeft w:val="0"/>
      <w:marRight w:val="0"/>
      <w:marTop w:val="0"/>
      <w:marBottom w:val="0"/>
      <w:divBdr>
        <w:top w:val="none" w:sz="0" w:space="0" w:color="auto"/>
        <w:left w:val="none" w:sz="0" w:space="0" w:color="auto"/>
        <w:bottom w:val="none" w:sz="0" w:space="0" w:color="auto"/>
        <w:right w:val="none" w:sz="0" w:space="0" w:color="auto"/>
      </w:divBdr>
    </w:div>
    <w:div w:id="1589847828">
      <w:bodyDiv w:val="1"/>
      <w:marLeft w:val="0"/>
      <w:marRight w:val="0"/>
      <w:marTop w:val="0"/>
      <w:marBottom w:val="0"/>
      <w:divBdr>
        <w:top w:val="none" w:sz="0" w:space="0" w:color="auto"/>
        <w:left w:val="none" w:sz="0" w:space="0" w:color="auto"/>
        <w:bottom w:val="none" w:sz="0" w:space="0" w:color="auto"/>
        <w:right w:val="none" w:sz="0" w:space="0" w:color="auto"/>
      </w:divBdr>
    </w:div>
    <w:div w:id="1590233448">
      <w:bodyDiv w:val="1"/>
      <w:marLeft w:val="0"/>
      <w:marRight w:val="0"/>
      <w:marTop w:val="0"/>
      <w:marBottom w:val="0"/>
      <w:divBdr>
        <w:top w:val="none" w:sz="0" w:space="0" w:color="auto"/>
        <w:left w:val="none" w:sz="0" w:space="0" w:color="auto"/>
        <w:bottom w:val="none" w:sz="0" w:space="0" w:color="auto"/>
        <w:right w:val="none" w:sz="0" w:space="0" w:color="auto"/>
      </w:divBdr>
    </w:div>
    <w:div w:id="1590427919">
      <w:bodyDiv w:val="1"/>
      <w:marLeft w:val="0"/>
      <w:marRight w:val="0"/>
      <w:marTop w:val="0"/>
      <w:marBottom w:val="0"/>
      <w:divBdr>
        <w:top w:val="none" w:sz="0" w:space="0" w:color="auto"/>
        <w:left w:val="none" w:sz="0" w:space="0" w:color="auto"/>
        <w:bottom w:val="none" w:sz="0" w:space="0" w:color="auto"/>
        <w:right w:val="none" w:sz="0" w:space="0" w:color="auto"/>
      </w:divBdr>
    </w:div>
    <w:div w:id="1595746676">
      <w:bodyDiv w:val="1"/>
      <w:marLeft w:val="0"/>
      <w:marRight w:val="0"/>
      <w:marTop w:val="0"/>
      <w:marBottom w:val="0"/>
      <w:divBdr>
        <w:top w:val="none" w:sz="0" w:space="0" w:color="auto"/>
        <w:left w:val="none" w:sz="0" w:space="0" w:color="auto"/>
        <w:bottom w:val="none" w:sz="0" w:space="0" w:color="auto"/>
        <w:right w:val="none" w:sz="0" w:space="0" w:color="auto"/>
      </w:divBdr>
    </w:div>
    <w:div w:id="1596596521">
      <w:bodyDiv w:val="1"/>
      <w:marLeft w:val="0"/>
      <w:marRight w:val="0"/>
      <w:marTop w:val="0"/>
      <w:marBottom w:val="0"/>
      <w:divBdr>
        <w:top w:val="none" w:sz="0" w:space="0" w:color="auto"/>
        <w:left w:val="none" w:sz="0" w:space="0" w:color="auto"/>
        <w:bottom w:val="none" w:sz="0" w:space="0" w:color="auto"/>
        <w:right w:val="none" w:sz="0" w:space="0" w:color="auto"/>
      </w:divBdr>
    </w:div>
    <w:div w:id="1600062333">
      <w:bodyDiv w:val="1"/>
      <w:marLeft w:val="0"/>
      <w:marRight w:val="0"/>
      <w:marTop w:val="0"/>
      <w:marBottom w:val="0"/>
      <w:divBdr>
        <w:top w:val="none" w:sz="0" w:space="0" w:color="auto"/>
        <w:left w:val="none" w:sz="0" w:space="0" w:color="auto"/>
        <w:bottom w:val="none" w:sz="0" w:space="0" w:color="auto"/>
        <w:right w:val="none" w:sz="0" w:space="0" w:color="auto"/>
      </w:divBdr>
    </w:div>
    <w:div w:id="1603763564">
      <w:bodyDiv w:val="1"/>
      <w:marLeft w:val="0"/>
      <w:marRight w:val="0"/>
      <w:marTop w:val="0"/>
      <w:marBottom w:val="0"/>
      <w:divBdr>
        <w:top w:val="none" w:sz="0" w:space="0" w:color="auto"/>
        <w:left w:val="none" w:sz="0" w:space="0" w:color="auto"/>
        <w:bottom w:val="none" w:sz="0" w:space="0" w:color="auto"/>
        <w:right w:val="none" w:sz="0" w:space="0" w:color="auto"/>
      </w:divBdr>
    </w:div>
    <w:div w:id="1606310005">
      <w:bodyDiv w:val="1"/>
      <w:marLeft w:val="0"/>
      <w:marRight w:val="0"/>
      <w:marTop w:val="0"/>
      <w:marBottom w:val="0"/>
      <w:divBdr>
        <w:top w:val="none" w:sz="0" w:space="0" w:color="auto"/>
        <w:left w:val="none" w:sz="0" w:space="0" w:color="auto"/>
        <w:bottom w:val="none" w:sz="0" w:space="0" w:color="auto"/>
        <w:right w:val="none" w:sz="0" w:space="0" w:color="auto"/>
      </w:divBdr>
    </w:div>
    <w:div w:id="1606379123">
      <w:bodyDiv w:val="1"/>
      <w:marLeft w:val="0"/>
      <w:marRight w:val="0"/>
      <w:marTop w:val="0"/>
      <w:marBottom w:val="0"/>
      <w:divBdr>
        <w:top w:val="none" w:sz="0" w:space="0" w:color="auto"/>
        <w:left w:val="none" w:sz="0" w:space="0" w:color="auto"/>
        <w:bottom w:val="none" w:sz="0" w:space="0" w:color="auto"/>
        <w:right w:val="none" w:sz="0" w:space="0" w:color="auto"/>
      </w:divBdr>
    </w:div>
    <w:div w:id="1607080549">
      <w:bodyDiv w:val="1"/>
      <w:marLeft w:val="0"/>
      <w:marRight w:val="0"/>
      <w:marTop w:val="0"/>
      <w:marBottom w:val="0"/>
      <w:divBdr>
        <w:top w:val="none" w:sz="0" w:space="0" w:color="auto"/>
        <w:left w:val="none" w:sz="0" w:space="0" w:color="auto"/>
        <w:bottom w:val="none" w:sz="0" w:space="0" w:color="auto"/>
        <w:right w:val="none" w:sz="0" w:space="0" w:color="auto"/>
      </w:divBdr>
    </w:div>
    <w:div w:id="1611551087">
      <w:bodyDiv w:val="1"/>
      <w:marLeft w:val="0"/>
      <w:marRight w:val="0"/>
      <w:marTop w:val="0"/>
      <w:marBottom w:val="0"/>
      <w:divBdr>
        <w:top w:val="none" w:sz="0" w:space="0" w:color="auto"/>
        <w:left w:val="none" w:sz="0" w:space="0" w:color="auto"/>
        <w:bottom w:val="none" w:sz="0" w:space="0" w:color="auto"/>
        <w:right w:val="none" w:sz="0" w:space="0" w:color="auto"/>
      </w:divBdr>
    </w:div>
    <w:div w:id="1613323871">
      <w:bodyDiv w:val="1"/>
      <w:marLeft w:val="0"/>
      <w:marRight w:val="0"/>
      <w:marTop w:val="0"/>
      <w:marBottom w:val="0"/>
      <w:divBdr>
        <w:top w:val="none" w:sz="0" w:space="0" w:color="auto"/>
        <w:left w:val="none" w:sz="0" w:space="0" w:color="auto"/>
        <w:bottom w:val="none" w:sz="0" w:space="0" w:color="auto"/>
        <w:right w:val="none" w:sz="0" w:space="0" w:color="auto"/>
      </w:divBdr>
    </w:div>
    <w:div w:id="1619288269">
      <w:bodyDiv w:val="1"/>
      <w:marLeft w:val="0"/>
      <w:marRight w:val="0"/>
      <w:marTop w:val="0"/>
      <w:marBottom w:val="0"/>
      <w:divBdr>
        <w:top w:val="none" w:sz="0" w:space="0" w:color="auto"/>
        <w:left w:val="none" w:sz="0" w:space="0" w:color="auto"/>
        <w:bottom w:val="none" w:sz="0" w:space="0" w:color="auto"/>
        <w:right w:val="none" w:sz="0" w:space="0" w:color="auto"/>
      </w:divBdr>
    </w:div>
    <w:div w:id="1619676550">
      <w:bodyDiv w:val="1"/>
      <w:marLeft w:val="0"/>
      <w:marRight w:val="0"/>
      <w:marTop w:val="0"/>
      <w:marBottom w:val="0"/>
      <w:divBdr>
        <w:top w:val="none" w:sz="0" w:space="0" w:color="auto"/>
        <w:left w:val="none" w:sz="0" w:space="0" w:color="auto"/>
        <w:bottom w:val="none" w:sz="0" w:space="0" w:color="auto"/>
        <w:right w:val="none" w:sz="0" w:space="0" w:color="auto"/>
      </w:divBdr>
    </w:div>
    <w:div w:id="1623222158">
      <w:bodyDiv w:val="1"/>
      <w:marLeft w:val="0"/>
      <w:marRight w:val="0"/>
      <w:marTop w:val="0"/>
      <w:marBottom w:val="0"/>
      <w:divBdr>
        <w:top w:val="none" w:sz="0" w:space="0" w:color="auto"/>
        <w:left w:val="none" w:sz="0" w:space="0" w:color="auto"/>
        <w:bottom w:val="none" w:sz="0" w:space="0" w:color="auto"/>
        <w:right w:val="none" w:sz="0" w:space="0" w:color="auto"/>
      </w:divBdr>
    </w:div>
    <w:div w:id="1623655294">
      <w:bodyDiv w:val="1"/>
      <w:marLeft w:val="0"/>
      <w:marRight w:val="0"/>
      <w:marTop w:val="0"/>
      <w:marBottom w:val="0"/>
      <w:divBdr>
        <w:top w:val="none" w:sz="0" w:space="0" w:color="auto"/>
        <w:left w:val="none" w:sz="0" w:space="0" w:color="auto"/>
        <w:bottom w:val="none" w:sz="0" w:space="0" w:color="auto"/>
        <w:right w:val="none" w:sz="0" w:space="0" w:color="auto"/>
      </w:divBdr>
    </w:div>
    <w:div w:id="162480107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5674">
      <w:bodyDiv w:val="1"/>
      <w:marLeft w:val="0"/>
      <w:marRight w:val="0"/>
      <w:marTop w:val="0"/>
      <w:marBottom w:val="0"/>
      <w:divBdr>
        <w:top w:val="none" w:sz="0" w:space="0" w:color="auto"/>
        <w:left w:val="none" w:sz="0" w:space="0" w:color="auto"/>
        <w:bottom w:val="none" w:sz="0" w:space="0" w:color="auto"/>
        <w:right w:val="none" w:sz="0" w:space="0" w:color="auto"/>
      </w:divBdr>
    </w:div>
    <w:div w:id="1630357833">
      <w:bodyDiv w:val="1"/>
      <w:marLeft w:val="0"/>
      <w:marRight w:val="0"/>
      <w:marTop w:val="0"/>
      <w:marBottom w:val="0"/>
      <w:divBdr>
        <w:top w:val="none" w:sz="0" w:space="0" w:color="auto"/>
        <w:left w:val="none" w:sz="0" w:space="0" w:color="auto"/>
        <w:bottom w:val="none" w:sz="0" w:space="0" w:color="auto"/>
        <w:right w:val="none" w:sz="0" w:space="0" w:color="auto"/>
      </w:divBdr>
    </w:div>
    <w:div w:id="1637444742">
      <w:bodyDiv w:val="1"/>
      <w:marLeft w:val="0"/>
      <w:marRight w:val="0"/>
      <w:marTop w:val="0"/>
      <w:marBottom w:val="0"/>
      <w:divBdr>
        <w:top w:val="none" w:sz="0" w:space="0" w:color="auto"/>
        <w:left w:val="none" w:sz="0" w:space="0" w:color="auto"/>
        <w:bottom w:val="none" w:sz="0" w:space="0" w:color="auto"/>
        <w:right w:val="none" w:sz="0" w:space="0" w:color="auto"/>
      </w:divBdr>
    </w:div>
    <w:div w:id="1637568369">
      <w:bodyDiv w:val="1"/>
      <w:marLeft w:val="0"/>
      <w:marRight w:val="0"/>
      <w:marTop w:val="0"/>
      <w:marBottom w:val="0"/>
      <w:divBdr>
        <w:top w:val="none" w:sz="0" w:space="0" w:color="auto"/>
        <w:left w:val="none" w:sz="0" w:space="0" w:color="auto"/>
        <w:bottom w:val="none" w:sz="0" w:space="0" w:color="auto"/>
        <w:right w:val="none" w:sz="0" w:space="0" w:color="auto"/>
      </w:divBdr>
    </w:div>
    <w:div w:id="1638800236">
      <w:bodyDiv w:val="1"/>
      <w:marLeft w:val="0"/>
      <w:marRight w:val="0"/>
      <w:marTop w:val="0"/>
      <w:marBottom w:val="0"/>
      <w:divBdr>
        <w:top w:val="none" w:sz="0" w:space="0" w:color="auto"/>
        <w:left w:val="none" w:sz="0" w:space="0" w:color="auto"/>
        <w:bottom w:val="none" w:sz="0" w:space="0" w:color="auto"/>
        <w:right w:val="none" w:sz="0" w:space="0" w:color="auto"/>
      </w:divBdr>
    </w:div>
    <w:div w:id="1639333468">
      <w:bodyDiv w:val="1"/>
      <w:marLeft w:val="0"/>
      <w:marRight w:val="0"/>
      <w:marTop w:val="0"/>
      <w:marBottom w:val="0"/>
      <w:divBdr>
        <w:top w:val="none" w:sz="0" w:space="0" w:color="auto"/>
        <w:left w:val="none" w:sz="0" w:space="0" w:color="auto"/>
        <w:bottom w:val="none" w:sz="0" w:space="0" w:color="auto"/>
        <w:right w:val="none" w:sz="0" w:space="0" w:color="auto"/>
      </w:divBdr>
    </w:div>
    <w:div w:id="1640526579">
      <w:bodyDiv w:val="1"/>
      <w:marLeft w:val="0"/>
      <w:marRight w:val="0"/>
      <w:marTop w:val="0"/>
      <w:marBottom w:val="0"/>
      <w:divBdr>
        <w:top w:val="none" w:sz="0" w:space="0" w:color="auto"/>
        <w:left w:val="none" w:sz="0" w:space="0" w:color="auto"/>
        <w:bottom w:val="none" w:sz="0" w:space="0" w:color="auto"/>
        <w:right w:val="none" w:sz="0" w:space="0" w:color="auto"/>
      </w:divBdr>
    </w:div>
    <w:div w:id="1642734593">
      <w:bodyDiv w:val="1"/>
      <w:marLeft w:val="0"/>
      <w:marRight w:val="0"/>
      <w:marTop w:val="0"/>
      <w:marBottom w:val="0"/>
      <w:divBdr>
        <w:top w:val="none" w:sz="0" w:space="0" w:color="auto"/>
        <w:left w:val="none" w:sz="0" w:space="0" w:color="auto"/>
        <w:bottom w:val="none" w:sz="0" w:space="0" w:color="auto"/>
        <w:right w:val="none" w:sz="0" w:space="0" w:color="auto"/>
      </w:divBdr>
    </w:div>
    <w:div w:id="1647279554">
      <w:bodyDiv w:val="1"/>
      <w:marLeft w:val="0"/>
      <w:marRight w:val="0"/>
      <w:marTop w:val="0"/>
      <w:marBottom w:val="0"/>
      <w:divBdr>
        <w:top w:val="none" w:sz="0" w:space="0" w:color="auto"/>
        <w:left w:val="none" w:sz="0" w:space="0" w:color="auto"/>
        <w:bottom w:val="none" w:sz="0" w:space="0" w:color="auto"/>
        <w:right w:val="none" w:sz="0" w:space="0" w:color="auto"/>
      </w:divBdr>
    </w:div>
    <w:div w:id="1647541305">
      <w:bodyDiv w:val="1"/>
      <w:marLeft w:val="0"/>
      <w:marRight w:val="0"/>
      <w:marTop w:val="0"/>
      <w:marBottom w:val="0"/>
      <w:divBdr>
        <w:top w:val="none" w:sz="0" w:space="0" w:color="auto"/>
        <w:left w:val="none" w:sz="0" w:space="0" w:color="auto"/>
        <w:bottom w:val="none" w:sz="0" w:space="0" w:color="auto"/>
        <w:right w:val="none" w:sz="0" w:space="0" w:color="auto"/>
      </w:divBdr>
    </w:div>
    <w:div w:id="1652127863">
      <w:bodyDiv w:val="1"/>
      <w:marLeft w:val="0"/>
      <w:marRight w:val="0"/>
      <w:marTop w:val="0"/>
      <w:marBottom w:val="0"/>
      <w:divBdr>
        <w:top w:val="none" w:sz="0" w:space="0" w:color="auto"/>
        <w:left w:val="none" w:sz="0" w:space="0" w:color="auto"/>
        <w:bottom w:val="none" w:sz="0" w:space="0" w:color="auto"/>
        <w:right w:val="none" w:sz="0" w:space="0" w:color="auto"/>
      </w:divBdr>
    </w:div>
    <w:div w:id="1653826896">
      <w:bodyDiv w:val="1"/>
      <w:marLeft w:val="0"/>
      <w:marRight w:val="0"/>
      <w:marTop w:val="0"/>
      <w:marBottom w:val="0"/>
      <w:divBdr>
        <w:top w:val="none" w:sz="0" w:space="0" w:color="auto"/>
        <w:left w:val="none" w:sz="0" w:space="0" w:color="auto"/>
        <w:bottom w:val="none" w:sz="0" w:space="0" w:color="auto"/>
        <w:right w:val="none" w:sz="0" w:space="0" w:color="auto"/>
      </w:divBdr>
    </w:div>
    <w:div w:id="1657370618">
      <w:bodyDiv w:val="1"/>
      <w:marLeft w:val="0"/>
      <w:marRight w:val="0"/>
      <w:marTop w:val="0"/>
      <w:marBottom w:val="0"/>
      <w:divBdr>
        <w:top w:val="none" w:sz="0" w:space="0" w:color="auto"/>
        <w:left w:val="none" w:sz="0" w:space="0" w:color="auto"/>
        <w:bottom w:val="none" w:sz="0" w:space="0" w:color="auto"/>
        <w:right w:val="none" w:sz="0" w:space="0" w:color="auto"/>
      </w:divBdr>
    </w:div>
    <w:div w:id="1658411316">
      <w:bodyDiv w:val="1"/>
      <w:marLeft w:val="0"/>
      <w:marRight w:val="0"/>
      <w:marTop w:val="0"/>
      <w:marBottom w:val="0"/>
      <w:divBdr>
        <w:top w:val="none" w:sz="0" w:space="0" w:color="auto"/>
        <w:left w:val="none" w:sz="0" w:space="0" w:color="auto"/>
        <w:bottom w:val="none" w:sz="0" w:space="0" w:color="auto"/>
        <w:right w:val="none" w:sz="0" w:space="0" w:color="auto"/>
      </w:divBdr>
    </w:div>
    <w:div w:id="1659188604">
      <w:bodyDiv w:val="1"/>
      <w:marLeft w:val="0"/>
      <w:marRight w:val="0"/>
      <w:marTop w:val="0"/>
      <w:marBottom w:val="0"/>
      <w:divBdr>
        <w:top w:val="none" w:sz="0" w:space="0" w:color="auto"/>
        <w:left w:val="none" w:sz="0" w:space="0" w:color="auto"/>
        <w:bottom w:val="none" w:sz="0" w:space="0" w:color="auto"/>
        <w:right w:val="none" w:sz="0" w:space="0" w:color="auto"/>
      </w:divBdr>
    </w:div>
    <w:div w:id="1659382526">
      <w:bodyDiv w:val="1"/>
      <w:marLeft w:val="0"/>
      <w:marRight w:val="0"/>
      <w:marTop w:val="0"/>
      <w:marBottom w:val="0"/>
      <w:divBdr>
        <w:top w:val="none" w:sz="0" w:space="0" w:color="auto"/>
        <w:left w:val="none" w:sz="0" w:space="0" w:color="auto"/>
        <w:bottom w:val="none" w:sz="0" w:space="0" w:color="auto"/>
        <w:right w:val="none" w:sz="0" w:space="0" w:color="auto"/>
      </w:divBdr>
    </w:div>
    <w:div w:id="1662002841">
      <w:bodyDiv w:val="1"/>
      <w:marLeft w:val="0"/>
      <w:marRight w:val="0"/>
      <w:marTop w:val="0"/>
      <w:marBottom w:val="0"/>
      <w:divBdr>
        <w:top w:val="none" w:sz="0" w:space="0" w:color="auto"/>
        <w:left w:val="none" w:sz="0" w:space="0" w:color="auto"/>
        <w:bottom w:val="none" w:sz="0" w:space="0" w:color="auto"/>
        <w:right w:val="none" w:sz="0" w:space="0" w:color="auto"/>
      </w:divBdr>
    </w:div>
    <w:div w:id="1665472971">
      <w:bodyDiv w:val="1"/>
      <w:marLeft w:val="0"/>
      <w:marRight w:val="0"/>
      <w:marTop w:val="0"/>
      <w:marBottom w:val="0"/>
      <w:divBdr>
        <w:top w:val="none" w:sz="0" w:space="0" w:color="auto"/>
        <w:left w:val="none" w:sz="0" w:space="0" w:color="auto"/>
        <w:bottom w:val="none" w:sz="0" w:space="0" w:color="auto"/>
        <w:right w:val="none" w:sz="0" w:space="0" w:color="auto"/>
      </w:divBdr>
    </w:div>
    <w:div w:id="1665619596">
      <w:bodyDiv w:val="1"/>
      <w:marLeft w:val="0"/>
      <w:marRight w:val="0"/>
      <w:marTop w:val="0"/>
      <w:marBottom w:val="0"/>
      <w:divBdr>
        <w:top w:val="none" w:sz="0" w:space="0" w:color="auto"/>
        <w:left w:val="none" w:sz="0" w:space="0" w:color="auto"/>
        <w:bottom w:val="none" w:sz="0" w:space="0" w:color="auto"/>
        <w:right w:val="none" w:sz="0" w:space="0" w:color="auto"/>
      </w:divBdr>
    </w:div>
    <w:div w:id="1666739881">
      <w:bodyDiv w:val="1"/>
      <w:marLeft w:val="0"/>
      <w:marRight w:val="0"/>
      <w:marTop w:val="0"/>
      <w:marBottom w:val="0"/>
      <w:divBdr>
        <w:top w:val="none" w:sz="0" w:space="0" w:color="auto"/>
        <w:left w:val="none" w:sz="0" w:space="0" w:color="auto"/>
        <w:bottom w:val="none" w:sz="0" w:space="0" w:color="auto"/>
        <w:right w:val="none" w:sz="0" w:space="0" w:color="auto"/>
      </w:divBdr>
    </w:div>
    <w:div w:id="1668902879">
      <w:bodyDiv w:val="1"/>
      <w:marLeft w:val="0"/>
      <w:marRight w:val="0"/>
      <w:marTop w:val="0"/>
      <w:marBottom w:val="0"/>
      <w:divBdr>
        <w:top w:val="none" w:sz="0" w:space="0" w:color="auto"/>
        <w:left w:val="none" w:sz="0" w:space="0" w:color="auto"/>
        <w:bottom w:val="none" w:sz="0" w:space="0" w:color="auto"/>
        <w:right w:val="none" w:sz="0" w:space="0" w:color="auto"/>
      </w:divBdr>
    </w:div>
    <w:div w:id="1674838881">
      <w:bodyDiv w:val="1"/>
      <w:marLeft w:val="0"/>
      <w:marRight w:val="0"/>
      <w:marTop w:val="0"/>
      <w:marBottom w:val="0"/>
      <w:divBdr>
        <w:top w:val="none" w:sz="0" w:space="0" w:color="auto"/>
        <w:left w:val="none" w:sz="0" w:space="0" w:color="auto"/>
        <w:bottom w:val="none" w:sz="0" w:space="0" w:color="auto"/>
        <w:right w:val="none" w:sz="0" w:space="0" w:color="auto"/>
      </w:divBdr>
    </w:div>
    <w:div w:id="1675574495">
      <w:bodyDiv w:val="1"/>
      <w:marLeft w:val="0"/>
      <w:marRight w:val="0"/>
      <w:marTop w:val="0"/>
      <w:marBottom w:val="0"/>
      <w:divBdr>
        <w:top w:val="none" w:sz="0" w:space="0" w:color="auto"/>
        <w:left w:val="none" w:sz="0" w:space="0" w:color="auto"/>
        <w:bottom w:val="none" w:sz="0" w:space="0" w:color="auto"/>
        <w:right w:val="none" w:sz="0" w:space="0" w:color="auto"/>
      </w:divBdr>
    </w:div>
    <w:div w:id="1677687684">
      <w:bodyDiv w:val="1"/>
      <w:marLeft w:val="0"/>
      <w:marRight w:val="0"/>
      <w:marTop w:val="0"/>
      <w:marBottom w:val="0"/>
      <w:divBdr>
        <w:top w:val="none" w:sz="0" w:space="0" w:color="auto"/>
        <w:left w:val="none" w:sz="0" w:space="0" w:color="auto"/>
        <w:bottom w:val="none" w:sz="0" w:space="0" w:color="auto"/>
        <w:right w:val="none" w:sz="0" w:space="0" w:color="auto"/>
      </w:divBdr>
    </w:div>
    <w:div w:id="1679235727">
      <w:bodyDiv w:val="1"/>
      <w:marLeft w:val="0"/>
      <w:marRight w:val="0"/>
      <w:marTop w:val="0"/>
      <w:marBottom w:val="0"/>
      <w:divBdr>
        <w:top w:val="none" w:sz="0" w:space="0" w:color="auto"/>
        <w:left w:val="none" w:sz="0" w:space="0" w:color="auto"/>
        <w:bottom w:val="none" w:sz="0" w:space="0" w:color="auto"/>
        <w:right w:val="none" w:sz="0" w:space="0" w:color="auto"/>
      </w:divBdr>
    </w:div>
    <w:div w:id="1679891875">
      <w:bodyDiv w:val="1"/>
      <w:marLeft w:val="0"/>
      <w:marRight w:val="0"/>
      <w:marTop w:val="0"/>
      <w:marBottom w:val="0"/>
      <w:divBdr>
        <w:top w:val="none" w:sz="0" w:space="0" w:color="auto"/>
        <w:left w:val="none" w:sz="0" w:space="0" w:color="auto"/>
        <w:bottom w:val="none" w:sz="0" w:space="0" w:color="auto"/>
        <w:right w:val="none" w:sz="0" w:space="0" w:color="auto"/>
      </w:divBdr>
    </w:div>
    <w:div w:id="1681200654">
      <w:bodyDiv w:val="1"/>
      <w:marLeft w:val="0"/>
      <w:marRight w:val="0"/>
      <w:marTop w:val="0"/>
      <w:marBottom w:val="0"/>
      <w:divBdr>
        <w:top w:val="none" w:sz="0" w:space="0" w:color="auto"/>
        <w:left w:val="none" w:sz="0" w:space="0" w:color="auto"/>
        <w:bottom w:val="none" w:sz="0" w:space="0" w:color="auto"/>
        <w:right w:val="none" w:sz="0" w:space="0" w:color="auto"/>
      </w:divBdr>
    </w:div>
    <w:div w:id="1682316669">
      <w:bodyDiv w:val="1"/>
      <w:marLeft w:val="0"/>
      <w:marRight w:val="0"/>
      <w:marTop w:val="0"/>
      <w:marBottom w:val="0"/>
      <w:divBdr>
        <w:top w:val="none" w:sz="0" w:space="0" w:color="auto"/>
        <w:left w:val="none" w:sz="0" w:space="0" w:color="auto"/>
        <w:bottom w:val="none" w:sz="0" w:space="0" w:color="auto"/>
        <w:right w:val="none" w:sz="0" w:space="0" w:color="auto"/>
      </w:divBdr>
    </w:div>
    <w:div w:id="1682660862">
      <w:bodyDiv w:val="1"/>
      <w:marLeft w:val="0"/>
      <w:marRight w:val="0"/>
      <w:marTop w:val="0"/>
      <w:marBottom w:val="0"/>
      <w:divBdr>
        <w:top w:val="none" w:sz="0" w:space="0" w:color="auto"/>
        <w:left w:val="none" w:sz="0" w:space="0" w:color="auto"/>
        <w:bottom w:val="none" w:sz="0" w:space="0" w:color="auto"/>
        <w:right w:val="none" w:sz="0" w:space="0" w:color="auto"/>
      </w:divBdr>
    </w:div>
    <w:div w:id="1683505416">
      <w:bodyDiv w:val="1"/>
      <w:marLeft w:val="0"/>
      <w:marRight w:val="0"/>
      <w:marTop w:val="0"/>
      <w:marBottom w:val="0"/>
      <w:divBdr>
        <w:top w:val="none" w:sz="0" w:space="0" w:color="auto"/>
        <w:left w:val="none" w:sz="0" w:space="0" w:color="auto"/>
        <w:bottom w:val="none" w:sz="0" w:space="0" w:color="auto"/>
        <w:right w:val="none" w:sz="0" w:space="0" w:color="auto"/>
      </w:divBdr>
    </w:div>
    <w:div w:id="1684479798">
      <w:bodyDiv w:val="1"/>
      <w:marLeft w:val="0"/>
      <w:marRight w:val="0"/>
      <w:marTop w:val="0"/>
      <w:marBottom w:val="0"/>
      <w:divBdr>
        <w:top w:val="none" w:sz="0" w:space="0" w:color="auto"/>
        <w:left w:val="none" w:sz="0" w:space="0" w:color="auto"/>
        <w:bottom w:val="none" w:sz="0" w:space="0" w:color="auto"/>
        <w:right w:val="none" w:sz="0" w:space="0" w:color="auto"/>
      </w:divBdr>
    </w:div>
    <w:div w:id="1686664978">
      <w:bodyDiv w:val="1"/>
      <w:marLeft w:val="0"/>
      <w:marRight w:val="0"/>
      <w:marTop w:val="0"/>
      <w:marBottom w:val="0"/>
      <w:divBdr>
        <w:top w:val="none" w:sz="0" w:space="0" w:color="auto"/>
        <w:left w:val="none" w:sz="0" w:space="0" w:color="auto"/>
        <w:bottom w:val="none" w:sz="0" w:space="0" w:color="auto"/>
        <w:right w:val="none" w:sz="0" w:space="0" w:color="auto"/>
      </w:divBdr>
    </w:div>
    <w:div w:id="1686859877">
      <w:bodyDiv w:val="1"/>
      <w:marLeft w:val="0"/>
      <w:marRight w:val="0"/>
      <w:marTop w:val="0"/>
      <w:marBottom w:val="0"/>
      <w:divBdr>
        <w:top w:val="none" w:sz="0" w:space="0" w:color="auto"/>
        <w:left w:val="none" w:sz="0" w:space="0" w:color="auto"/>
        <w:bottom w:val="none" w:sz="0" w:space="0" w:color="auto"/>
        <w:right w:val="none" w:sz="0" w:space="0" w:color="auto"/>
      </w:divBdr>
    </w:div>
    <w:div w:id="1687558247">
      <w:bodyDiv w:val="1"/>
      <w:marLeft w:val="0"/>
      <w:marRight w:val="0"/>
      <w:marTop w:val="0"/>
      <w:marBottom w:val="0"/>
      <w:divBdr>
        <w:top w:val="none" w:sz="0" w:space="0" w:color="auto"/>
        <w:left w:val="none" w:sz="0" w:space="0" w:color="auto"/>
        <w:bottom w:val="none" w:sz="0" w:space="0" w:color="auto"/>
        <w:right w:val="none" w:sz="0" w:space="0" w:color="auto"/>
      </w:divBdr>
    </w:div>
    <w:div w:id="1688406741">
      <w:bodyDiv w:val="1"/>
      <w:marLeft w:val="0"/>
      <w:marRight w:val="0"/>
      <w:marTop w:val="0"/>
      <w:marBottom w:val="0"/>
      <w:divBdr>
        <w:top w:val="none" w:sz="0" w:space="0" w:color="auto"/>
        <w:left w:val="none" w:sz="0" w:space="0" w:color="auto"/>
        <w:bottom w:val="none" w:sz="0" w:space="0" w:color="auto"/>
        <w:right w:val="none" w:sz="0" w:space="0" w:color="auto"/>
      </w:divBdr>
    </w:div>
    <w:div w:id="1689982704">
      <w:bodyDiv w:val="1"/>
      <w:marLeft w:val="0"/>
      <w:marRight w:val="0"/>
      <w:marTop w:val="0"/>
      <w:marBottom w:val="0"/>
      <w:divBdr>
        <w:top w:val="none" w:sz="0" w:space="0" w:color="auto"/>
        <w:left w:val="none" w:sz="0" w:space="0" w:color="auto"/>
        <w:bottom w:val="none" w:sz="0" w:space="0" w:color="auto"/>
        <w:right w:val="none" w:sz="0" w:space="0" w:color="auto"/>
      </w:divBdr>
    </w:div>
    <w:div w:id="1689983880">
      <w:bodyDiv w:val="1"/>
      <w:marLeft w:val="0"/>
      <w:marRight w:val="0"/>
      <w:marTop w:val="0"/>
      <w:marBottom w:val="0"/>
      <w:divBdr>
        <w:top w:val="none" w:sz="0" w:space="0" w:color="auto"/>
        <w:left w:val="none" w:sz="0" w:space="0" w:color="auto"/>
        <w:bottom w:val="none" w:sz="0" w:space="0" w:color="auto"/>
        <w:right w:val="none" w:sz="0" w:space="0" w:color="auto"/>
      </w:divBdr>
    </w:div>
    <w:div w:id="1701665779">
      <w:bodyDiv w:val="1"/>
      <w:marLeft w:val="0"/>
      <w:marRight w:val="0"/>
      <w:marTop w:val="0"/>
      <w:marBottom w:val="0"/>
      <w:divBdr>
        <w:top w:val="none" w:sz="0" w:space="0" w:color="auto"/>
        <w:left w:val="none" w:sz="0" w:space="0" w:color="auto"/>
        <w:bottom w:val="none" w:sz="0" w:space="0" w:color="auto"/>
        <w:right w:val="none" w:sz="0" w:space="0" w:color="auto"/>
      </w:divBdr>
    </w:div>
    <w:div w:id="1703168939">
      <w:bodyDiv w:val="1"/>
      <w:marLeft w:val="0"/>
      <w:marRight w:val="0"/>
      <w:marTop w:val="0"/>
      <w:marBottom w:val="0"/>
      <w:divBdr>
        <w:top w:val="none" w:sz="0" w:space="0" w:color="auto"/>
        <w:left w:val="none" w:sz="0" w:space="0" w:color="auto"/>
        <w:bottom w:val="none" w:sz="0" w:space="0" w:color="auto"/>
        <w:right w:val="none" w:sz="0" w:space="0" w:color="auto"/>
      </w:divBdr>
    </w:div>
    <w:div w:id="1705595843">
      <w:bodyDiv w:val="1"/>
      <w:marLeft w:val="0"/>
      <w:marRight w:val="0"/>
      <w:marTop w:val="0"/>
      <w:marBottom w:val="0"/>
      <w:divBdr>
        <w:top w:val="none" w:sz="0" w:space="0" w:color="auto"/>
        <w:left w:val="none" w:sz="0" w:space="0" w:color="auto"/>
        <w:bottom w:val="none" w:sz="0" w:space="0" w:color="auto"/>
        <w:right w:val="none" w:sz="0" w:space="0" w:color="auto"/>
      </w:divBdr>
    </w:div>
    <w:div w:id="1707606989">
      <w:bodyDiv w:val="1"/>
      <w:marLeft w:val="0"/>
      <w:marRight w:val="0"/>
      <w:marTop w:val="0"/>
      <w:marBottom w:val="0"/>
      <w:divBdr>
        <w:top w:val="none" w:sz="0" w:space="0" w:color="auto"/>
        <w:left w:val="none" w:sz="0" w:space="0" w:color="auto"/>
        <w:bottom w:val="none" w:sz="0" w:space="0" w:color="auto"/>
        <w:right w:val="none" w:sz="0" w:space="0" w:color="auto"/>
      </w:divBdr>
    </w:div>
    <w:div w:id="1711107000">
      <w:bodyDiv w:val="1"/>
      <w:marLeft w:val="0"/>
      <w:marRight w:val="0"/>
      <w:marTop w:val="0"/>
      <w:marBottom w:val="0"/>
      <w:divBdr>
        <w:top w:val="none" w:sz="0" w:space="0" w:color="auto"/>
        <w:left w:val="none" w:sz="0" w:space="0" w:color="auto"/>
        <w:bottom w:val="none" w:sz="0" w:space="0" w:color="auto"/>
        <w:right w:val="none" w:sz="0" w:space="0" w:color="auto"/>
      </w:divBdr>
    </w:div>
    <w:div w:id="1713769259">
      <w:bodyDiv w:val="1"/>
      <w:marLeft w:val="0"/>
      <w:marRight w:val="0"/>
      <w:marTop w:val="0"/>
      <w:marBottom w:val="0"/>
      <w:divBdr>
        <w:top w:val="none" w:sz="0" w:space="0" w:color="auto"/>
        <w:left w:val="none" w:sz="0" w:space="0" w:color="auto"/>
        <w:bottom w:val="none" w:sz="0" w:space="0" w:color="auto"/>
        <w:right w:val="none" w:sz="0" w:space="0" w:color="auto"/>
      </w:divBdr>
    </w:div>
    <w:div w:id="1715930693">
      <w:bodyDiv w:val="1"/>
      <w:marLeft w:val="0"/>
      <w:marRight w:val="0"/>
      <w:marTop w:val="0"/>
      <w:marBottom w:val="0"/>
      <w:divBdr>
        <w:top w:val="none" w:sz="0" w:space="0" w:color="auto"/>
        <w:left w:val="none" w:sz="0" w:space="0" w:color="auto"/>
        <w:bottom w:val="none" w:sz="0" w:space="0" w:color="auto"/>
        <w:right w:val="none" w:sz="0" w:space="0" w:color="auto"/>
      </w:divBdr>
    </w:div>
    <w:div w:id="1718818860">
      <w:bodyDiv w:val="1"/>
      <w:marLeft w:val="0"/>
      <w:marRight w:val="0"/>
      <w:marTop w:val="0"/>
      <w:marBottom w:val="0"/>
      <w:divBdr>
        <w:top w:val="none" w:sz="0" w:space="0" w:color="auto"/>
        <w:left w:val="none" w:sz="0" w:space="0" w:color="auto"/>
        <w:bottom w:val="none" w:sz="0" w:space="0" w:color="auto"/>
        <w:right w:val="none" w:sz="0" w:space="0" w:color="auto"/>
      </w:divBdr>
    </w:div>
    <w:div w:id="1718892896">
      <w:bodyDiv w:val="1"/>
      <w:marLeft w:val="0"/>
      <w:marRight w:val="0"/>
      <w:marTop w:val="0"/>
      <w:marBottom w:val="0"/>
      <w:divBdr>
        <w:top w:val="none" w:sz="0" w:space="0" w:color="auto"/>
        <w:left w:val="none" w:sz="0" w:space="0" w:color="auto"/>
        <w:bottom w:val="none" w:sz="0" w:space="0" w:color="auto"/>
        <w:right w:val="none" w:sz="0" w:space="0" w:color="auto"/>
      </w:divBdr>
    </w:div>
    <w:div w:id="1720208929">
      <w:bodyDiv w:val="1"/>
      <w:marLeft w:val="0"/>
      <w:marRight w:val="0"/>
      <w:marTop w:val="0"/>
      <w:marBottom w:val="0"/>
      <w:divBdr>
        <w:top w:val="none" w:sz="0" w:space="0" w:color="auto"/>
        <w:left w:val="none" w:sz="0" w:space="0" w:color="auto"/>
        <w:bottom w:val="none" w:sz="0" w:space="0" w:color="auto"/>
        <w:right w:val="none" w:sz="0" w:space="0" w:color="auto"/>
      </w:divBdr>
    </w:div>
    <w:div w:id="1720276164">
      <w:bodyDiv w:val="1"/>
      <w:marLeft w:val="0"/>
      <w:marRight w:val="0"/>
      <w:marTop w:val="0"/>
      <w:marBottom w:val="0"/>
      <w:divBdr>
        <w:top w:val="none" w:sz="0" w:space="0" w:color="auto"/>
        <w:left w:val="none" w:sz="0" w:space="0" w:color="auto"/>
        <w:bottom w:val="none" w:sz="0" w:space="0" w:color="auto"/>
        <w:right w:val="none" w:sz="0" w:space="0" w:color="auto"/>
      </w:divBdr>
    </w:div>
    <w:div w:id="1722904561">
      <w:bodyDiv w:val="1"/>
      <w:marLeft w:val="0"/>
      <w:marRight w:val="0"/>
      <w:marTop w:val="0"/>
      <w:marBottom w:val="0"/>
      <w:divBdr>
        <w:top w:val="none" w:sz="0" w:space="0" w:color="auto"/>
        <w:left w:val="none" w:sz="0" w:space="0" w:color="auto"/>
        <w:bottom w:val="none" w:sz="0" w:space="0" w:color="auto"/>
        <w:right w:val="none" w:sz="0" w:space="0" w:color="auto"/>
      </w:divBdr>
    </w:div>
    <w:div w:id="1726492986">
      <w:bodyDiv w:val="1"/>
      <w:marLeft w:val="0"/>
      <w:marRight w:val="0"/>
      <w:marTop w:val="0"/>
      <w:marBottom w:val="0"/>
      <w:divBdr>
        <w:top w:val="none" w:sz="0" w:space="0" w:color="auto"/>
        <w:left w:val="none" w:sz="0" w:space="0" w:color="auto"/>
        <w:bottom w:val="none" w:sz="0" w:space="0" w:color="auto"/>
        <w:right w:val="none" w:sz="0" w:space="0" w:color="auto"/>
      </w:divBdr>
    </w:div>
    <w:div w:id="1727752996">
      <w:bodyDiv w:val="1"/>
      <w:marLeft w:val="0"/>
      <w:marRight w:val="0"/>
      <w:marTop w:val="0"/>
      <w:marBottom w:val="0"/>
      <w:divBdr>
        <w:top w:val="none" w:sz="0" w:space="0" w:color="auto"/>
        <w:left w:val="none" w:sz="0" w:space="0" w:color="auto"/>
        <w:bottom w:val="none" w:sz="0" w:space="0" w:color="auto"/>
        <w:right w:val="none" w:sz="0" w:space="0" w:color="auto"/>
      </w:divBdr>
    </w:div>
    <w:div w:id="1729379396">
      <w:bodyDiv w:val="1"/>
      <w:marLeft w:val="0"/>
      <w:marRight w:val="0"/>
      <w:marTop w:val="0"/>
      <w:marBottom w:val="0"/>
      <w:divBdr>
        <w:top w:val="none" w:sz="0" w:space="0" w:color="auto"/>
        <w:left w:val="none" w:sz="0" w:space="0" w:color="auto"/>
        <w:bottom w:val="none" w:sz="0" w:space="0" w:color="auto"/>
        <w:right w:val="none" w:sz="0" w:space="0" w:color="auto"/>
      </w:divBdr>
    </w:div>
    <w:div w:id="1729721803">
      <w:bodyDiv w:val="1"/>
      <w:marLeft w:val="0"/>
      <w:marRight w:val="0"/>
      <w:marTop w:val="0"/>
      <w:marBottom w:val="0"/>
      <w:divBdr>
        <w:top w:val="none" w:sz="0" w:space="0" w:color="auto"/>
        <w:left w:val="none" w:sz="0" w:space="0" w:color="auto"/>
        <w:bottom w:val="none" w:sz="0" w:space="0" w:color="auto"/>
        <w:right w:val="none" w:sz="0" w:space="0" w:color="auto"/>
      </w:divBdr>
    </w:div>
    <w:div w:id="1731920375">
      <w:bodyDiv w:val="1"/>
      <w:marLeft w:val="0"/>
      <w:marRight w:val="0"/>
      <w:marTop w:val="0"/>
      <w:marBottom w:val="0"/>
      <w:divBdr>
        <w:top w:val="none" w:sz="0" w:space="0" w:color="auto"/>
        <w:left w:val="none" w:sz="0" w:space="0" w:color="auto"/>
        <w:bottom w:val="none" w:sz="0" w:space="0" w:color="auto"/>
        <w:right w:val="none" w:sz="0" w:space="0" w:color="auto"/>
      </w:divBdr>
    </w:div>
    <w:div w:id="1733651303">
      <w:bodyDiv w:val="1"/>
      <w:marLeft w:val="0"/>
      <w:marRight w:val="0"/>
      <w:marTop w:val="0"/>
      <w:marBottom w:val="0"/>
      <w:divBdr>
        <w:top w:val="none" w:sz="0" w:space="0" w:color="auto"/>
        <w:left w:val="none" w:sz="0" w:space="0" w:color="auto"/>
        <w:bottom w:val="none" w:sz="0" w:space="0" w:color="auto"/>
        <w:right w:val="none" w:sz="0" w:space="0" w:color="auto"/>
      </w:divBdr>
    </w:div>
    <w:div w:id="1734154122">
      <w:bodyDiv w:val="1"/>
      <w:marLeft w:val="0"/>
      <w:marRight w:val="0"/>
      <w:marTop w:val="0"/>
      <w:marBottom w:val="0"/>
      <w:divBdr>
        <w:top w:val="none" w:sz="0" w:space="0" w:color="auto"/>
        <w:left w:val="none" w:sz="0" w:space="0" w:color="auto"/>
        <w:bottom w:val="none" w:sz="0" w:space="0" w:color="auto"/>
        <w:right w:val="none" w:sz="0" w:space="0" w:color="auto"/>
      </w:divBdr>
    </w:div>
    <w:div w:id="1740320889">
      <w:bodyDiv w:val="1"/>
      <w:marLeft w:val="0"/>
      <w:marRight w:val="0"/>
      <w:marTop w:val="0"/>
      <w:marBottom w:val="0"/>
      <w:divBdr>
        <w:top w:val="none" w:sz="0" w:space="0" w:color="auto"/>
        <w:left w:val="none" w:sz="0" w:space="0" w:color="auto"/>
        <w:bottom w:val="none" w:sz="0" w:space="0" w:color="auto"/>
        <w:right w:val="none" w:sz="0" w:space="0" w:color="auto"/>
      </w:divBdr>
    </w:div>
    <w:div w:id="1741173324">
      <w:bodyDiv w:val="1"/>
      <w:marLeft w:val="0"/>
      <w:marRight w:val="0"/>
      <w:marTop w:val="0"/>
      <w:marBottom w:val="0"/>
      <w:divBdr>
        <w:top w:val="none" w:sz="0" w:space="0" w:color="auto"/>
        <w:left w:val="none" w:sz="0" w:space="0" w:color="auto"/>
        <w:bottom w:val="none" w:sz="0" w:space="0" w:color="auto"/>
        <w:right w:val="none" w:sz="0" w:space="0" w:color="auto"/>
      </w:divBdr>
    </w:div>
    <w:div w:id="1742408114">
      <w:bodyDiv w:val="1"/>
      <w:marLeft w:val="0"/>
      <w:marRight w:val="0"/>
      <w:marTop w:val="0"/>
      <w:marBottom w:val="0"/>
      <w:divBdr>
        <w:top w:val="none" w:sz="0" w:space="0" w:color="auto"/>
        <w:left w:val="none" w:sz="0" w:space="0" w:color="auto"/>
        <w:bottom w:val="none" w:sz="0" w:space="0" w:color="auto"/>
        <w:right w:val="none" w:sz="0" w:space="0" w:color="auto"/>
      </w:divBdr>
    </w:div>
    <w:div w:id="1743285411">
      <w:bodyDiv w:val="1"/>
      <w:marLeft w:val="0"/>
      <w:marRight w:val="0"/>
      <w:marTop w:val="0"/>
      <w:marBottom w:val="0"/>
      <w:divBdr>
        <w:top w:val="none" w:sz="0" w:space="0" w:color="auto"/>
        <w:left w:val="none" w:sz="0" w:space="0" w:color="auto"/>
        <w:bottom w:val="none" w:sz="0" w:space="0" w:color="auto"/>
        <w:right w:val="none" w:sz="0" w:space="0" w:color="auto"/>
      </w:divBdr>
    </w:div>
    <w:div w:id="1743527771">
      <w:bodyDiv w:val="1"/>
      <w:marLeft w:val="0"/>
      <w:marRight w:val="0"/>
      <w:marTop w:val="0"/>
      <w:marBottom w:val="0"/>
      <w:divBdr>
        <w:top w:val="none" w:sz="0" w:space="0" w:color="auto"/>
        <w:left w:val="none" w:sz="0" w:space="0" w:color="auto"/>
        <w:bottom w:val="none" w:sz="0" w:space="0" w:color="auto"/>
        <w:right w:val="none" w:sz="0" w:space="0" w:color="auto"/>
      </w:divBdr>
    </w:div>
    <w:div w:id="1743790678">
      <w:bodyDiv w:val="1"/>
      <w:marLeft w:val="0"/>
      <w:marRight w:val="0"/>
      <w:marTop w:val="0"/>
      <w:marBottom w:val="0"/>
      <w:divBdr>
        <w:top w:val="none" w:sz="0" w:space="0" w:color="auto"/>
        <w:left w:val="none" w:sz="0" w:space="0" w:color="auto"/>
        <w:bottom w:val="none" w:sz="0" w:space="0" w:color="auto"/>
        <w:right w:val="none" w:sz="0" w:space="0" w:color="auto"/>
      </w:divBdr>
    </w:div>
    <w:div w:id="1744138189">
      <w:bodyDiv w:val="1"/>
      <w:marLeft w:val="0"/>
      <w:marRight w:val="0"/>
      <w:marTop w:val="0"/>
      <w:marBottom w:val="0"/>
      <w:divBdr>
        <w:top w:val="none" w:sz="0" w:space="0" w:color="auto"/>
        <w:left w:val="none" w:sz="0" w:space="0" w:color="auto"/>
        <w:bottom w:val="none" w:sz="0" w:space="0" w:color="auto"/>
        <w:right w:val="none" w:sz="0" w:space="0" w:color="auto"/>
      </w:divBdr>
    </w:div>
    <w:div w:id="1744374911">
      <w:bodyDiv w:val="1"/>
      <w:marLeft w:val="0"/>
      <w:marRight w:val="0"/>
      <w:marTop w:val="0"/>
      <w:marBottom w:val="0"/>
      <w:divBdr>
        <w:top w:val="none" w:sz="0" w:space="0" w:color="auto"/>
        <w:left w:val="none" w:sz="0" w:space="0" w:color="auto"/>
        <w:bottom w:val="none" w:sz="0" w:space="0" w:color="auto"/>
        <w:right w:val="none" w:sz="0" w:space="0" w:color="auto"/>
      </w:divBdr>
    </w:div>
    <w:div w:id="1746763214">
      <w:bodyDiv w:val="1"/>
      <w:marLeft w:val="0"/>
      <w:marRight w:val="0"/>
      <w:marTop w:val="0"/>
      <w:marBottom w:val="0"/>
      <w:divBdr>
        <w:top w:val="none" w:sz="0" w:space="0" w:color="auto"/>
        <w:left w:val="none" w:sz="0" w:space="0" w:color="auto"/>
        <w:bottom w:val="none" w:sz="0" w:space="0" w:color="auto"/>
        <w:right w:val="none" w:sz="0" w:space="0" w:color="auto"/>
      </w:divBdr>
    </w:div>
    <w:div w:id="1746881705">
      <w:bodyDiv w:val="1"/>
      <w:marLeft w:val="0"/>
      <w:marRight w:val="0"/>
      <w:marTop w:val="0"/>
      <w:marBottom w:val="0"/>
      <w:divBdr>
        <w:top w:val="none" w:sz="0" w:space="0" w:color="auto"/>
        <w:left w:val="none" w:sz="0" w:space="0" w:color="auto"/>
        <w:bottom w:val="none" w:sz="0" w:space="0" w:color="auto"/>
        <w:right w:val="none" w:sz="0" w:space="0" w:color="auto"/>
      </w:divBdr>
    </w:div>
    <w:div w:id="1747914377">
      <w:bodyDiv w:val="1"/>
      <w:marLeft w:val="0"/>
      <w:marRight w:val="0"/>
      <w:marTop w:val="0"/>
      <w:marBottom w:val="0"/>
      <w:divBdr>
        <w:top w:val="none" w:sz="0" w:space="0" w:color="auto"/>
        <w:left w:val="none" w:sz="0" w:space="0" w:color="auto"/>
        <w:bottom w:val="none" w:sz="0" w:space="0" w:color="auto"/>
        <w:right w:val="none" w:sz="0" w:space="0" w:color="auto"/>
      </w:divBdr>
    </w:div>
    <w:div w:id="1748265723">
      <w:bodyDiv w:val="1"/>
      <w:marLeft w:val="0"/>
      <w:marRight w:val="0"/>
      <w:marTop w:val="0"/>
      <w:marBottom w:val="0"/>
      <w:divBdr>
        <w:top w:val="none" w:sz="0" w:space="0" w:color="auto"/>
        <w:left w:val="none" w:sz="0" w:space="0" w:color="auto"/>
        <w:bottom w:val="none" w:sz="0" w:space="0" w:color="auto"/>
        <w:right w:val="none" w:sz="0" w:space="0" w:color="auto"/>
      </w:divBdr>
    </w:div>
    <w:div w:id="1748380982">
      <w:bodyDiv w:val="1"/>
      <w:marLeft w:val="0"/>
      <w:marRight w:val="0"/>
      <w:marTop w:val="0"/>
      <w:marBottom w:val="0"/>
      <w:divBdr>
        <w:top w:val="none" w:sz="0" w:space="0" w:color="auto"/>
        <w:left w:val="none" w:sz="0" w:space="0" w:color="auto"/>
        <w:bottom w:val="none" w:sz="0" w:space="0" w:color="auto"/>
        <w:right w:val="none" w:sz="0" w:space="0" w:color="auto"/>
      </w:divBdr>
    </w:div>
    <w:div w:id="1749301239">
      <w:bodyDiv w:val="1"/>
      <w:marLeft w:val="0"/>
      <w:marRight w:val="0"/>
      <w:marTop w:val="0"/>
      <w:marBottom w:val="0"/>
      <w:divBdr>
        <w:top w:val="none" w:sz="0" w:space="0" w:color="auto"/>
        <w:left w:val="none" w:sz="0" w:space="0" w:color="auto"/>
        <w:bottom w:val="none" w:sz="0" w:space="0" w:color="auto"/>
        <w:right w:val="none" w:sz="0" w:space="0" w:color="auto"/>
      </w:divBdr>
    </w:div>
    <w:div w:id="1751996708">
      <w:bodyDiv w:val="1"/>
      <w:marLeft w:val="0"/>
      <w:marRight w:val="0"/>
      <w:marTop w:val="0"/>
      <w:marBottom w:val="0"/>
      <w:divBdr>
        <w:top w:val="none" w:sz="0" w:space="0" w:color="auto"/>
        <w:left w:val="none" w:sz="0" w:space="0" w:color="auto"/>
        <w:bottom w:val="none" w:sz="0" w:space="0" w:color="auto"/>
        <w:right w:val="none" w:sz="0" w:space="0" w:color="auto"/>
      </w:divBdr>
    </w:div>
    <w:div w:id="1753623835">
      <w:bodyDiv w:val="1"/>
      <w:marLeft w:val="0"/>
      <w:marRight w:val="0"/>
      <w:marTop w:val="0"/>
      <w:marBottom w:val="0"/>
      <w:divBdr>
        <w:top w:val="none" w:sz="0" w:space="0" w:color="auto"/>
        <w:left w:val="none" w:sz="0" w:space="0" w:color="auto"/>
        <w:bottom w:val="none" w:sz="0" w:space="0" w:color="auto"/>
        <w:right w:val="none" w:sz="0" w:space="0" w:color="auto"/>
      </w:divBdr>
    </w:div>
    <w:div w:id="1753888371">
      <w:bodyDiv w:val="1"/>
      <w:marLeft w:val="0"/>
      <w:marRight w:val="0"/>
      <w:marTop w:val="0"/>
      <w:marBottom w:val="0"/>
      <w:divBdr>
        <w:top w:val="none" w:sz="0" w:space="0" w:color="auto"/>
        <w:left w:val="none" w:sz="0" w:space="0" w:color="auto"/>
        <w:bottom w:val="none" w:sz="0" w:space="0" w:color="auto"/>
        <w:right w:val="none" w:sz="0" w:space="0" w:color="auto"/>
      </w:divBdr>
    </w:div>
    <w:div w:id="1754351703">
      <w:bodyDiv w:val="1"/>
      <w:marLeft w:val="0"/>
      <w:marRight w:val="0"/>
      <w:marTop w:val="0"/>
      <w:marBottom w:val="0"/>
      <w:divBdr>
        <w:top w:val="none" w:sz="0" w:space="0" w:color="auto"/>
        <w:left w:val="none" w:sz="0" w:space="0" w:color="auto"/>
        <w:bottom w:val="none" w:sz="0" w:space="0" w:color="auto"/>
        <w:right w:val="none" w:sz="0" w:space="0" w:color="auto"/>
      </w:divBdr>
    </w:div>
    <w:div w:id="1758136488">
      <w:bodyDiv w:val="1"/>
      <w:marLeft w:val="0"/>
      <w:marRight w:val="0"/>
      <w:marTop w:val="0"/>
      <w:marBottom w:val="0"/>
      <w:divBdr>
        <w:top w:val="none" w:sz="0" w:space="0" w:color="auto"/>
        <w:left w:val="none" w:sz="0" w:space="0" w:color="auto"/>
        <w:bottom w:val="none" w:sz="0" w:space="0" w:color="auto"/>
        <w:right w:val="none" w:sz="0" w:space="0" w:color="auto"/>
      </w:divBdr>
    </w:div>
    <w:div w:id="1759791887">
      <w:bodyDiv w:val="1"/>
      <w:marLeft w:val="0"/>
      <w:marRight w:val="0"/>
      <w:marTop w:val="0"/>
      <w:marBottom w:val="0"/>
      <w:divBdr>
        <w:top w:val="none" w:sz="0" w:space="0" w:color="auto"/>
        <w:left w:val="none" w:sz="0" w:space="0" w:color="auto"/>
        <w:bottom w:val="none" w:sz="0" w:space="0" w:color="auto"/>
        <w:right w:val="none" w:sz="0" w:space="0" w:color="auto"/>
      </w:divBdr>
    </w:div>
    <w:div w:id="1760251223">
      <w:bodyDiv w:val="1"/>
      <w:marLeft w:val="0"/>
      <w:marRight w:val="0"/>
      <w:marTop w:val="0"/>
      <w:marBottom w:val="0"/>
      <w:divBdr>
        <w:top w:val="none" w:sz="0" w:space="0" w:color="auto"/>
        <w:left w:val="none" w:sz="0" w:space="0" w:color="auto"/>
        <w:bottom w:val="none" w:sz="0" w:space="0" w:color="auto"/>
        <w:right w:val="none" w:sz="0" w:space="0" w:color="auto"/>
      </w:divBdr>
    </w:div>
    <w:div w:id="1760371763">
      <w:bodyDiv w:val="1"/>
      <w:marLeft w:val="0"/>
      <w:marRight w:val="0"/>
      <w:marTop w:val="0"/>
      <w:marBottom w:val="0"/>
      <w:divBdr>
        <w:top w:val="none" w:sz="0" w:space="0" w:color="auto"/>
        <w:left w:val="none" w:sz="0" w:space="0" w:color="auto"/>
        <w:bottom w:val="none" w:sz="0" w:space="0" w:color="auto"/>
        <w:right w:val="none" w:sz="0" w:space="0" w:color="auto"/>
      </w:divBdr>
    </w:div>
    <w:div w:id="1762096312">
      <w:bodyDiv w:val="1"/>
      <w:marLeft w:val="0"/>
      <w:marRight w:val="0"/>
      <w:marTop w:val="0"/>
      <w:marBottom w:val="0"/>
      <w:divBdr>
        <w:top w:val="none" w:sz="0" w:space="0" w:color="auto"/>
        <w:left w:val="none" w:sz="0" w:space="0" w:color="auto"/>
        <w:bottom w:val="none" w:sz="0" w:space="0" w:color="auto"/>
        <w:right w:val="none" w:sz="0" w:space="0" w:color="auto"/>
      </w:divBdr>
    </w:div>
    <w:div w:id="1764261813">
      <w:bodyDiv w:val="1"/>
      <w:marLeft w:val="0"/>
      <w:marRight w:val="0"/>
      <w:marTop w:val="0"/>
      <w:marBottom w:val="0"/>
      <w:divBdr>
        <w:top w:val="none" w:sz="0" w:space="0" w:color="auto"/>
        <w:left w:val="none" w:sz="0" w:space="0" w:color="auto"/>
        <w:bottom w:val="none" w:sz="0" w:space="0" w:color="auto"/>
        <w:right w:val="none" w:sz="0" w:space="0" w:color="auto"/>
      </w:divBdr>
    </w:div>
    <w:div w:id="1764496699">
      <w:bodyDiv w:val="1"/>
      <w:marLeft w:val="0"/>
      <w:marRight w:val="0"/>
      <w:marTop w:val="0"/>
      <w:marBottom w:val="0"/>
      <w:divBdr>
        <w:top w:val="none" w:sz="0" w:space="0" w:color="auto"/>
        <w:left w:val="none" w:sz="0" w:space="0" w:color="auto"/>
        <w:bottom w:val="none" w:sz="0" w:space="0" w:color="auto"/>
        <w:right w:val="none" w:sz="0" w:space="0" w:color="auto"/>
      </w:divBdr>
    </w:div>
    <w:div w:id="1766342751">
      <w:bodyDiv w:val="1"/>
      <w:marLeft w:val="0"/>
      <w:marRight w:val="0"/>
      <w:marTop w:val="0"/>
      <w:marBottom w:val="0"/>
      <w:divBdr>
        <w:top w:val="none" w:sz="0" w:space="0" w:color="auto"/>
        <w:left w:val="none" w:sz="0" w:space="0" w:color="auto"/>
        <w:bottom w:val="none" w:sz="0" w:space="0" w:color="auto"/>
        <w:right w:val="none" w:sz="0" w:space="0" w:color="auto"/>
      </w:divBdr>
    </w:div>
    <w:div w:id="1766537458">
      <w:bodyDiv w:val="1"/>
      <w:marLeft w:val="0"/>
      <w:marRight w:val="0"/>
      <w:marTop w:val="0"/>
      <w:marBottom w:val="0"/>
      <w:divBdr>
        <w:top w:val="none" w:sz="0" w:space="0" w:color="auto"/>
        <w:left w:val="none" w:sz="0" w:space="0" w:color="auto"/>
        <w:bottom w:val="none" w:sz="0" w:space="0" w:color="auto"/>
        <w:right w:val="none" w:sz="0" w:space="0" w:color="auto"/>
      </w:divBdr>
    </w:div>
    <w:div w:id="1766655632">
      <w:bodyDiv w:val="1"/>
      <w:marLeft w:val="0"/>
      <w:marRight w:val="0"/>
      <w:marTop w:val="0"/>
      <w:marBottom w:val="0"/>
      <w:divBdr>
        <w:top w:val="none" w:sz="0" w:space="0" w:color="auto"/>
        <w:left w:val="none" w:sz="0" w:space="0" w:color="auto"/>
        <w:bottom w:val="none" w:sz="0" w:space="0" w:color="auto"/>
        <w:right w:val="none" w:sz="0" w:space="0" w:color="auto"/>
      </w:divBdr>
    </w:div>
    <w:div w:id="1767656999">
      <w:bodyDiv w:val="1"/>
      <w:marLeft w:val="0"/>
      <w:marRight w:val="0"/>
      <w:marTop w:val="0"/>
      <w:marBottom w:val="0"/>
      <w:divBdr>
        <w:top w:val="none" w:sz="0" w:space="0" w:color="auto"/>
        <w:left w:val="none" w:sz="0" w:space="0" w:color="auto"/>
        <w:bottom w:val="none" w:sz="0" w:space="0" w:color="auto"/>
        <w:right w:val="none" w:sz="0" w:space="0" w:color="auto"/>
      </w:divBdr>
    </w:div>
    <w:div w:id="1767730689">
      <w:bodyDiv w:val="1"/>
      <w:marLeft w:val="0"/>
      <w:marRight w:val="0"/>
      <w:marTop w:val="0"/>
      <w:marBottom w:val="0"/>
      <w:divBdr>
        <w:top w:val="none" w:sz="0" w:space="0" w:color="auto"/>
        <w:left w:val="none" w:sz="0" w:space="0" w:color="auto"/>
        <w:bottom w:val="none" w:sz="0" w:space="0" w:color="auto"/>
        <w:right w:val="none" w:sz="0" w:space="0" w:color="auto"/>
      </w:divBdr>
    </w:div>
    <w:div w:id="1770931069">
      <w:bodyDiv w:val="1"/>
      <w:marLeft w:val="0"/>
      <w:marRight w:val="0"/>
      <w:marTop w:val="0"/>
      <w:marBottom w:val="0"/>
      <w:divBdr>
        <w:top w:val="none" w:sz="0" w:space="0" w:color="auto"/>
        <w:left w:val="none" w:sz="0" w:space="0" w:color="auto"/>
        <w:bottom w:val="none" w:sz="0" w:space="0" w:color="auto"/>
        <w:right w:val="none" w:sz="0" w:space="0" w:color="auto"/>
      </w:divBdr>
    </w:div>
    <w:div w:id="1778678304">
      <w:bodyDiv w:val="1"/>
      <w:marLeft w:val="0"/>
      <w:marRight w:val="0"/>
      <w:marTop w:val="0"/>
      <w:marBottom w:val="0"/>
      <w:divBdr>
        <w:top w:val="none" w:sz="0" w:space="0" w:color="auto"/>
        <w:left w:val="none" w:sz="0" w:space="0" w:color="auto"/>
        <w:bottom w:val="none" w:sz="0" w:space="0" w:color="auto"/>
        <w:right w:val="none" w:sz="0" w:space="0" w:color="auto"/>
      </w:divBdr>
    </w:div>
    <w:div w:id="1780949283">
      <w:bodyDiv w:val="1"/>
      <w:marLeft w:val="0"/>
      <w:marRight w:val="0"/>
      <w:marTop w:val="0"/>
      <w:marBottom w:val="0"/>
      <w:divBdr>
        <w:top w:val="none" w:sz="0" w:space="0" w:color="auto"/>
        <w:left w:val="none" w:sz="0" w:space="0" w:color="auto"/>
        <w:bottom w:val="none" w:sz="0" w:space="0" w:color="auto"/>
        <w:right w:val="none" w:sz="0" w:space="0" w:color="auto"/>
      </w:divBdr>
    </w:div>
    <w:div w:id="1787582700">
      <w:bodyDiv w:val="1"/>
      <w:marLeft w:val="0"/>
      <w:marRight w:val="0"/>
      <w:marTop w:val="0"/>
      <w:marBottom w:val="0"/>
      <w:divBdr>
        <w:top w:val="none" w:sz="0" w:space="0" w:color="auto"/>
        <w:left w:val="none" w:sz="0" w:space="0" w:color="auto"/>
        <w:bottom w:val="none" w:sz="0" w:space="0" w:color="auto"/>
        <w:right w:val="none" w:sz="0" w:space="0" w:color="auto"/>
      </w:divBdr>
    </w:div>
    <w:div w:id="1788742146">
      <w:bodyDiv w:val="1"/>
      <w:marLeft w:val="0"/>
      <w:marRight w:val="0"/>
      <w:marTop w:val="0"/>
      <w:marBottom w:val="0"/>
      <w:divBdr>
        <w:top w:val="none" w:sz="0" w:space="0" w:color="auto"/>
        <w:left w:val="none" w:sz="0" w:space="0" w:color="auto"/>
        <w:bottom w:val="none" w:sz="0" w:space="0" w:color="auto"/>
        <w:right w:val="none" w:sz="0" w:space="0" w:color="auto"/>
      </w:divBdr>
    </w:div>
    <w:div w:id="1791362639">
      <w:bodyDiv w:val="1"/>
      <w:marLeft w:val="0"/>
      <w:marRight w:val="0"/>
      <w:marTop w:val="0"/>
      <w:marBottom w:val="0"/>
      <w:divBdr>
        <w:top w:val="none" w:sz="0" w:space="0" w:color="auto"/>
        <w:left w:val="none" w:sz="0" w:space="0" w:color="auto"/>
        <w:bottom w:val="none" w:sz="0" w:space="0" w:color="auto"/>
        <w:right w:val="none" w:sz="0" w:space="0" w:color="auto"/>
      </w:divBdr>
    </w:div>
    <w:div w:id="1793015039">
      <w:bodyDiv w:val="1"/>
      <w:marLeft w:val="0"/>
      <w:marRight w:val="0"/>
      <w:marTop w:val="0"/>
      <w:marBottom w:val="0"/>
      <w:divBdr>
        <w:top w:val="none" w:sz="0" w:space="0" w:color="auto"/>
        <w:left w:val="none" w:sz="0" w:space="0" w:color="auto"/>
        <w:bottom w:val="none" w:sz="0" w:space="0" w:color="auto"/>
        <w:right w:val="none" w:sz="0" w:space="0" w:color="auto"/>
      </w:divBdr>
    </w:div>
    <w:div w:id="1801262188">
      <w:bodyDiv w:val="1"/>
      <w:marLeft w:val="0"/>
      <w:marRight w:val="0"/>
      <w:marTop w:val="0"/>
      <w:marBottom w:val="0"/>
      <w:divBdr>
        <w:top w:val="none" w:sz="0" w:space="0" w:color="auto"/>
        <w:left w:val="none" w:sz="0" w:space="0" w:color="auto"/>
        <w:bottom w:val="none" w:sz="0" w:space="0" w:color="auto"/>
        <w:right w:val="none" w:sz="0" w:space="0" w:color="auto"/>
      </w:divBdr>
    </w:div>
    <w:div w:id="1801335651">
      <w:bodyDiv w:val="1"/>
      <w:marLeft w:val="0"/>
      <w:marRight w:val="0"/>
      <w:marTop w:val="0"/>
      <w:marBottom w:val="0"/>
      <w:divBdr>
        <w:top w:val="none" w:sz="0" w:space="0" w:color="auto"/>
        <w:left w:val="none" w:sz="0" w:space="0" w:color="auto"/>
        <w:bottom w:val="none" w:sz="0" w:space="0" w:color="auto"/>
        <w:right w:val="none" w:sz="0" w:space="0" w:color="auto"/>
      </w:divBdr>
    </w:div>
    <w:div w:id="18025277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886338">
      <w:bodyDiv w:val="1"/>
      <w:marLeft w:val="0"/>
      <w:marRight w:val="0"/>
      <w:marTop w:val="0"/>
      <w:marBottom w:val="0"/>
      <w:divBdr>
        <w:top w:val="none" w:sz="0" w:space="0" w:color="auto"/>
        <w:left w:val="none" w:sz="0" w:space="0" w:color="auto"/>
        <w:bottom w:val="none" w:sz="0" w:space="0" w:color="auto"/>
        <w:right w:val="none" w:sz="0" w:space="0" w:color="auto"/>
      </w:divBdr>
    </w:div>
    <w:div w:id="1808011889">
      <w:bodyDiv w:val="1"/>
      <w:marLeft w:val="0"/>
      <w:marRight w:val="0"/>
      <w:marTop w:val="0"/>
      <w:marBottom w:val="0"/>
      <w:divBdr>
        <w:top w:val="none" w:sz="0" w:space="0" w:color="auto"/>
        <w:left w:val="none" w:sz="0" w:space="0" w:color="auto"/>
        <w:bottom w:val="none" w:sz="0" w:space="0" w:color="auto"/>
        <w:right w:val="none" w:sz="0" w:space="0" w:color="auto"/>
      </w:divBdr>
    </w:div>
    <w:div w:id="1808471932">
      <w:bodyDiv w:val="1"/>
      <w:marLeft w:val="0"/>
      <w:marRight w:val="0"/>
      <w:marTop w:val="0"/>
      <w:marBottom w:val="0"/>
      <w:divBdr>
        <w:top w:val="none" w:sz="0" w:space="0" w:color="auto"/>
        <w:left w:val="none" w:sz="0" w:space="0" w:color="auto"/>
        <w:bottom w:val="none" w:sz="0" w:space="0" w:color="auto"/>
        <w:right w:val="none" w:sz="0" w:space="0" w:color="auto"/>
      </w:divBdr>
    </w:div>
    <w:div w:id="1811097139">
      <w:bodyDiv w:val="1"/>
      <w:marLeft w:val="0"/>
      <w:marRight w:val="0"/>
      <w:marTop w:val="0"/>
      <w:marBottom w:val="0"/>
      <w:divBdr>
        <w:top w:val="none" w:sz="0" w:space="0" w:color="auto"/>
        <w:left w:val="none" w:sz="0" w:space="0" w:color="auto"/>
        <w:bottom w:val="none" w:sz="0" w:space="0" w:color="auto"/>
        <w:right w:val="none" w:sz="0" w:space="0" w:color="auto"/>
      </w:divBdr>
    </w:div>
    <w:div w:id="1813323978">
      <w:bodyDiv w:val="1"/>
      <w:marLeft w:val="0"/>
      <w:marRight w:val="0"/>
      <w:marTop w:val="0"/>
      <w:marBottom w:val="0"/>
      <w:divBdr>
        <w:top w:val="none" w:sz="0" w:space="0" w:color="auto"/>
        <w:left w:val="none" w:sz="0" w:space="0" w:color="auto"/>
        <w:bottom w:val="none" w:sz="0" w:space="0" w:color="auto"/>
        <w:right w:val="none" w:sz="0" w:space="0" w:color="auto"/>
      </w:divBdr>
    </w:div>
    <w:div w:id="1816413327">
      <w:bodyDiv w:val="1"/>
      <w:marLeft w:val="0"/>
      <w:marRight w:val="0"/>
      <w:marTop w:val="0"/>
      <w:marBottom w:val="0"/>
      <w:divBdr>
        <w:top w:val="none" w:sz="0" w:space="0" w:color="auto"/>
        <w:left w:val="none" w:sz="0" w:space="0" w:color="auto"/>
        <w:bottom w:val="none" w:sz="0" w:space="0" w:color="auto"/>
        <w:right w:val="none" w:sz="0" w:space="0" w:color="auto"/>
      </w:divBdr>
    </w:div>
    <w:div w:id="1816793847">
      <w:bodyDiv w:val="1"/>
      <w:marLeft w:val="0"/>
      <w:marRight w:val="0"/>
      <w:marTop w:val="0"/>
      <w:marBottom w:val="0"/>
      <w:divBdr>
        <w:top w:val="none" w:sz="0" w:space="0" w:color="auto"/>
        <w:left w:val="none" w:sz="0" w:space="0" w:color="auto"/>
        <w:bottom w:val="none" w:sz="0" w:space="0" w:color="auto"/>
        <w:right w:val="none" w:sz="0" w:space="0" w:color="auto"/>
      </w:divBdr>
    </w:div>
    <w:div w:id="1818646044">
      <w:bodyDiv w:val="1"/>
      <w:marLeft w:val="0"/>
      <w:marRight w:val="0"/>
      <w:marTop w:val="0"/>
      <w:marBottom w:val="0"/>
      <w:divBdr>
        <w:top w:val="none" w:sz="0" w:space="0" w:color="auto"/>
        <w:left w:val="none" w:sz="0" w:space="0" w:color="auto"/>
        <w:bottom w:val="none" w:sz="0" w:space="0" w:color="auto"/>
        <w:right w:val="none" w:sz="0" w:space="0" w:color="auto"/>
      </w:divBdr>
    </w:div>
    <w:div w:id="1818841410">
      <w:bodyDiv w:val="1"/>
      <w:marLeft w:val="0"/>
      <w:marRight w:val="0"/>
      <w:marTop w:val="0"/>
      <w:marBottom w:val="0"/>
      <w:divBdr>
        <w:top w:val="none" w:sz="0" w:space="0" w:color="auto"/>
        <w:left w:val="none" w:sz="0" w:space="0" w:color="auto"/>
        <w:bottom w:val="none" w:sz="0" w:space="0" w:color="auto"/>
        <w:right w:val="none" w:sz="0" w:space="0" w:color="auto"/>
      </w:divBdr>
    </w:div>
    <w:div w:id="1818960034">
      <w:bodyDiv w:val="1"/>
      <w:marLeft w:val="0"/>
      <w:marRight w:val="0"/>
      <w:marTop w:val="0"/>
      <w:marBottom w:val="0"/>
      <w:divBdr>
        <w:top w:val="none" w:sz="0" w:space="0" w:color="auto"/>
        <w:left w:val="none" w:sz="0" w:space="0" w:color="auto"/>
        <w:bottom w:val="none" w:sz="0" w:space="0" w:color="auto"/>
        <w:right w:val="none" w:sz="0" w:space="0" w:color="auto"/>
      </w:divBdr>
    </w:div>
    <w:div w:id="18219935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770156">
      <w:bodyDiv w:val="1"/>
      <w:marLeft w:val="0"/>
      <w:marRight w:val="0"/>
      <w:marTop w:val="0"/>
      <w:marBottom w:val="0"/>
      <w:divBdr>
        <w:top w:val="none" w:sz="0" w:space="0" w:color="auto"/>
        <w:left w:val="none" w:sz="0" w:space="0" w:color="auto"/>
        <w:bottom w:val="none" w:sz="0" w:space="0" w:color="auto"/>
        <w:right w:val="none" w:sz="0" w:space="0" w:color="auto"/>
      </w:divBdr>
    </w:div>
    <w:div w:id="1823615001">
      <w:bodyDiv w:val="1"/>
      <w:marLeft w:val="0"/>
      <w:marRight w:val="0"/>
      <w:marTop w:val="0"/>
      <w:marBottom w:val="0"/>
      <w:divBdr>
        <w:top w:val="none" w:sz="0" w:space="0" w:color="auto"/>
        <w:left w:val="none" w:sz="0" w:space="0" w:color="auto"/>
        <w:bottom w:val="none" w:sz="0" w:space="0" w:color="auto"/>
        <w:right w:val="none" w:sz="0" w:space="0" w:color="auto"/>
      </w:divBdr>
    </w:div>
    <w:div w:id="1825582356">
      <w:bodyDiv w:val="1"/>
      <w:marLeft w:val="0"/>
      <w:marRight w:val="0"/>
      <w:marTop w:val="0"/>
      <w:marBottom w:val="0"/>
      <w:divBdr>
        <w:top w:val="none" w:sz="0" w:space="0" w:color="auto"/>
        <w:left w:val="none" w:sz="0" w:space="0" w:color="auto"/>
        <w:bottom w:val="none" w:sz="0" w:space="0" w:color="auto"/>
        <w:right w:val="none" w:sz="0" w:space="0" w:color="auto"/>
      </w:divBdr>
    </w:div>
    <w:div w:id="1826360108">
      <w:bodyDiv w:val="1"/>
      <w:marLeft w:val="0"/>
      <w:marRight w:val="0"/>
      <w:marTop w:val="0"/>
      <w:marBottom w:val="0"/>
      <w:divBdr>
        <w:top w:val="none" w:sz="0" w:space="0" w:color="auto"/>
        <w:left w:val="none" w:sz="0" w:space="0" w:color="auto"/>
        <w:bottom w:val="none" w:sz="0" w:space="0" w:color="auto"/>
        <w:right w:val="none" w:sz="0" w:space="0" w:color="auto"/>
      </w:divBdr>
    </w:div>
    <w:div w:id="1827239382">
      <w:bodyDiv w:val="1"/>
      <w:marLeft w:val="0"/>
      <w:marRight w:val="0"/>
      <w:marTop w:val="0"/>
      <w:marBottom w:val="0"/>
      <w:divBdr>
        <w:top w:val="none" w:sz="0" w:space="0" w:color="auto"/>
        <w:left w:val="none" w:sz="0" w:space="0" w:color="auto"/>
        <w:bottom w:val="none" w:sz="0" w:space="0" w:color="auto"/>
        <w:right w:val="none" w:sz="0" w:space="0" w:color="auto"/>
      </w:divBdr>
    </w:div>
    <w:div w:id="1832213527">
      <w:bodyDiv w:val="1"/>
      <w:marLeft w:val="0"/>
      <w:marRight w:val="0"/>
      <w:marTop w:val="0"/>
      <w:marBottom w:val="0"/>
      <w:divBdr>
        <w:top w:val="none" w:sz="0" w:space="0" w:color="auto"/>
        <w:left w:val="none" w:sz="0" w:space="0" w:color="auto"/>
        <w:bottom w:val="none" w:sz="0" w:space="0" w:color="auto"/>
        <w:right w:val="none" w:sz="0" w:space="0" w:color="auto"/>
      </w:divBdr>
    </w:div>
    <w:div w:id="1833640931">
      <w:bodyDiv w:val="1"/>
      <w:marLeft w:val="0"/>
      <w:marRight w:val="0"/>
      <w:marTop w:val="0"/>
      <w:marBottom w:val="0"/>
      <w:divBdr>
        <w:top w:val="none" w:sz="0" w:space="0" w:color="auto"/>
        <w:left w:val="none" w:sz="0" w:space="0" w:color="auto"/>
        <w:bottom w:val="none" w:sz="0" w:space="0" w:color="auto"/>
        <w:right w:val="none" w:sz="0" w:space="0" w:color="auto"/>
      </w:divBdr>
    </w:div>
    <w:div w:id="1834177579">
      <w:bodyDiv w:val="1"/>
      <w:marLeft w:val="0"/>
      <w:marRight w:val="0"/>
      <w:marTop w:val="0"/>
      <w:marBottom w:val="0"/>
      <w:divBdr>
        <w:top w:val="none" w:sz="0" w:space="0" w:color="auto"/>
        <w:left w:val="none" w:sz="0" w:space="0" w:color="auto"/>
        <w:bottom w:val="none" w:sz="0" w:space="0" w:color="auto"/>
        <w:right w:val="none" w:sz="0" w:space="0" w:color="auto"/>
      </w:divBdr>
    </w:div>
    <w:div w:id="1834951954">
      <w:bodyDiv w:val="1"/>
      <w:marLeft w:val="0"/>
      <w:marRight w:val="0"/>
      <w:marTop w:val="0"/>
      <w:marBottom w:val="0"/>
      <w:divBdr>
        <w:top w:val="none" w:sz="0" w:space="0" w:color="auto"/>
        <w:left w:val="none" w:sz="0" w:space="0" w:color="auto"/>
        <w:bottom w:val="none" w:sz="0" w:space="0" w:color="auto"/>
        <w:right w:val="none" w:sz="0" w:space="0" w:color="auto"/>
      </w:divBdr>
    </w:div>
    <w:div w:id="1836145122">
      <w:bodyDiv w:val="1"/>
      <w:marLeft w:val="0"/>
      <w:marRight w:val="0"/>
      <w:marTop w:val="0"/>
      <w:marBottom w:val="0"/>
      <w:divBdr>
        <w:top w:val="none" w:sz="0" w:space="0" w:color="auto"/>
        <w:left w:val="none" w:sz="0" w:space="0" w:color="auto"/>
        <w:bottom w:val="none" w:sz="0" w:space="0" w:color="auto"/>
        <w:right w:val="none" w:sz="0" w:space="0" w:color="auto"/>
      </w:divBdr>
    </w:div>
    <w:div w:id="1836603990">
      <w:bodyDiv w:val="1"/>
      <w:marLeft w:val="0"/>
      <w:marRight w:val="0"/>
      <w:marTop w:val="0"/>
      <w:marBottom w:val="0"/>
      <w:divBdr>
        <w:top w:val="none" w:sz="0" w:space="0" w:color="auto"/>
        <w:left w:val="none" w:sz="0" w:space="0" w:color="auto"/>
        <w:bottom w:val="none" w:sz="0" w:space="0" w:color="auto"/>
        <w:right w:val="none" w:sz="0" w:space="0" w:color="auto"/>
      </w:divBdr>
    </w:div>
    <w:div w:id="1837333554">
      <w:bodyDiv w:val="1"/>
      <w:marLeft w:val="0"/>
      <w:marRight w:val="0"/>
      <w:marTop w:val="0"/>
      <w:marBottom w:val="0"/>
      <w:divBdr>
        <w:top w:val="none" w:sz="0" w:space="0" w:color="auto"/>
        <w:left w:val="none" w:sz="0" w:space="0" w:color="auto"/>
        <w:bottom w:val="none" w:sz="0" w:space="0" w:color="auto"/>
        <w:right w:val="none" w:sz="0" w:space="0" w:color="auto"/>
      </w:divBdr>
    </w:div>
    <w:div w:id="1839493418">
      <w:bodyDiv w:val="1"/>
      <w:marLeft w:val="0"/>
      <w:marRight w:val="0"/>
      <w:marTop w:val="0"/>
      <w:marBottom w:val="0"/>
      <w:divBdr>
        <w:top w:val="none" w:sz="0" w:space="0" w:color="auto"/>
        <w:left w:val="none" w:sz="0" w:space="0" w:color="auto"/>
        <w:bottom w:val="none" w:sz="0" w:space="0" w:color="auto"/>
        <w:right w:val="none" w:sz="0" w:space="0" w:color="auto"/>
      </w:divBdr>
    </w:div>
    <w:div w:id="1841381768">
      <w:bodyDiv w:val="1"/>
      <w:marLeft w:val="0"/>
      <w:marRight w:val="0"/>
      <w:marTop w:val="0"/>
      <w:marBottom w:val="0"/>
      <w:divBdr>
        <w:top w:val="none" w:sz="0" w:space="0" w:color="auto"/>
        <w:left w:val="none" w:sz="0" w:space="0" w:color="auto"/>
        <w:bottom w:val="none" w:sz="0" w:space="0" w:color="auto"/>
        <w:right w:val="none" w:sz="0" w:space="0" w:color="auto"/>
      </w:divBdr>
    </w:div>
    <w:div w:id="1842700893">
      <w:bodyDiv w:val="1"/>
      <w:marLeft w:val="0"/>
      <w:marRight w:val="0"/>
      <w:marTop w:val="0"/>
      <w:marBottom w:val="0"/>
      <w:divBdr>
        <w:top w:val="none" w:sz="0" w:space="0" w:color="auto"/>
        <w:left w:val="none" w:sz="0" w:space="0" w:color="auto"/>
        <w:bottom w:val="none" w:sz="0" w:space="0" w:color="auto"/>
        <w:right w:val="none" w:sz="0" w:space="0" w:color="auto"/>
      </w:divBdr>
    </w:div>
    <w:div w:id="1844473215">
      <w:bodyDiv w:val="1"/>
      <w:marLeft w:val="0"/>
      <w:marRight w:val="0"/>
      <w:marTop w:val="0"/>
      <w:marBottom w:val="0"/>
      <w:divBdr>
        <w:top w:val="none" w:sz="0" w:space="0" w:color="auto"/>
        <w:left w:val="none" w:sz="0" w:space="0" w:color="auto"/>
        <w:bottom w:val="none" w:sz="0" w:space="0" w:color="auto"/>
        <w:right w:val="none" w:sz="0" w:space="0" w:color="auto"/>
      </w:divBdr>
    </w:div>
    <w:div w:id="1844972893">
      <w:bodyDiv w:val="1"/>
      <w:marLeft w:val="0"/>
      <w:marRight w:val="0"/>
      <w:marTop w:val="0"/>
      <w:marBottom w:val="0"/>
      <w:divBdr>
        <w:top w:val="none" w:sz="0" w:space="0" w:color="auto"/>
        <w:left w:val="none" w:sz="0" w:space="0" w:color="auto"/>
        <w:bottom w:val="none" w:sz="0" w:space="0" w:color="auto"/>
        <w:right w:val="none" w:sz="0" w:space="0" w:color="auto"/>
      </w:divBdr>
    </w:div>
    <w:div w:id="1847204337">
      <w:bodyDiv w:val="1"/>
      <w:marLeft w:val="0"/>
      <w:marRight w:val="0"/>
      <w:marTop w:val="0"/>
      <w:marBottom w:val="0"/>
      <w:divBdr>
        <w:top w:val="none" w:sz="0" w:space="0" w:color="auto"/>
        <w:left w:val="none" w:sz="0" w:space="0" w:color="auto"/>
        <w:bottom w:val="none" w:sz="0" w:space="0" w:color="auto"/>
        <w:right w:val="none" w:sz="0" w:space="0" w:color="auto"/>
      </w:divBdr>
    </w:div>
    <w:div w:id="1849557050">
      <w:bodyDiv w:val="1"/>
      <w:marLeft w:val="0"/>
      <w:marRight w:val="0"/>
      <w:marTop w:val="0"/>
      <w:marBottom w:val="0"/>
      <w:divBdr>
        <w:top w:val="none" w:sz="0" w:space="0" w:color="auto"/>
        <w:left w:val="none" w:sz="0" w:space="0" w:color="auto"/>
        <w:bottom w:val="none" w:sz="0" w:space="0" w:color="auto"/>
        <w:right w:val="none" w:sz="0" w:space="0" w:color="auto"/>
      </w:divBdr>
    </w:div>
    <w:div w:id="1850096999">
      <w:bodyDiv w:val="1"/>
      <w:marLeft w:val="0"/>
      <w:marRight w:val="0"/>
      <w:marTop w:val="0"/>
      <w:marBottom w:val="0"/>
      <w:divBdr>
        <w:top w:val="none" w:sz="0" w:space="0" w:color="auto"/>
        <w:left w:val="none" w:sz="0" w:space="0" w:color="auto"/>
        <w:bottom w:val="none" w:sz="0" w:space="0" w:color="auto"/>
        <w:right w:val="none" w:sz="0" w:space="0" w:color="auto"/>
      </w:divBdr>
    </w:div>
    <w:div w:id="1850100940">
      <w:bodyDiv w:val="1"/>
      <w:marLeft w:val="0"/>
      <w:marRight w:val="0"/>
      <w:marTop w:val="0"/>
      <w:marBottom w:val="0"/>
      <w:divBdr>
        <w:top w:val="none" w:sz="0" w:space="0" w:color="auto"/>
        <w:left w:val="none" w:sz="0" w:space="0" w:color="auto"/>
        <w:bottom w:val="none" w:sz="0" w:space="0" w:color="auto"/>
        <w:right w:val="none" w:sz="0" w:space="0" w:color="auto"/>
      </w:divBdr>
    </w:div>
    <w:div w:id="1850754908">
      <w:bodyDiv w:val="1"/>
      <w:marLeft w:val="0"/>
      <w:marRight w:val="0"/>
      <w:marTop w:val="0"/>
      <w:marBottom w:val="0"/>
      <w:divBdr>
        <w:top w:val="none" w:sz="0" w:space="0" w:color="auto"/>
        <w:left w:val="none" w:sz="0" w:space="0" w:color="auto"/>
        <w:bottom w:val="none" w:sz="0" w:space="0" w:color="auto"/>
        <w:right w:val="none" w:sz="0" w:space="0" w:color="auto"/>
      </w:divBdr>
    </w:div>
    <w:div w:id="1852261330">
      <w:bodyDiv w:val="1"/>
      <w:marLeft w:val="0"/>
      <w:marRight w:val="0"/>
      <w:marTop w:val="0"/>
      <w:marBottom w:val="0"/>
      <w:divBdr>
        <w:top w:val="none" w:sz="0" w:space="0" w:color="auto"/>
        <w:left w:val="none" w:sz="0" w:space="0" w:color="auto"/>
        <w:bottom w:val="none" w:sz="0" w:space="0" w:color="auto"/>
        <w:right w:val="none" w:sz="0" w:space="0" w:color="auto"/>
      </w:divBdr>
    </w:div>
    <w:div w:id="1853102887">
      <w:bodyDiv w:val="1"/>
      <w:marLeft w:val="0"/>
      <w:marRight w:val="0"/>
      <w:marTop w:val="0"/>
      <w:marBottom w:val="0"/>
      <w:divBdr>
        <w:top w:val="none" w:sz="0" w:space="0" w:color="auto"/>
        <w:left w:val="none" w:sz="0" w:space="0" w:color="auto"/>
        <w:bottom w:val="none" w:sz="0" w:space="0" w:color="auto"/>
        <w:right w:val="none" w:sz="0" w:space="0" w:color="auto"/>
      </w:divBdr>
    </w:div>
    <w:div w:id="1853569602">
      <w:bodyDiv w:val="1"/>
      <w:marLeft w:val="0"/>
      <w:marRight w:val="0"/>
      <w:marTop w:val="0"/>
      <w:marBottom w:val="0"/>
      <w:divBdr>
        <w:top w:val="none" w:sz="0" w:space="0" w:color="auto"/>
        <w:left w:val="none" w:sz="0" w:space="0" w:color="auto"/>
        <w:bottom w:val="none" w:sz="0" w:space="0" w:color="auto"/>
        <w:right w:val="none" w:sz="0" w:space="0" w:color="auto"/>
      </w:divBdr>
    </w:div>
    <w:div w:id="1854949807">
      <w:bodyDiv w:val="1"/>
      <w:marLeft w:val="0"/>
      <w:marRight w:val="0"/>
      <w:marTop w:val="0"/>
      <w:marBottom w:val="0"/>
      <w:divBdr>
        <w:top w:val="none" w:sz="0" w:space="0" w:color="auto"/>
        <w:left w:val="none" w:sz="0" w:space="0" w:color="auto"/>
        <w:bottom w:val="none" w:sz="0" w:space="0" w:color="auto"/>
        <w:right w:val="none" w:sz="0" w:space="0" w:color="auto"/>
      </w:divBdr>
    </w:div>
    <w:div w:id="1855919281">
      <w:bodyDiv w:val="1"/>
      <w:marLeft w:val="0"/>
      <w:marRight w:val="0"/>
      <w:marTop w:val="0"/>
      <w:marBottom w:val="0"/>
      <w:divBdr>
        <w:top w:val="none" w:sz="0" w:space="0" w:color="auto"/>
        <w:left w:val="none" w:sz="0" w:space="0" w:color="auto"/>
        <w:bottom w:val="none" w:sz="0" w:space="0" w:color="auto"/>
        <w:right w:val="none" w:sz="0" w:space="0" w:color="auto"/>
      </w:divBdr>
    </w:div>
    <w:div w:id="1857308555">
      <w:bodyDiv w:val="1"/>
      <w:marLeft w:val="0"/>
      <w:marRight w:val="0"/>
      <w:marTop w:val="0"/>
      <w:marBottom w:val="0"/>
      <w:divBdr>
        <w:top w:val="none" w:sz="0" w:space="0" w:color="auto"/>
        <w:left w:val="none" w:sz="0" w:space="0" w:color="auto"/>
        <w:bottom w:val="none" w:sz="0" w:space="0" w:color="auto"/>
        <w:right w:val="none" w:sz="0" w:space="0" w:color="auto"/>
      </w:divBdr>
    </w:div>
    <w:div w:id="1858620410">
      <w:bodyDiv w:val="1"/>
      <w:marLeft w:val="0"/>
      <w:marRight w:val="0"/>
      <w:marTop w:val="0"/>
      <w:marBottom w:val="0"/>
      <w:divBdr>
        <w:top w:val="none" w:sz="0" w:space="0" w:color="auto"/>
        <w:left w:val="none" w:sz="0" w:space="0" w:color="auto"/>
        <w:bottom w:val="none" w:sz="0" w:space="0" w:color="auto"/>
        <w:right w:val="none" w:sz="0" w:space="0" w:color="auto"/>
      </w:divBdr>
    </w:div>
    <w:div w:id="1864443340">
      <w:bodyDiv w:val="1"/>
      <w:marLeft w:val="0"/>
      <w:marRight w:val="0"/>
      <w:marTop w:val="0"/>
      <w:marBottom w:val="0"/>
      <w:divBdr>
        <w:top w:val="none" w:sz="0" w:space="0" w:color="auto"/>
        <w:left w:val="none" w:sz="0" w:space="0" w:color="auto"/>
        <w:bottom w:val="none" w:sz="0" w:space="0" w:color="auto"/>
        <w:right w:val="none" w:sz="0" w:space="0" w:color="auto"/>
      </w:divBdr>
    </w:div>
    <w:div w:id="1864705267">
      <w:bodyDiv w:val="1"/>
      <w:marLeft w:val="0"/>
      <w:marRight w:val="0"/>
      <w:marTop w:val="0"/>
      <w:marBottom w:val="0"/>
      <w:divBdr>
        <w:top w:val="none" w:sz="0" w:space="0" w:color="auto"/>
        <w:left w:val="none" w:sz="0" w:space="0" w:color="auto"/>
        <w:bottom w:val="none" w:sz="0" w:space="0" w:color="auto"/>
        <w:right w:val="none" w:sz="0" w:space="0" w:color="auto"/>
      </w:divBdr>
    </w:div>
    <w:div w:id="1864976324">
      <w:bodyDiv w:val="1"/>
      <w:marLeft w:val="0"/>
      <w:marRight w:val="0"/>
      <w:marTop w:val="0"/>
      <w:marBottom w:val="0"/>
      <w:divBdr>
        <w:top w:val="none" w:sz="0" w:space="0" w:color="auto"/>
        <w:left w:val="none" w:sz="0" w:space="0" w:color="auto"/>
        <w:bottom w:val="none" w:sz="0" w:space="0" w:color="auto"/>
        <w:right w:val="none" w:sz="0" w:space="0" w:color="auto"/>
      </w:divBdr>
    </w:div>
    <w:div w:id="1869416927">
      <w:bodyDiv w:val="1"/>
      <w:marLeft w:val="0"/>
      <w:marRight w:val="0"/>
      <w:marTop w:val="0"/>
      <w:marBottom w:val="0"/>
      <w:divBdr>
        <w:top w:val="none" w:sz="0" w:space="0" w:color="auto"/>
        <w:left w:val="none" w:sz="0" w:space="0" w:color="auto"/>
        <w:bottom w:val="none" w:sz="0" w:space="0" w:color="auto"/>
        <w:right w:val="none" w:sz="0" w:space="0" w:color="auto"/>
      </w:divBdr>
    </w:div>
    <w:div w:id="1871993752">
      <w:bodyDiv w:val="1"/>
      <w:marLeft w:val="0"/>
      <w:marRight w:val="0"/>
      <w:marTop w:val="0"/>
      <w:marBottom w:val="0"/>
      <w:divBdr>
        <w:top w:val="none" w:sz="0" w:space="0" w:color="auto"/>
        <w:left w:val="none" w:sz="0" w:space="0" w:color="auto"/>
        <w:bottom w:val="none" w:sz="0" w:space="0" w:color="auto"/>
        <w:right w:val="none" w:sz="0" w:space="0" w:color="auto"/>
      </w:divBdr>
    </w:div>
    <w:div w:id="1873885194">
      <w:bodyDiv w:val="1"/>
      <w:marLeft w:val="0"/>
      <w:marRight w:val="0"/>
      <w:marTop w:val="0"/>
      <w:marBottom w:val="0"/>
      <w:divBdr>
        <w:top w:val="none" w:sz="0" w:space="0" w:color="auto"/>
        <w:left w:val="none" w:sz="0" w:space="0" w:color="auto"/>
        <w:bottom w:val="none" w:sz="0" w:space="0" w:color="auto"/>
        <w:right w:val="none" w:sz="0" w:space="0" w:color="auto"/>
      </w:divBdr>
    </w:div>
    <w:div w:id="1874228306">
      <w:bodyDiv w:val="1"/>
      <w:marLeft w:val="0"/>
      <w:marRight w:val="0"/>
      <w:marTop w:val="0"/>
      <w:marBottom w:val="0"/>
      <w:divBdr>
        <w:top w:val="none" w:sz="0" w:space="0" w:color="auto"/>
        <w:left w:val="none" w:sz="0" w:space="0" w:color="auto"/>
        <w:bottom w:val="none" w:sz="0" w:space="0" w:color="auto"/>
        <w:right w:val="none" w:sz="0" w:space="0" w:color="auto"/>
      </w:divBdr>
    </w:div>
    <w:div w:id="1876959712">
      <w:bodyDiv w:val="1"/>
      <w:marLeft w:val="0"/>
      <w:marRight w:val="0"/>
      <w:marTop w:val="0"/>
      <w:marBottom w:val="0"/>
      <w:divBdr>
        <w:top w:val="none" w:sz="0" w:space="0" w:color="auto"/>
        <w:left w:val="none" w:sz="0" w:space="0" w:color="auto"/>
        <w:bottom w:val="none" w:sz="0" w:space="0" w:color="auto"/>
        <w:right w:val="none" w:sz="0" w:space="0" w:color="auto"/>
      </w:divBdr>
    </w:div>
    <w:div w:id="1877114850">
      <w:bodyDiv w:val="1"/>
      <w:marLeft w:val="0"/>
      <w:marRight w:val="0"/>
      <w:marTop w:val="0"/>
      <w:marBottom w:val="0"/>
      <w:divBdr>
        <w:top w:val="none" w:sz="0" w:space="0" w:color="auto"/>
        <w:left w:val="none" w:sz="0" w:space="0" w:color="auto"/>
        <w:bottom w:val="none" w:sz="0" w:space="0" w:color="auto"/>
        <w:right w:val="none" w:sz="0" w:space="0" w:color="auto"/>
      </w:divBdr>
    </w:div>
    <w:div w:id="1877504570">
      <w:bodyDiv w:val="1"/>
      <w:marLeft w:val="0"/>
      <w:marRight w:val="0"/>
      <w:marTop w:val="0"/>
      <w:marBottom w:val="0"/>
      <w:divBdr>
        <w:top w:val="none" w:sz="0" w:space="0" w:color="auto"/>
        <w:left w:val="none" w:sz="0" w:space="0" w:color="auto"/>
        <w:bottom w:val="none" w:sz="0" w:space="0" w:color="auto"/>
        <w:right w:val="none" w:sz="0" w:space="0" w:color="auto"/>
      </w:divBdr>
    </w:div>
    <w:div w:id="1878156761">
      <w:bodyDiv w:val="1"/>
      <w:marLeft w:val="0"/>
      <w:marRight w:val="0"/>
      <w:marTop w:val="0"/>
      <w:marBottom w:val="0"/>
      <w:divBdr>
        <w:top w:val="none" w:sz="0" w:space="0" w:color="auto"/>
        <w:left w:val="none" w:sz="0" w:space="0" w:color="auto"/>
        <w:bottom w:val="none" w:sz="0" w:space="0" w:color="auto"/>
        <w:right w:val="none" w:sz="0" w:space="0" w:color="auto"/>
      </w:divBdr>
    </w:div>
    <w:div w:id="1884560256">
      <w:bodyDiv w:val="1"/>
      <w:marLeft w:val="0"/>
      <w:marRight w:val="0"/>
      <w:marTop w:val="0"/>
      <w:marBottom w:val="0"/>
      <w:divBdr>
        <w:top w:val="none" w:sz="0" w:space="0" w:color="auto"/>
        <w:left w:val="none" w:sz="0" w:space="0" w:color="auto"/>
        <w:bottom w:val="none" w:sz="0" w:space="0" w:color="auto"/>
        <w:right w:val="none" w:sz="0" w:space="0" w:color="auto"/>
      </w:divBdr>
    </w:div>
    <w:div w:id="1884756493">
      <w:bodyDiv w:val="1"/>
      <w:marLeft w:val="0"/>
      <w:marRight w:val="0"/>
      <w:marTop w:val="0"/>
      <w:marBottom w:val="0"/>
      <w:divBdr>
        <w:top w:val="none" w:sz="0" w:space="0" w:color="auto"/>
        <w:left w:val="none" w:sz="0" w:space="0" w:color="auto"/>
        <w:bottom w:val="none" w:sz="0" w:space="0" w:color="auto"/>
        <w:right w:val="none" w:sz="0" w:space="0" w:color="auto"/>
      </w:divBdr>
    </w:div>
    <w:div w:id="1889687494">
      <w:bodyDiv w:val="1"/>
      <w:marLeft w:val="0"/>
      <w:marRight w:val="0"/>
      <w:marTop w:val="0"/>
      <w:marBottom w:val="0"/>
      <w:divBdr>
        <w:top w:val="none" w:sz="0" w:space="0" w:color="auto"/>
        <w:left w:val="none" w:sz="0" w:space="0" w:color="auto"/>
        <w:bottom w:val="none" w:sz="0" w:space="0" w:color="auto"/>
        <w:right w:val="none" w:sz="0" w:space="0" w:color="auto"/>
      </w:divBdr>
    </w:div>
    <w:div w:id="1890068480">
      <w:bodyDiv w:val="1"/>
      <w:marLeft w:val="0"/>
      <w:marRight w:val="0"/>
      <w:marTop w:val="0"/>
      <w:marBottom w:val="0"/>
      <w:divBdr>
        <w:top w:val="none" w:sz="0" w:space="0" w:color="auto"/>
        <w:left w:val="none" w:sz="0" w:space="0" w:color="auto"/>
        <w:bottom w:val="none" w:sz="0" w:space="0" w:color="auto"/>
        <w:right w:val="none" w:sz="0" w:space="0" w:color="auto"/>
      </w:divBdr>
    </w:div>
    <w:div w:id="1890410351">
      <w:bodyDiv w:val="1"/>
      <w:marLeft w:val="0"/>
      <w:marRight w:val="0"/>
      <w:marTop w:val="0"/>
      <w:marBottom w:val="0"/>
      <w:divBdr>
        <w:top w:val="none" w:sz="0" w:space="0" w:color="auto"/>
        <w:left w:val="none" w:sz="0" w:space="0" w:color="auto"/>
        <w:bottom w:val="none" w:sz="0" w:space="0" w:color="auto"/>
        <w:right w:val="none" w:sz="0" w:space="0" w:color="auto"/>
      </w:divBdr>
    </w:div>
    <w:div w:id="1895191117">
      <w:bodyDiv w:val="1"/>
      <w:marLeft w:val="0"/>
      <w:marRight w:val="0"/>
      <w:marTop w:val="0"/>
      <w:marBottom w:val="0"/>
      <w:divBdr>
        <w:top w:val="none" w:sz="0" w:space="0" w:color="auto"/>
        <w:left w:val="none" w:sz="0" w:space="0" w:color="auto"/>
        <w:bottom w:val="none" w:sz="0" w:space="0" w:color="auto"/>
        <w:right w:val="none" w:sz="0" w:space="0" w:color="auto"/>
      </w:divBdr>
    </w:div>
    <w:div w:id="1900897587">
      <w:bodyDiv w:val="1"/>
      <w:marLeft w:val="0"/>
      <w:marRight w:val="0"/>
      <w:marTop w:val="0"/>
      <w:marBottom w:val="0"/>
      <w:divBdr>
        <w:top w:val="none" w:sz="0" w:space="0" w:color="auto"/>
        <w:left w:val="none" w:sz="0" w:space="0" w:color="auto"/>
        <w:bottom w:val="none" w:sz="0" w:space="0" w:color="auto"/>
        <w:right w:val="none" w:sz="0" w:space="0" w:color="auto"/>
      </w:divBdr>
    </w:div>
    <w:div w:id="1901209606">
      <w:bodyDiv w:val="1"/>
      <w:marLeft w:val="0"/>
      <w:marRight w:val="0"/>
      <w:marTop w:val="0"/>
      <w:marBottom w:val="0"/>
      <w:divBdr>
        <w:top w:val="none" w:sz="0" w:space="0" w:color="auto"/>
        <w:left w:val="none" w:sz="0" w:space="0" w:color="auto"/>
        <w:bottom w:val="none" w:sz="0" w:space="0" w:color="auto"/>
        <w:right w:val="none" w:sz="0" w:space="0" w:color="auto"/>
      </w:divBdr>
    </w:div>
    <w:div w:id="1901598599">
      <w:bodyDiv w:val="1"/>
      <w:marLeft w:val="0"/>
      <w:marRight w:val="0"/>
      <w:marTop w:val="0"/>
      <w:marBottom w:val="0"/>
      <w:divBdr>
        <w:top w:val="none" w:sz="0" w:space="0" w:color="auto"/>
        <w:left w:val="none" w:sz="0" w:space="0" w:color="auto"/>
        <w:bottom w:val="none" w:sz="0" w:space="0" w:color="auto"/>
        <w:right w:val="none" w:sz="0" w:space="0" w:color="auto"/>
      </w:divBdr>
    </w:div>
    <w:div w:id="1902325225">
      <w:bodyDiv w:val="1"/>
      <w:marLeft w:val="0"/>
      <w:marRight w:val="0"/>
      <w:marTop w:val="0"/>
      <w:marBottom w:val="0"/>
      <w:divBdr>
        <w:top w:val="none" w:sz="0" w:space="0" w:color="auto"/>
        <w:left w:val="none" w:sz="0" w:space="0" w:color="auto"/>
        <w:bottom w:val="none" w:sz="0" w:space="0" w:color="auto"/>
        <w:right w:val="none" w:sz="0" w:space="0" w:color="auto"/>
      </w:divBdr>
    </w:div>
    <w:div w:id="1904170518">
      <w:bodyDiv w:val="1"/>
      <w:marLeft w:val="0"/>
      <w:marRight w:val="0"/>
      <w:marTop w:val="0"/>
      <w:marBottom w:val="0"/>
      <w:divBdr>
        <w:top w:val="none" w:sz="0" w:space="0" w:color="auto"/>
        <w:left w:val="none" w:sz="0" w:space="0" w:color="auto"/>
        <w:bottom w:val="none" w:sz="0" w:space="0" w:color="auto"/>
        <w:right w:val="none" w:sz="0" w:space="0" w:color="auto"/>
      </w:divBdr>
    </w:div>
    <w:div w:id="1904364699">
      <w:bodyDiv w:val="1"/>
      <w:marLeft w:val="0"/>
      <w:marRight w:val="0"/>
      <w:marTop w:val="0"/>
      <w:marBottom w:val="0"/>
      <w:divBdr>
        <w:top w:val="none" w:sz="0" w:space="0" w:color="auto"/>
        <w:left w:val="none" w:sz="0" w:space="0" w:color="auto"/>
        <w:bottom w:val="none" w:sz="0" w:space="0" w:color="auto"/>
        <w:right w:val="none" w:sz="0" w:space="0" w:color="auto"/>
      </w:divBdr>
    </w:div>
    <w:div w:id="1905067940">
      <w:bodyDiv w:val="1"/>
      <w:marLeft w:val="0"/>
      <w:marRight w:val="0"/>
      <w:marTop w:val="0"/>
      <w:marBottom w:val="0"/>
      <w:divBdr>
        <w:top w:val="none" w:sz="0" w:space="0" w:color="auto"/>
        <w:left w:val="none" w:sz="0" w:space="0" w:color="auto"/>
        <w:bottom w:val="none" w:sz="0" w:space="0" w:color="auto"/>
        <w:right w:val="none" w:sz="0" w:space="0" w:color="auto"/>
      </w:divBdr>
    </w:div>
    <w:div w:id="1906184010">
      <w:bodyDiv w:val="1"/>
      <w:marLeft w:val="0"/>
      <w:marRight w:val="0"/>
      <w:marTop w:val="0"/>
      <w:marBottom w:val="0"/>
      <w:divBdr>
        <w:top w:val="none" w:sz="0" w:space="0" w:color="auto"/>
        <w:left w:val="none" w:sz="0" w:space="0" w:color="auto"/>
        <w:bottom w:val="none" w:sz="0" w:space="0" w:color="auto"/>
        <w:right w:val="none" w:sz="0" w:space="0" w:color="auto"/>
      </w:divBdr>
    </w:div>
    <w:div w:id="1906716064">
      <w:bodyDiv w:val="1"/>
      <w:marLeft w:val="0"/>
      <w:marRight w:val="0"/>
      <w:marTop w:val="0"/>
      <w:marBottom w:val="0"/>
      <w:divBdr>
        <w:top w:val="none" w:sz="0" w:space="0" w:color="auto"/>
        <w:left w:val="none" w:sz="0" w:space="0" w:color="auto"/>
        <w:bottom w:val="none" w:sz="0" w:space="0" w:color="auto"/>
        <w:right w:val="none" w:sz="0" w:space="0" w:color="auto"/>
      </w:divBdr>
    </w:div>
    <w:div w:id="1907261173">
      <w:bodyDiv w:val="1"/>
      <w:marLeft w:val="0"/>
      <w:marRight w:val="0"/>
      <w:marTop w:val="0"/>
      <w:marBottom w:val="0"/>
      <w:divBdr>
        <w:top w:val="none" w:sz="0" w:space="0" w:color="auto"/>
        <w:left w:val="none" w:sz="0" w:space="0" w:color="auto"/>
        <w:bottom w:val="none" w:sz="0" w:space="0" w:color="auto"/>
        <w:right w:val="none" w:sz="0" w:space="0" w:color="auto"/>
      </w:divBdr>
    </w:div>
    <w:div w:id="1907302432">
      <w:bodyDiv w:val="1"/>
      <w:marLeft w:val="0"/>
      <w:marRight w:val="0"/>
      <w:marTop w:val="0"/>
      <w:marBottom w:val="0"/>
      <w:divBdr>
        <w:top w:val="none" w:sz="0" w:space="0" w:color="auto"/>
        <w:left w:val="none" w:sz="0" w:space="0" w:color="auto"/>
        <w:bottom w:val="none" w:sz="0" w:space="0" w:color="auto"/>
        <w:right w:val="none" w:sz="0" w:space="0" w:color="auto"/>
      </w:divBdr>
    </w:div>
    <w:div w:id="1907645617">
      <w:bodyDiv w:val="1"/>
      <w:marLeft w:val="0"/>
      <w:marRight w:val="0"/>
      <w:marTop w:val="0"/>
      <w:marBottom w:val="0"/>
      <w:divBdr>
        <w:top w:val="none" w:sz="0" w:space="0" w:color="auto"/>
        <w:left w:val="none" w:sz="0" w:space="0" w:color="auto"/>
        <w:bottom w:val="none" w:sz="0" w:space="0" w:color="auto"/>
        <w:right w:val="none" w:sz="0" w:space="0" w:color="auto"/>
      </w:divBdr>
    </w:div>
    <w:div w:id="1907757822">
      <w:bodyDiv w:val="1"/>
      <w:marLeft w:val="0"/>
      <w:marRight w:val="0"/>
      <w:marTop w:val="0"/>
      <w:marBottom w:val="0"/>
      <w:divBdr>
        <w:top w:val="none" w:sz="0" w:space="0" w:color="auto"/>
        <w:left w:val="none" w:sz="0" w:space="0" w:color="auto"/>
        <w:bottom w:val="none" w:sz="0" w:space="0" w:color="auto"/>
        <w:right w:val="none" w:sz="0" w:space="0" w:color="auto"/>
      </w:divBdr>
    </w:div>
    <w:div w:id="1910651647">
      <w:bodyDiv w:val="1"/>
      <w:marLeft w:val="0"/>
      <w:marRight w:val="0"/>
      <w:marTop w:val="0"/>
      <w:marBottom w:val="0"/>
      <w:divBdr>
        <w:top w:val="none" w:sz="0" w:space="0" w:color="auto"/>
        <w:left w:val="none" w:sz="0" w:space="0" w:color="auto"/>
        <w:bottom w:val="none" w:sz="0" w:space="0" w:color="auto"/>
        <w:right w:val="none" w:sz="0" w:space="0" w:color="auto"/>
      </w:divBdr>
    </w:div>
    <w:div w:id="1911692741">
      <w:bodyDiv w:val="1"/>
      <w:marLeft w:val="0"/>
      <w:marRight w:val="0"/>
      <w:marTop w:val="0"/>
      <w:marBottom w:val="0"/>
      <w:divBdr>
        <w:top w:val="none" w:sz="0" w:space="0" w:color="auto"/>
        <w:left w:val="none" w:sz="0" w:space="0" w:color="auto"/>
        <w:bottom w:val="none" w:sz="0" w:space="0" w:color="auto"/>
        <w:right w:val="none" w:sz="0" w:space="0" w:color="auto"/>
      </w:divBdr>
    </w:div>
    <w:div w:id="1912302983">
      <w:bodyDiv w:val="1"/>
      <w:marLeft w:val="0"/>
      <w:marRight w:val="0"/>
      <w:marTop w:val="0"/>
      <w:marBottom w:val="0"/>
      <w:divBdr>
        <w:top w:val="none" w:sz="0" w:space="0" w:color="auto"/>
        <w:left w:val="none" w:sz="0" w:space="0" w:color="auto"/>
        <w:bottom w:val="none" w:sz="0" w:space="0" w:color="auto"/>
        <w:right w:val="none" w:sz="0" w:space="0" w:color="auto"/>
      </w:divBdr>
    </w:div>
    <w:div w:id="1913812295">
      <w:bodyDiv w:val="1"/>
      <w:marLeft w:val="0"/>
      <w:marRight w:val="0"/>
      <w:marTop w:val="0"/>
      <w:marBottom w:val="0"/>
      <w:divBdr>
        <w:top w:val="none" w:sz="0" w:space="0" w:color="auto"/>
        <w:left w:val="none" w:sz="0" w:space="0" w:color="auto"/>
        <w:bottom w:val="none" w:sz="0" w:space="0" w:color="auto"/>
        <w:right w:val="none" w:sz="0" w:space="0" w:color="auto"/>
      </w:divBdr>
    </w:div>
    <w:div w:id="1914509965">
      <w:bodyDiv w:val="1"/>
      <w:marLeft w:val="0"/>
      <w:marRight w:val="0"/>
      <w:marTop w:val="0"/>
      <w:marBottom w:val="0"/>
      <w:divBdr>
        <w:top w:val="none" w:sz="0" w:space="0" w:color="auto"/>
        <w:left w:val="none" w:sz="0" w:space="0" w:color="auto"/>
        <w:bottom w:val="none" w:sz="0" w:space="0" w:color="auto"/>
        <w:right w:val="none" w:sz="0" w:space="0" w:color="auto"/>
      </w:divBdr>
    </w:div>
    <w:div w:id="1915620579">
      <w:bodyDiv w:val="1"/>
      <w:marLeft w:val="0"/>
      <w:marRight w:val="0"/>
      <w:marTop w:val="0"/>
      <w:marBottom w:val="0"/>
      <w:divBdr>
        <w:top w:val="none" w:sz="0" w:space="0" w:color="auto"/>
        <w:left w:val="none" w:sz="0" w:space="0" w:color="auto"/>
        <w:bottom w:val="none" w:sz="0" w:space="0" w:color="auto"/>
        <w:right w:val="none" w:sz="0" w:space="0" w:color="auto"/>
      </w:divBdr>
    </w:div>
    <w:div w:id="1915846528">
      <w:bodyDiv w:val="1"/>
      <w:marLeft w:val="0"/>
      <w:marRight w:val="0"/>
      <w:marTop w:val="0"/>
      <w:marBottom w:val="0"/>
      <w:divBdr>
        <w:top w:val="none" w:sz="0" w:space="0" w:color="auto"/>
        <w:left w:val="none" w:sz="0" w:space="0" w:color="auto"/>
        <w:bottom w:val="none" w:sz="0" w:space="0" w:color="auto"/>
        <w:right w:val="none" w:sz="0" w:space="0" w:color="auto"/>
      </w:divBdr>
    </w:div>
    <w:div w:id="1916623840">
      <w:bodyDiv w:val="1"/>
      <w:marLeft w:val="0"/>
      <w:marRight w:val="0"/>
      <w:marTop w:val="0"/>
      <w:marBottom w:val="0"/>
      <w:divBdr>
        <w:top w:val="none" w:sz="0" w:space="0" w:color="auto"/>
        <w:left w:val="none" w:sz="0" w:space="0" w:color="auto"/>
        <w:bottom w:val="none" w:sz="0" w:space="0" w:color="auto"/>
        <w:right w:val="none" w:sz="0" w:space="0" w:color="auto"/>
      </w:divBdr>
    </w:div>
    <w:div w:id="1917591074">
      <w:bodyDiv w:val="1"/>
      <w:marLeft w:val="0"/>
      <w:marRight w:val="0"/>
      <w:marTop w:val="0"/>
      <w:marBottom w:val="0"/>
      <w:divBdr>
        <w:top w:val="none" w:sz="0" w:space="0" w:color="auto"/>
        <w:left w:val="none" w:sz="0" w:space="0" w:color="auto"/>
        <w:bottom w:val="none" w:sz="0" w:space="0" w:color="auto"/>
        <w:right w:val="none" w:sz="0" w:space="0" w:color="auto"/>
      </w:divBdr>
    </w:div>
    <w:div w:id="1918201149">
      <w:bodyDiv w:val="1"/>
      <w:marLeft w:val="0"/>
      <w:marRight w:val="0"/>
      <w:marTop w:val="0"/>
      <w:marBottom w:val="0"/>
      <w:divBdr>
        <w:top w:val="none" w:sz="0" w:space="0" w:color="auto"/>
        <w:left w:val="none" w:sz="0" w:space="0" w:color="auto"/>
        <w:bottom w:val="none" w:sz="0" w:space="0" w:color="auto"/>
        <w:right w:val="none" w:sz="0" w:space="0" w:color="auto"/>
      </w:divBdr>
    </w:div>
    <w:div w:id="1919484121">
      <w:bodyDiv w:val="1"/>
      <w:marLeft w:val="0"/>
      <w:marRight w:val="0"/>
      <w:marTop w:val="0"/>
      <w:marBottom w:val="0"/>
      <w:divBdr>
        <w:top w:val="none" w:sz="0" w:space="0" w:color="auto"/>
        <w:left w:val="none" w:sz="0" w:space="0" w:color="auto"/>
        <w:bottom w:val="none" w:sz="0" w:space="0" w:color="auto"/>
        <w:right w:val="none" w:sz="0" w:space="0" w:color="auto"/>
      </w:divBdr>
    </w:div>
    <w:div w:id="1920018656">
      <w:bodyDiv w:val="1"/>
      <w:marLeft w:val="0"/>
      <w:marRight w:val="0"/>
      <w:marTop w:val="0"/>
      <w:marBottom w:val="0"/>
      <w:divBdr>
        <w:top w:val="none" w:sz="0" w:space="0" w:color="auto"/>
        <w:left w:val="none" w:sz="0" w:space="0" w:color="auto"/>
        <w:bottom w:val="none" w:sz="0" w:space="0" w:color="auto"/>
        <w:right w:val="none" w:sz="0" w:space="0" w:color="auto"/>
      </w:divBdr>
    </w:div>
    <w:div w:id="1922105915">
      <w:bodyDiv w:val="1"/>
      <w:marLeft w:val="0"/>
      <w:marRight w:val="0"/>
      <w:marTop w:val="0"/>
      <w:marBottom w:val="0"/>
      <w:divBdr>
        <w:top w:val="none" w:sz="0" w:space="0" w:color="auto"/>
        <w:left w:val="none" w:sz="0" w:space="0" w:color="auto"/>
        <w:bottom w:val="none" w:sz="0" w:space="0" w:color="auto"/>
        <w:right w:val="none" w:sz="0" w:space="0" w:color="auto"/>
      </w:divBdr>
    </w:div>
    <w:div w:id="1925339060">
      <w:bodyDiv w:val="1"/>
      <w:marLeft w:val="0"/>
      <w:marRight w:val="0"/>
      <w:marTop w:val="0"/>
      <w:marBottom w:val="0"/>
      <w:divBdr>
        <w:top w:val="none" w:sz="0" w:space="0" w:color="auto"/>
        <w:left w:val="none" w:sz="0" w:space="0" w:color="auto"/>
        <w:bottom w:val="none" w:sz="0" w:space="0" w:color="auto"/>
        <w:right w:val="none" w:sz="0" w:space="0" w:color="auto"/>
      </w:divBdr>
    </w:div>
    <w:div w:id="1926302603">
      <w:bodyDiv w:val="1"/>
      <w:marLeft w:val="0"/>
      <w:marRight w:val="0"/>
      <w:marTop w:val="0"/>
      <w:marBottom w:val="0"/>
      <w:divBdr>
        <w:top w:val="none" w:sz="0" w:space="0" w:color="auto"/>
        <w:left w:val="none" w:sz="0" w:space="0" w:color="auto"/>
        <w:bottom w:val="none" w:sz="0" w:space="0" w:color="auto"/>
        <w:right w:val="none" w:sz="0" w:space="0" w:color="auto"/>
      </w:divBdr>
    </w:div>
    <w:div w:id="1928077593">
      <w:bodyDiv w:val="1"/>
      <w:marLeft w:val="0"/>
      <w:marRight w:val="0"/>
      <w:marTop w:val="0"/>
      <w:marBottom w:val="0"/>
      <w:divBdr>
        <w:top w:val="none" w:sz="0" w:space="0" w:color="auto"/>
        <w:left w:val="none" w:sz="0" w:space="0" w:color="auto"/>
        <w:bottom w:val="none" w:sz="0" w:space="0" w:color="auto"/>
        <w:right w:val="none" w:sz="0" w:space="0" w:color="auto"/>
      </w:divBdr>
    </w:div>
    <w:div w:id="1929340880">
      <w:bodyDiv w:val="1"/>
      <w:marLeft w:val="0"/>
      <w:marRight w:val="0"/>
      <w:marTop w:val="0"/>
      <w:marBottom w:val="0"/>
      <w:divBdr>
        <w:top w:val="none" w:sz="0" w:space="0" w:color="auto"/>
        <w:left w:val="none" w:sz="0" w:space="0" w:color="auto"/>
        <w:bottom w:val="none" w:sz="0" w:space="0" w:color="auto"/>
        <w:right w:val="none" w:sz="0" w:space="0" w:color="auto"/>
      </w:divBdr>
    </w:div>
    <w:div w:id="1930232057">
      <w:bodyDiv w:val="1"/>
      <w:marLeft w:val="0"/>
      <w:marRight w:val="0"/>
      <w:marTop w:val="0"/>
      <w:marBottom w:val="0"/>
      <w:divBdr>
        <w:top w:val="none" w:sz="0" w:space="0" w:color="auto"/>
        <w:left w:val="none" w:sz="0" w:space="0" w:color="auto"/>
        <w:bottom w:val="none" w:sz="0" w:space="0" w:color="auto"/>
        <w:right w:val="none" w:sz="0" w:space="0" w:color="auto"/>
      </w:divBdr>
    </w:div>
    <w:div w:id="1931499501">
      <w:bodyDiv w:val="1"/>
      <w:marLeft w:val="0"/>
      <w:marRight w:val="0"/>
      <w:marTop w:val="0"/>
      <w:marBottom w:val="0"/>
      <w:divBdr>
        <w:top w:val="none" w:sz="0" w:space="0" w:color="auto"/>
        <w:left w:val="none" w:sz="0" w:space="0" w:color="auto"/>
        <w:bottom w:val="none" w:sz="0" w:space="0" w:color="auto"/>
        <w:right w:val="none" w:sz="0" w:space="0" w:color="auto"/>
      </w:divBdr>
    </w:div>
    <w:div w:id="1933391018">
      <w:bodyDiv w:val="1"/>
      <w:marLeft w:val="0"/>
      <w:marRight w:val="0"/>
      <w:marTop w:val="0"/>
      <w:marBottom w:val="0"/>
      <w:divBdr>
        <w:top w:val="none" w:sz="0" w:space="0" w:color="auto"/>
        <w:left w:val="none" w:sz="0" w:space="0" w:color="auto"/>
        <w:bottom w:val="none" w:sz="0" w:space="0" w:color="auto"/>
        <w:right w:val="none" w:sz="0" w:space="0" w:color="auto"/>
      </w:divBdr>
    </w:div>
    <w:div w:id="1933931810">
      <w:bodyDiv w:val="1"/>
      <w:marLeft w:val="0"/>
      <w:marRight w:val="0"/>
      <w:marTop w:val="0"/>
      <w:marBottom w:val="0"/>
      <w:divBdr>
        <w:top w:val="none" w:sz="0" w:space="0" w:color="auto"/>
        <w:left w:val="none" w:sz="0" w:space="0" w:color="auto"/>
        <w:bottom w:val="none" w:sz="0" w:space="0" w:color="auto"/>
        <w:right w:val="none" w:sz="0" w:space="0" w:color="auto"/>
      </w:divBdr>
    </w:div>
    <w:div w:id="1936358500">
      <w:bodyDiv w:val="1"/>
      <w:marLeft w:val="0"/>
      <w:marRight w:val="0"/>
      <w:marTop w:val="0"/>
      <w:marBottom w:val="0"/>
      <w:divBdr>
        <w:top w:val="none" w:sz="0" w:space="0" w:color="auto"/>
        <w:left w:val="none" w:sz="0" w:space="0" w:color="auto"/>
        <w:bottom w:val="none" w:sz="0" w:space="0" w:color="auto"/>
        <w:right w:val="none" w:sz="0" w:space="0" w:color="auto"/>
      </w:divBdr>
    </w:div>
    <w:div w:id="1937133640">
      <w:bodyDiv w:val="1"/>
      <w:marLeft w:val="0"/>
      <w:marRight w:val="0"/>
      <w:marTop w:val="0"/>
      <w:marBottom w:val="0"/>
      <w:divBdr>
        <w:top w:val="none" w:sz="0" w:space="0" w:color="auto"/>
        <w:left w:val="none" w:sz="0" w:space="0" w:color="auto"/>
        <w:bottom w:val="none" w:sz="0" w:space="0" w:color="auto"/>
        <w:right w:val="none" w:sz="0" w:space="0" w:color="auto"/>
      </w:divBdr>
    </w:div>
    <w:div w:id="1939823016">
      <w:bodyDiv w:val="1"/>
      <w:marLeft w:val="0"/>
      <w:marRight w:val="0"/>
      <w:marTop w:val="0"/>
      <w:marBottom w:val="0"/>
      <w:divBdr>
        <w:top w:val="none" w:sz="0" w:space="0" w:color="auto"/>
        <w:left w:val="none" w:sz="0" w:space="0" w:color="auto"/>
        <w:bottom w:val="none" w:sz="0" w:space="0" w:color="auto"/>
        <w:right w:val="none" w:sz="0" w:space="0" w:color="auto"/>
      </w:divBdr>
    </w:div>
    <w:div w:id="1940486487">
      <w:bodyDiv w:val="1"/>
      <w:marLeft w:val="0"/>
      <w:marRight w:val="0"/>
      <w:marTop w:val="0"/>
      <w:marBottom w:val="0"/>
      <w:divBdr>
        <w:top w:val="none" w:sz="0" w:space="0" w:color="auto"/>
        <w:left w:val="none" w:sz="0" w:space="0" w:color="auto"/>
        <w:bottom w:val="none" w:sz="0" w:space="0" w:color="auto"/>
        <w:right w:val="none" w:sz="0" w:space="0" w:color="auto"/>
      </w:divBdr>
    </w:div>
    <w:div w:id="1941528546">
      <w:bodyDiv w:val="1"/>
      <w:marLeft w:val="0"/>
      <w:marRight w:val="0"/>
      <w:marTop w:val="0"/>
      <w:marBottom w:val="0"/>
      <w:divBdr>
        <w:top w:val="none" w:sz="0" w:space="0" w:color="auto"/>
        <w:left w:val="none" w:sz="0" w:space="0" w:color="auto"/>
        <w:bottom w:val="none" w:sz="0" w:space="0" w:color="auto"/>
        <w:right w:val="none" w:sz="0" w:space="0" w:color="auto"/>
      </w:divBdr>
    </w:div>
    <w:div w:id="1941908833">
      <w:bodyDiv w:val="1"/>
      <w:marLeft w:val="0"/>
      <w:marRight w:val="0"/>
      <w:marTop w:val="0"/>
      <w:marBottom w:val="0"/>
      <w:divBdr>
        <w:top w:val="none" w:sz="0" w:space="0" w:color="auto"/>
        <w:left w:val="none" w:sz="0" w:space="0" w:color="auto"/>
        <w:bottom w:val="none" w:sz="0" w:space="0" w:color="auto"/>
        <w:right w:val="none" w:sz="0" w:space="0" w:color="auto"/>
      </w:divBdr>
    </w:div>
    <w:div w:id="1942032338">
      <w:bodyDiv w:val="1"/>
      <w:marLeft w:val="0"/>
      <w:marRight w:val="0"/>
      <w:marTop w:val="0"/>
      <w:marBottom w:val="0"/>
      <w:divBdr>
        <w:top w:val="none" w:sz="0" w:space="0" w:color="auto"/>
        <w:left w:val="none" w:sz="0" w:space="0" w:color="auto"/>
        <w:bottom w:val="none" w:sz="0" w:space="0" w:color="auto"/>
        <w:right w:val="none" w:sz="0" w:space="0" w:color="auto"/>
      </w:divBdr>
    </w:div>
    <w:div w:id="1944267750">
      <w:bodyDiv w:val="1"/>
      <w:marLeft w:val="0"/>
      <w:marRight w:val="0"/>
      <w:marTop w:val="0"/>
      <w:marBottom w:val="0"/>
      <w:divBdr>
        <w:top w:val="none" w:sz="0" w:space="0" w:color="auto"/>
        <w:left w:val="none" w:sz="0" w:space="0" w:color="auto"/>
        <w:bottom w:val="none" w:sz="0" w:space="0" w:color="auto"/>
        <w:right w:val="none" w:sz="0" w:space="0" w:color="auto"/>
      </w:divBdr>
    </w:div>
    <w:div w:id="1944726389">
      <w:bodyDiv w:val="1"/>
      <w:marLeft w:val="0"/>
      <w:marRight w:val="0"/>
      <w:marTop w:val="0"/>
      <w:marBottom w:val="0"/>
      <w:divBdr>
        <w:top w:val="none" w:sz="0" w:space="0" w:color="auto"/>
        <w:left w:val="none" w:sz="0" w:space="0" w:color="auto"/>
        <w:bottom w:val="none" w:sz="0" w:space="0" w:color="auto"/>
        <w:right w:val="none" w:sz="0" w:space="0" w:color="auto"/>
      </w:divBdr>
    </w:div>
    <w:div w:id="1947344519">
      <w:bodyDiv w:val="1"/>
      <w:marLeft w:val="0"/>
      <w:marRight w:val="0"/>
      <w:marTop w:val="0"/>
      <w:marBottom w:val="0"/>
      <w:divBdr>
        <w:top w:val="none" w:sz="0" w:space="0" w:color="auto"/>
        <w:left w:val="none" w:sz="0" w:space="0" w:color="auto"/>
        <w:bottom w:val="none" w:sz="0" w:space="0" w:color="auto"/>
        <w:right w:val="none" w:sz="0" w:space="0" w:color="auto"/>
      </w:divBdr>
    </w:div>
    <w:div w:id="1948341762">
      <w:bodyDiv w:val="1"/>
      <w:marLeft w:val="0"/>
      <w:marRight w:val="0"/>
      <w:marTop w:val="0"/>
      <w:marBottom w:val="0"/>
      <w:divBdr>
        <w:top w:val="none" w:sz="0" w:space="0" w:color="auto"/>
        <w:left w:val="none" w:sz="0" w:space="0" w:color="auto"/>
        <w:bottom w:val="none" w:sz="0" w:space="0" w:color="auto"/>
        <w:right w:val="none" w:sz="0" w:space="0" w:color="auto"/>
      </w:divBdr>
    </w:div>
    <w:div w:id="1950119041">
      <w:bodyDiv w:val="1"/>
      <w:marLeft w:val="0"/>
      <w:marRight w:val="0"/>
      <w:marTop w:val="0"/>
      <w:marBottom w:val="0"/>
      <w:divBdr>
        <w:top w:val="none" w:sz="0" w:space="0" w:color="auto"/>
        <w:left w:val="none" w:sz="0" w:space="0" w:color="auto"/>
        <w:bottom w:val="none" w:sz="0" w:space="0" w:color="auto"/>
        <w:right w:val="none" w:sz="0" w:space="0" w:color="auto"/>
      </w:divBdr>
    </w:div>
    <w:div w:id="1956521836">
      <w:bodyDiv w:val="1"/>
      <w:marLeft w:val="0"/>
      <w:marRight w:val="0"/>
      <w:marTop w:val="0"/>
      <w:marBottom w:val="0"/>
      <w:divBdr>
        <w:top w:val="none" w:sz="0" w:space="0" w:color="auto"/>
        <w:left w:val="none" w:sz="0" w:space="0" w:color="auto"/>
        <w:bottom w:val="none" w:sz="0" w:space="0" w:color="auto"/>
        <w:right w:val="none" w:sz="0" w:space="0" w:color="auto"/>
      </w:divBdr>
    </w:div>
    <w:div w:id="1956673442">
      <w:bodyDiv w:val="1"/>
      <w:marLeft w:val="0"/>
      <w:marRight w:val="0"/>
      <w:marTop w:val="0"/>
      <w:marBottom w:val="0"/>
      <w:divBdr>
        <w:top w:val="none" w:sz="0" w:space="0" w:color="auto"/>
        <w:left w:val="none" w:sz="0" w:space="0" w:color="auto"/>
        <w:bottom w:val="none" w:sz="0" w:space="0" w:color="auto"/>
        <w:right w:val="none" w:sz="0" w:space="0" w:color="auto"/>
      </w:divBdr>
    </w:div>
    <w:div w:id="1957250999">
      <w:bodyDiv w:val="1"/>
      <w:marLeft w:val="0"/>
      <w:marRight w:val="0"/>
      <w:marTop w:val="0"/>
      <w:marBottom w:val="0"/>
      <w:divBdr>
        <w:top w:val="none" w:sz="0" w:space="0" w:color="auto"/>
        <w:left w:val="none" w:sz="0" w:space="0" w:color="auto"/>
        <w:bottom w:val="none" w:sz="0" w:space="0" w:color="auto"/>
        <w:right w:val="none" w:sz="0" w:space="0" w:color="auto"/>
      </w:divBdr>
    </w:div>
    <w:div w:id="1960799096">
      <w:bodyDiv w:val="1"/>
      <w:marLeft w:val="0"/>
      <w:marRight w:val="0"/>
      <w:marTop w:val="0"/>
      <w:marBottom w:val="0"/>
      <w:divBdr>
        <w:top w:val="none" w:sz="0" w:space="0" w:color="auto"/>
        <w:left w:val="none" w:sz="0" w:space="0" w:color="auto"/>
        <w:bottom w:val="none" w:sz="0" w:space="0" w:color="auto"/>
        <w:right w:val="none" w:sz="0" w:space="0" w:color="auto"/>
      </w:divBdr>
    </w:div>
    <w:div w:id="1964340774">
      <w:bodyDiv w:val="1"/>
      <w:marLeft w:val="0"/>
      <w:marRight w:val="0"/>
      <w:marTop w:val="0"/>
      <w:marBottom w:val="0"/>
      <w:divBdr>
        <w:top w:val="none" w:sz="0" w:space="0" w:color="auto"/>
        <w:left w:val="none" w:sz="0" w:space="0" w:color="auto"/>
        <w:bottom w:val="none" w:sz="0" w:space="0" w:color="auto"/>
        <w:right w:val="none" w:sz="0" w:space="0" w:color="auto"/>
      </w:divBdr>
    </w:div>
    <w:div w:id="1970939041">
      <w:bodyDiv w:val="1"/>
      <w:marLeft w:val="0"/>
      <w:marRight w:val="0"/>
      <w:marTop w:val="0"/>
      <w:marBottom w:val="0"/>
      <w:divBdr>
        <w:top w:val="none" w:sz="0" w:space="0" w:color="auto"/>
        <w:left w:val="none" w:sz="0" w:space="0" w:color="auto"/>
        <w:bottom w:val="none" w:sz="0" w:space="0" w:color="auto"/>
        <w:right w:val="none" w:sz="0" w:space="0" w:color="auto"/>
      </w:divBdr>
    </w:div>
    <w:div w:id="1971008083">
      <w:bodyDiv w:val="1"/>
      <w:marLeft w:val="0"/>
      <w:marRight w:val="0"/>
      <w:marTop w:val="0"/>
      <w:marBottom w:val="0"/>
      <w:divBdr>
        <w:top w:val="none" w:sz="0" w:space="0" w:color="auto"/>
        <w:left w:val="none" w:sz="0" w:space="0" w:color="auto"/>
        <w:bottom w:val="none" w:sz="0" w:space="0" w:color="auto"/>
        <w:right w:val="none" w:sz="0" w:space="0" w:color="auto"/>
      </w:divBdr>
    </w:div>
    <w:div w:id="1971664307">
      <w:bodyDiv w:val="1"/>
      <w:marLeft w:val="0"/>
      <w:marRight w:val="0"/>
      <w:marTop w:val="0"/>
      <w:marBottom w:val="0"/>
      <w:divBdr>
        <w:top w:val="none" w:sz="0" w:space="0" w:color="auto"/>
        <w:left w:val="none" w:sz="0" w:space="0" w:color="auto"/>
        <w:bottom w:val="none" w:sz="0" w:space="0" w:color="auto"/>
        <w:right w:val="none" w:sz="0" w:space="0" w:color="auto"/>
      </w:divBdr>
    </w:div>
    <w:div w:id="1971860471">
      <w:bodyDiv w:val="1"/>
      <w:marLeft w:val="0"/>
      <w:marRight w:val="0"/>
      <w:marTop w:val="0"/>
      <w:marBottom w:val="0"/>
      <w:divBdr>
        <w:top w:val="none" w:sz="0" w:space="0" w:color="auto"/>
        <w:left w:val="none" w:sz="0" w:space="0" w:color="auto"/>
        <w:bottom w:val="none" w:sz="0" w:space="0" w:color="auto"/>
        <w:right w:val="none" w:sz="0" w:space="0" w:color="auto"/>
      </w:divBdr>
    </w:div>
    <w:div w:id="1972441871">
      <w:bodyDiv w:val="1"/>
      <w:marLeft w:val="0"/>
      <w:marRight w:val="0"/>
      <w:marTop w:val="0"/>
      <w:marBottom w:val="0"/>
      <w:divBdr>
        <w:top w:val="none" w:sz="0" w:space="0" w:color="auto"/>
        <w:left w:val="none" w:sz="0" w:space="0" w:color="auto"/>
        <w:bottom w:val="none" w:sz="0" w:space="0" w:color="auto"/>
        <w:right w:val="none" w:sz="0" w:space="0" w:color="auto"/>
      </w:divBdr>
    </w:div>
    <w:div w:id="1973554871">
      <w:bodyDiv w:val="1"/>
      <w:marLeft w:val="0"/>
      <w:marRight w:val="0"/>
      <w:marTop w:val="0"/>
      <w:marBottom w:val="0"/>
      <w:divBdr>
        <w:top w:val="none" w:sz="0" w:space="0" w:color="auto"/>
        <w:left w:val="none" w:sz="0" w:space="0" w:color="auto"/>
        <w:bottom w:val="none" w:sz="0" w:space="0" w:color="auto"/>
        <w:right w:val="none" w:sz="0" w:space="0" w:color="auto"/>
      </w:divBdr>
    </w:div>
    <w:div w:id="1974821868">
      <w:bodyDiv w:val="1"/>
      <w:marLeft w:val="0"/>
      <w:marRight w:val="0"/>
      <w:marTop w:val="0"/>
      <w:marBottom w:val="0"/>
      <w:divBdr>
        <w:top w:val="none" w:sz="0" w:space="0" w:color="auto"/>
        <w:left w:val="none" w:sz="0" w:space="0" w:color="auto"/>
        <w:bottom w:val="none" w:sz="0" w:space="0" w:color="auto"/>
        <w:right w:val="none" w:sz="0" w:space="0" w:color="auto"/>
      </w:divBdr>
    </w:div>
    <w:div w:id="1976716264">
      <w:bodyDiv w:val="1"/>
      <w:marLeft w:val="0"/>
      <w:marRight w:val="0"/>
      <w:marTop w:val="0"/>
      <w:marBottom w:val="0"/>
      <w:divBdr>
        <w:top w:val="none" w:sz="0" w:space="0" w:color="auto"/>
        <w:left w:val="none" w:sz="0" w:space="0" w:color="auto"/>
        <w:bottom w:val="none" w:sz="0" w:space="0" w:color="auto"/>
        <w:right w:val="none" w:sz="0" w:space="0" w:color="auto"/>
      </w:divBdr>
    </w:div>
    <w:div w:id="1976911695">
      <w:bodyDiv w:val="1"/>
      <w:marLeft w:val="0"/>
      <w:marRight w:val="0"/>
      <w:marTop w:val="0"/>
      <w:marBottom w:val="0"/>
      <w:divBdr>
        <w:top w:val="none" w:sz="0" w:space="0" w:color="auto"/>
        <w:left w:val="none" w:sz="0" w:space="0" w:color="auto"/>
        <w:bottom w:val="none" w:sz="0" w:space="0" w:color="auto"/>
        <w:right w:val="none" w:sz="0" w:space="0" w:color="auto"/>
      </w:divBdr>
    </w:div>
    <w:div w:id="1978951590">
      <w:bodyDiv w:val="1"/>
      <w:marLeft w:val="0"/>
      <w:marRight w:val="0"/>
      <w:marTop w:val="0"/>
      <w:marBottom w:val="0"/>
      <w:divBdr>
        <w:top w:val="none" w:sz="0" w:space="0" w:color="auto"/>
        <w:left w:val="none" w:sz="0" w:space="0" w:color="auto"/>
        <w:bottom w:val="none" w:sz="0" w:space="0" w:color="auto"/>
        <w:right w:val="none" w:sz="0" w:space="0" w:color="auto"/>
      </w:divBdr>
    </w:div>
    <w:div w:id="1983151000">
      <w:bodyDiv w:val="1"/>
      <w:marLeft w:val="0"/>
      <w:marRight w:val="0"/>
      <w:marTop w:val="0"/>
      <w:marBottom w:val="0"/>
      <w:divBdr>
        <w:top w:val="none" w:sz="0" w:space="0" w:color="auto"/>
        <w:left w:val="none" w:sz="0" w:space="0" w:color="auto"/>
        <w:bottom w:val="none" w:sz="0" w:space="0" w:color="auto"/>
        <w:right w:val="none" w:sz="0" w:space="0" w:color="auto"/>
      </w:divBdr>
    </w:div>
    <w:div w:id="1987053423">
      <w:bodyDiv w:val="1"/>
      <w:marLeft w:val="0"/>
      <w:marRight w:val="0"/>
      <w:marTop w:val="0"/>
      <w:marBottom w:val="0"/>
      <w:divBdr>
        <w:top w:val="none" w:sz="0" w:space="0" w:color="auto"/>
        <w:left w:val="none" w:sz="0" w:space="0" w:color="auto"/>
        <w:bottom w:val="none" w:sz="0" w:space="0" w:color="auto"/>
        <w:right w:val="none" w:sz="0" w:space="0" w:color="auto"/>
      </w:divBdr>
    </w:div>
    <w:div w:id="1987128396">
      <w:bodyDiv w:val="1"/>
      <w:marLeft w:val="0"/>
      <w:marRight w:val="0"/>
      <w:marTop w:val="0"/>
      <w:marBottom w:val="0"/>
      <w:divBdr>
        <w:top w:val="none" w:sz="0" w:space="0" w:color="auto"/>
        <w:left w:val="none" w:sz="0" w:space="0" w:color="auto"/>
        <w:bottom w:val="none" w:sz="0" w:space="0" w:color="auto"/>
        <w:right w:val="none" w:sz="0" w:space="0" w:color="auto"/>
      </w:divBdr>
    </w:div>
    <w:div w:id="1987591029">
      <w:bodyDiv w:val="1"/>
      <w:marLeft w:val="0"/>
      <w:marRight w:val="0"/>
      <w:marTop w:val="0"/>
      <w:marBottom w:val="0"/>
      <w:divBdr>
        <w:top w:val="none" w:sz="0" w:space="0" w:color="auto"/>
        <w:left w:val="none" w:sz="0" w:space="0" w:color="auto"/>
        <w:bottom w:val="none" w:sz="0" w:space="0" w:color="auto"/>
        <w:right w:val="none" w:sz="0" w:space="0" w:color="auto"/>
      </w:divBdr>
    </w:div>
    <w:div w:id="1988585698">
      <w:bodyDiv w:val="1"/>
      <w:marLeft w:val="0"/>
      <w:marRight w:val="0"/>
      <w:marTop w:val="0"/>
      <w:marBottom w:val="0"/>
      <w:divBdr>
        <w:top w:val="none" w:sz="0" w:space="0" w:color="auto"/>
        <w:left w:val="none" w:sz="0" w:space="0" w:color="auto"/>
        <w:bottom w:val="none" w:sz="0" w:space="0" w:color="auto"/>
        <w:right w:val="none" w:sz="0" w:space="0" w:color="auto"/>
      </w:divBdr>
    </w:div>
    <w:div w:id="1989674538">
      <w:bodyDiv w:val="1"/>
      <w:marLeft w:val="0"/>
      <w:marRight w:val="0"/>
      <w:marTop w:val="0"/>
      <w:marBottom w:val="0"/>
      <w:divBdr>
        <w:top w:val="none" w:sz="0" w:space="0" w:color="auto"/>
        <w:left w:val="none" w:sz="0" w:space="0" w:color="auto"/>
        <w:bottom w:val="none" w:sz="0" w:space="0" w:color="auto"/>
        <w:right w:val="none" w:sz="0" w:space="0" w:color="auto"/>
      </w:divBdr>
    </w:div>
    <w:div w:id="1994017122">
      <w:bodyDiv w:val="1"/>
      <w:marLeft w:val="0"/>
      <w:marRight w:val="0"/>
      <w:marTop w:val="0"/>
      <w:marBottom w:val="0"/>
      <w:divBdr>
        <w:top w:val="none" w:sz="0" w:space="0" w:color="auto"/>
        <w:left w:val="none" w:sz="0" w:space="0" w:color="auto"/>
        <w:bottom w:val="none" w:sz="0" w:space="0" w:color="auto"/>
        <w:right w:val="none" w:sz="0" w:space="0" w:color="auto"/>
      </w:divBdr>
    </w:div>
    <w:div w:id="1999915499">
      <w:bodyDiv w:val="1"/>
      <w:marLeft w:val="0"/>
      <w:marRight w:val="0"/>
      <w:marTop w:val="0"/>
      <w:marBottom w:val="0"/>
      <w:divBdr>
        <w:top w:val="none" w:sz="0" w:space="0" w:color="auto"/>
        <w:left w:val="none" w:sz="0" w:space="0" w:color="auto"/>
        <w:bottom w:val="none" w:sz="0" w:space="0" w:color="auto"/>
        <w:right w:val="none" w:sz="0" w:space="0" w:color="auto"/>
      </w:divBdr>
    </w:div>
    <w:div w:id="2000423257">
      <w:bodyDiv w:val="1"/>
      <w:marLeft w:val="0"/>
      <w:marRight w:val="0"/>
      <w:marTop w:val="0"/>
      <w:marBottom w:val="0"/>
      <w:divBdr>
        <w:top w:val="none" w:sz="0" w:space="0" w:color="auto"/>
        <w:left w:val="none" w:sz="0" w:space="0" w:color="auto"/>
        <w:bottom w:val="none" w:sz="0" w:space="0" w:color="auto"/>
        <w:right w:val="none" w:sz="0" w:space="0" w:color="auto"/>
      </w:divBdr>
    </w:div>
    <w:div w:id="2003391890">
      <w:bodyDiv w:val="1"/>
      <w:marLeft w:val="0"/>
      <w:marRight w:val="0"/>
      <w:marTop w:val="0"/>
      <w:marBottom w:val="0"/>
      <w:divBdr>
        <w:top w:val="none" w:sz="0" w:space="0" w:color="auto"/>
        <w:left w:val="none" w:sz="0" w:space="0" w:color="auto"/>
        <w:bottom w:val="none" w:sz="0" w:space="0" w:color="auto"/>
        <w:right w:val="none" w:sz="0" w:space="0" w:color="auto"/>
      </w:divBdr>
    </w:div>
    <w:div w:id="2007442097">
      <w:bodyDiv w:val="1"/>
      <w:marLeft w:val="0"/>
      <w:marRight w:val="0"/>
      <w:marTop w:val="0"/>
      <w:marBottom w:val="0"/>
      <w:divBdr>
        <w:top w:val="none" w:sz="0" w:space="0" w:color="auto"/>
        <w:left w:val="none" w:sz="0" w:space="0" w:color="auto"/>
        <w:bottom w:val="none" w:sz="0" w:space="0" w:color="auto"/>
        <w:right w:val="none" w:sz="0" w:space="0" w:color="auto"/>
      </w:divBdr>
    </w:div>
    <w:div w:id="2012637036">
      <w:bodyDiv w:val="1"/>
      <w:marLeft w:val="0"/>
      <w:marRight w:val="0"/>
      <w:marTop w:val="0"/>
      <w:marBottom w:val="0"/>
      <w:divBdr>
        <w:top w:val="none" w:sz="0" w:space="0" w:color="auto"/>
        <w:left w:val="none" w:sz="0" w:space="0" w:color="auto"/>
        <w:bottom w:val="none" w:sz="0" w:space="0" w:color="auto"/>
        <w:right w:val="none" w:sz="0" w:space="0" w:color="auto"/>
      </w:divBdr>
    </w:div>
    <w:div w:id="2017606627">
      <w:bodyDiv w:val="1"/>
      <w:marLeft w:val="0"/>
      <w:marRight w:val="0"/>
      <w:marTop w:val="0"/>
      <w:marBottom w:val="0"/>
      <w:divBdr>
        <w:top w:val="none" w:sz="0" w:space="0" w:color="auto"/>
        <w:left w:val="none" w:sz="0" w:space="0" w:color="auto"/>
        <w:bottom w:val="none" w:sz="0" w:space="0" w:color="auto"/>
        <w:right w:val="none" w:sz="0" w:space="0" w:color="auto"/>
      </w:divBdr>
    </w:div>
    <w:div w:id="2018072252">
      <w:bodyDiv w:val="1"/>
      <w:marLeft w:val="0"/>
      <w:marRight w:val="0"/>
      <w:marTop w:val="0"/>
      <w:marBottom w:val="0"/>
      <w:divBdr>
        <w:top w:val="none" w:sz="0" w:space="0" w:color="auto"/>
        <w:left w:val="none" w:sz="0" w:space="0" w:color="auto"/>
        <w:bottom w:val="none" w:sz="0" w:space="0" w:color="auto"/>
        <w:right w:val="none" w:sz="0" w:space="0" w:color="auto"/>
      </w:divBdr>
    </w:div>
    <w:div w:id="2019574886">
      <w:bodyDiv w:val="1"/>
      <w:marLeft w:val="0"/>
      <w:marRight w:val="0"/>
      <w:marTop w:val="0"/>
      <w:marBottom w:val="0"/>
      <w:divBdr>
        <w:top w:val="none" w:sz="0" w:space="0" w:color="auto"/>
        <w:left w:val="none" w:sz="0" w:space="0" w:color="auto"/>
        <w:bottom w:val="none" w:sz="0" w:space="0" w:color="auto"/>
        <w:right w:val="none" w:sz="0" w:space="0" w:color="auto"/>
      </w:divBdr>
    </w:div>
    <w:div w:id="202107963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286271">
      <w:bodyDiv w:val="1"/>
      <w:marLeft w:val="0"/>
      <w:marRight w:val="0"/>
      <w:marTop w:val="0"/>
      <w:marBottom w:val="0"/>
      <w:divBdr>
        <w:top w:val="none" w:sz="0" w:space="0" w:color="auto"/>
        <w:left w:val="none" w:sz="0" w:space="0" w:color="auto"/>
        <w:bottom w:val="none" w:sz="0" w:space="0" w:color="auto"/>
        <w:right w:val="none" w:sz="0" w:space="0" w:color="auto"/>
      </w:divBdr>
    </w:div>
    <w:div w:id="2025471310">
      <w:bodyDiv w:val="1"/>
      <w:marLeft w:val="0"/>
      <w:marRight w:val="0"/>
      <w:marTop w:val="0"/>
      <w:marBottom w:val="0"/>
      <w:divBdr>
        <w:top w:val="none" w:sz="0" w:space="0" w:color="auto"/>
        <w:left w:val="none" w:sz="0" w:space="0" w:color="auto"/>
        <w:bottom w:val="none" w:sz="0" w:space="0" w:color="auto"/>
        <w:right w:val="none" w:sz="0" w:space="0" w:color="auto"/>
      </w:divBdr>
    </w:div>
    <w:div w:id="2026783036">
      <w:bodyDiv w:val="1"/>
      <w:marLeft w:val="0"/>
      <w:marRight w:val="0"/>
      <w:marTop w:val="0"/>
      <w:marBottom w:val="0"/>
      <w:divBdr>
        <w:top w:val="none" w:sz="0" w:space="0" w:color="auto"/>
        <w:left w:val="none" w:sz="0" w:space="0" w:color="auto"/>
        <w:bottom w:val="none" w:sz="0" w:space="0" w:color="auto"/>
        <w:right w:val="none" w:sz="0" w:space="0" w:color="auto"/>
      </w:divBdr>
    </w:div>
    <w:div w:id="2027051817">
      <w:bodyDiv w:val="1"/>
      <w:marLeft w:val="0"/>
      <w:marRight w:val="0"/>
      <w:marTop w:val="0"/>
      <w:marBottom w:val="0"/>
      <w:divBdr>
        <w:top w:val="none" w:sz="0" w:space="0" w:color="auto"/>
        <w:left w:val="none" w:sz="0" w:space="0" w:color="auto"/>
        <w:bottom w:val="none" w:sz="0" w:space="0" w:color="auto"/>
        <w:right w:val="none" w:sz="0" w:space="0" w:color="auto"/>
      </w:divBdr>
    </w:div>
    <w:div w:id="2027629778">
      <w:bodyDiv w:val="1"/>
      <w:marLeft w:val="0"/>
      <w:marRight w:val="0"/>
      <w:marTop w:val="0"/>
      <w:marBottom w:val="0"/>
      <w:divBdr>
        <w:top w:val="none" w:sz="0" w:space="0" w:color="auto"/>
        <w:left w:val="none" w:sz="0" w:space="0" w:color="auto"/>
        <w:bottom w:val="none" w:sz="0" w:space="0" w:color="auto"/>
        <w:right w:val="none" w:sz="0" w:space="0" w:color="auto"/>
      </w:divBdr>
    </w:div>
    <w:div w:id="2028175141">
      <w:bodyDiv w:val="1"/>
      <w:marLeft w:val="0"/>
      <w:marRight w:val="0"/>
      <w:marTop w:val="0"/>
      <w:marBottom w:val="0"/>
      <w:divBdr>
        <w:top w:val="none" w:sz="0" w:space="0" w:color="auto"/>
        <w:left w:val="none" w:sz="0" w:space="0" w:color="auto"/>
        <w:bottom w:val="none" w:sz="0" w:space="0" w:color="auto"/>
        <w:right w:val="none" w:sz="0" w:space="0" w:color="auto"/>
      </w:divBdr>
    </w:div>
    <w:div w:id="2029939754">
      <w:bodyDiv w:val="1"/>
      <w:marLeft w:val="0"/>
      <w:marRight w:val="0"/>
      <w:marTop w:val="0"/>
      <w:marBottom w:val="0"/>
      <w:divBdr>
        <w:top w:val="none" w:sz="0" w:space="0" w:color="auto"/>
        <w:left w:val="none" w:sz="0" w:space="0" w:color="auto"/>
        <w:bottom w:val="none" w:sz="0" w:space="0" w:color="auto"/>
        <w:right w:val="none" w:sz="0" w:space="0" w:color="auto"/>
      </w:divBdr>
    </w:div>
    <w:div w:id="2030445483">
      <w:bodyDiv w:val="1"/>
      <w:marLeft w:val="0"/>
      <w:marRight w:val="0"/>
      <w:marTop w:val="0"/>
      <w:marBottom w:val="0"/>
      <w:divBdr>
        <w:top w:val="none" w:sz="0" w:space="0" w:color="auto"/>
        <w:left w:val="none" w:sz="0" w:space="0" w:color="auto"/>
        <w:bottom w:val="none" w:sz="0" w:space="0" w:color="auto"/>
        <w:right w:val="none" w:sz="0" w:space="0" w:color="auto"/>
      </w:divBdr>
    </w:div>
    <w:div w:id="2032759034">
      <w:bodyDiv w:val="1"/>
      <w:marLeft w:val="0"/>
      <w:marRight w:val="0"/>
      <w:marTop w:val="0"/>
      <w:marBottom w:val="0"/>
      <w:divBdr>
        <w:top w:val="none" w:sz="0" w:space="0" w:color="auto"/>
        <w:left w:val="none" w:sz="0" w:space="0" w:color="auto"/>
        <w:bottom w:val="none" w:sz="0" w:space="0" w:color="auto"/>
        <w:right w:val="none" w:sz="0" w:space="0" w:color="auto"/>
      </w:divBdr>
    </w:div>
    <w:div w:id="2034070591">
      <w:bodyDiv w:val="1"/>
      <w:marLeft w:val="0"/>
      <w:marRight w:val="0"/>
      <w:marTop w:val="0"/>
      <w:marBottom w:val="0"/>
      <w:divBdr>
        <w:top w:val="none" w:sz="0" w:space="0" w:color="auto"/>
        <w:left w:val="none" w:sz="0" w:space="0" w:color="auto"/>
        <w:bottom w:val="none" w:sz="0" w:space="0" w:color="auto"/>
        <w:right w:val="none" w:sz="0" w:space="0" w:color="auto"/>
      </w:divBdr>
    </w:div>
    <w:div w:id="2035226956">
      <w:bodyDiv w:val="1"/>
      <w:marLeft w:val="0"/>
      <w:marRight w:val="0"/>
      <w:marTop w:val="0"/>
      <w:marBottom w:val="0"/>
      <w:divBdr>
        <w:top w:val="none" w:sz="0" w:space="0" w:color="auto"/>
        <w:left w:val="none" w:sz="0" w:space="0" w:color="auto"/>
        <w:bottom w:val="none" w:sz="0" w:space="0" w:color="auto"/>
        <w:right w:val="none" w:sz="0" w:space="0" w:color="auto"/>
      </w:divBdr>
    </w:div>
    <w:div w:id="2038001146">
      <w:bodyDiv w:val="1"/>
      <w:marLeft w:val="0"/>
      <w:marRight w:val="0"/>
      <w:marTop w:val="0"/>
      <w:marBottom w:val="0"/>
      <w:divBdr>
        <w:top w:val="none" w:sz="0" w:space="0" w:color="auto"/>
        <w:left w:val="none" w:sz="0" w:space="0" w:color="auto"/>
        <w:bottom w:val="none" w:sz="0" w:space="0" w:color="auto"/>
        <w:right w:val="none" w:sz="0" w:space="0" w:color="auto"/>
      </w:divBdr>
    </w:div>
    <w:div w:id="2038652054">
      <w:bodyDiv w:val="1"/>
      <w:marLeft w:val="0"/>
      <w:marRight w:val="0"/>
      <w:marTop w:val="0"/>
      <w:marBottom w:val="0"/>
      <w:divBdr>
        <w:top w:val="none" w:sz="0" w:space="0" w:color="auto"/>
        <w:left w:val="none" w:sz="0" w:space="0" w:color="auto"/>
        <w:bottom w:val="none" w:sz="0" w:space="0" w:color="auto"/>
        <w:right w:val="none" w:sz="0" w:space="0" w:color="auto"/>
      </w:divBdr>
    </w:div>
    <w:div w:id="2038656744">
      <w:bodyDiv w:val="1"/>
      <w:marLeft w:val="0"/>
      <w:marRight w:val="0"/>
      <w:marTop w:val="0"/>
      <w:marBottom w:val="0"/>
      <w:divBdr>
        <w:top w:val="none" w:sz="0" w:space="0" w:color="auto"/>
        <w:left w:val="none" w:sz="0" w:space="0" w:color="auto"/>
        <w:bottom w:val="none" w:sz="0" w:space="0" w:color="auto"/>
        <w:right w:val="none" w:sz="0" w:space="0" w:color="auto"/>
      </w:divBdr>
    </w:div>
    <w:div w:id="2038849172">
      <w:bodyDiv w:val="1"/>
      <w:marLeft w:val="0"/>
      <w:marRight w:val="0"/>
      <w:marTop w:val="0"/>
      <w:marBottom w:val="0"/>
      <w:divBdr>
        <w:top w:val="none" w:sz="0" w:space="0" w:color="auto"/>
        <w:left w:val="none" w:sz="0" w:space="0" w:color="auto"/>
        <w:bottom w:val="none" w:sz="0" w:space="0" w:color="auto"/>
        <w:right w:val="none" w:sz="0" w:space="0" w:color="auto"/>
      </w:divBdr>
    </w:div>
    <w:div w:id="2039044908">
      <w:bodyDiv w:val="1"/>
      <w:marLeft w:val="0"/>
      <w:marRight w:val="0"/>
      <w:marTop w:val="0"/>
      <w:marBottom w:val="0"/>
      <w:divBdr>
        <w:top w:val="none" w:sz="0" w:space="0" w:color="auto"/>
        <w:left w:val="none" w:sz="0" w:space="0" w:color="auto"/>
        <w:bottom w:val="none" w:sz="0" w:space="0" w:color="auto"/>
        <w:right w:val="none" w:sz="0" w:space="0" w:color="auto"/>
      </w:divBdr>
    </w:div>
    <w:div w:id="2039118669">
      <w:bodyDiv w:val="1"/>
      <w:marLeft w:val="0"/>
      <w:marRight w:val="0"/>
      <w:marTop w:val="0"/>
      <w:marBottom w:val="0"/>
      <w:divBdr>
        <w:top w:val="none" w:sz="0" w:space="0" w:color="auto"/>
        <w:left w:val="none" w:sz="0" w:space="0" w:color="auto"/>
        <w:bottom w:val="none" w:sz="0" w:space="0" w:color="auto"/>
        <w:right w:val="none" w:sz="0" w:space="0" w:color="auto"/>
      </w:divBdr>
    </w:div>
    <w:div w:id="2039812598">
      <w:bodyDiv w:val="1"/>
      <w:marLeft w:val="0"/>
      <w:marRight w:val="0"/>
      <w:marTop w:val="0"/>
      <w:marBottom w:val="0"/>
      <w:divBdr>
        <w:top w:val="none" w:sz="0" w:space="0" w:color="auto"/>
        <w:left w:val="none" w:sz="0" w:space="0" w:color="auto"/>
        <w:bottom w:val="none" w:sz="0" w:space="0" w:color="auto"/>
        <w:right w:val="none" w:sz="0" w:space="0" w:color="auto"/>
      </w:divBdr>
    </w:div>
    <w:div w:id="2041583496">
      <w:bodyDiv w:val="1"/>
      <w:marLeft w:val="0"/>
      <w:marRight w:val="0"/>
      <w:marTop w:val="0"/>
      <w:marBottom w:val="0"/>
      <w:divBdr>
        <w:top w:val="none" w:sz="0" w:space="0" w:color="auto"/>
        <w:left w:val="none" w:sz="0" w:space="0" w:color="auto"/>
        <w:bottom w:val="none" w:sz="0" w:space="0" w:color="auto"/>
        <w:right w:val="none" w:sz="0" w:space="0" w:color="auto"/>
      </w:divBdr>
    </w:div>
    <w:div w:id="2042239940">
      <w:bodyDiv w:val="1"/>
      <w:marLeft w:val="0"/>
      <w:marRight w:val="0"/>
      <w:marTop w:val="0"/>
      <w:marBottom w:val="0"/>
      <w:divBdr>
        <w:top w:val="none" w:sz="0" w:space="0" w:color="auto"/>
        <w:left w:val="none" w:sz="0" w:space="0" w:color="auto"/>
        <w:bottom w:val="none" w:sz="0" w:space="0" w:color="auto"/>
        <w:right w:val="none" w:sz="0" w:space="0" w:color="auto"/>
      </w:divBdr>
    </w:div>
    <w:div w:id="2043706192">
      <w:bodyDiv w:val="1"/>
      <w:marLeft w:val="0"/>
      <w:marRight w:val="0"/>
      <w:marTop w:val="0"/>
      <w:marBottom w:val="0"/>
      <w:divBdr>
        <w:top w:val="none" w:sz="0" w:space="0" w:color="auto"/>
        <w:left w:val="none" w:sz="0" w:space="0" w:color="auto"/>
        <w:bottom w:val="none" w:sz="0" w:space="0" w:color="auto"/>
        <w:right w:val="none" w:sz="0" w:space="0" w:color="auto"/>
      </w:divBdr>
    </w:div>
    <w:div w:id="2043898864">
      <w:bodyDiv w:val="1"/>
      <w:marLeft w:val="0"/>
      <w:marRight w:val="0"/>
      <w:marTop w:val="0"/>
      <w:marBottom w:val="0"/>
      <w:divBdr>
        <w:top w:val="none" w:sz="0" w:space="0" w:color="auto"/>
        <w:left w:val="none" w:sz="0" w:space="0" w:color="auto"/>
        <w:bottom w:val="none" w:sz="0" w:space="0" w:color="auto"/>
        <w:right w:val="none" w:sz="0" w:space="0" w:color="auto"/>
      </w:divBdr>
    </w:div>
    <w:div w:id="2044868521">
      <w:bodyDiv w:val="1"/>
      <w:marLeft w:val="0"/>
      <w:marRight w:val="0"/>
      <w:marTop w:val="0"/>
      <w:marBottom w:val="0"/>
      <w:divBdr>
        <w:top w:val="none" w:sz="0" w:space="0" w:color="auto"/>
        <w:left w:val="none" w:sz="0" w:space="0" w:color="auto"/>
        <w:bottom w:val="none" w:sz="0" w:space="0" w:color="auto"/>
        <w:right w:val="none" w:sz="0" w:space="0" w:color="auto"/>
      </w:divBdr>
    </w:div>
    <w:div w:id="2046830250">
      <w:bodyDiv w:val="1"/>
      <w:marLeft w:val="0"/>
      <w:marRight w:val="0"/>
      <w:marTop w:val="0"/>
      <w:marBottom w:val="0"/>
      <w:divBdr>
        <w:top w:val="none" w:sz="0" w:space="0" w:color="auto"/>
        <w:left w:val="none" w:sz="0" w:space="0" w:color="auto"/>
        <w:bottom w:val="none" w:sz="0" w:space="0" w:color="auto"/>
        <w:right w:val="none" w:sz="0" w:space="0" w:color="auto"/>
      </w:divBdr>
    </w:div>
    <w:div w:id="2046905471">
      <w:bodyDiv w:val="1"/>
      <w:marLeft w:val="0"/>
      <w:marRight w:val="0"/>
      <w:marTop w:val="0"/>
      <w:marBottom w:val="0"/>
      <w:divBdr>
        <w:top w:val="none" w:sz="0" w:space="0" w:color="auto"/>
        <w:left w:val="none" w:sz="0" w:space="0" w:color="auto"/>
        <w:bottom w:val="none" w:sz="0" w:space="0" w:color="auto"/>
        <w:right w:val="none" w:sz="0" w:space="0" w:color="auto"/>
      </w:divBdr>
    </w:div>
    <w:div w:id="2048289996">
      <w:bodyDiv w:val="1"/>
      <w:marLeft w:val="0"/>
      <w:marRight w:val="0"/>
      <w:marTop w:val="0"/>
      <w:marBottom w:val="0"/>
      <w:divBdr>
        <w:top w:val="none" w:sz="0" w:space="0" w:color="auto"/>
        <w:left w:val="none" w:sz="0" w:space="0" w:color="auto"/>
        <w:bottom w:val="none" w:sz="0" w:space="0" w:color="auto"/>
        <w:right w:val="none" w:sz="0" w:space="0" w:color="auto"/>
      </w:divBdr>
    </w:div>
    <w:div w:id="2050109213">
      <w:bodyDiv w:val="1"/>
      <w:marLeft w:val="0"/>
      <w:marRight w:val="0"/>
      <w:marTop w:val="0"/>
      <w:marBottom w:val="0"/>
      <w:divBdr>
        <w:top w:val="none" w:sz="0" w:space="0" w:color="auto"/>
        <w:left w:val="none" w:sz="0" w:space="0" w:color="auto"/>
        <w:bottom w:val="none" w:sz="0" w:space="0" w:color="auto"/>
        <w:right w:val="none" w:sz="0" w:space="0" w:color="auto"/>
      </w:divBdr>
    </w:div>
    <w:div w:id="2057510024">
      <w:bodyDiv w:val="1"/>
      <w:marLeft w:val="0"/>
      <w:marRight w:val="0"/>
      <w:marTop w:val="0"/>
      <w:marBottom w:val="0"/>
      <w:divBdr>
        <w:top w:val="none" w:sz="0" w:space="0" w:color="auto"/>
        <w:left w:val="none" w:sz="0" w:space="0" w:color="auto"/>
        <w:bottom w:val="none" w:sz="0" w:space="0" w:color="auto"/>
        <w:right w:val="none" w:sz="0" w:space="0" w:color="auto"/>
      </w:divBdr>
    </w:div>
    <w:div w:id="2059162236">
      <w:bodyDiv w:val="1"/>
      <w:marLeft w:val="0"/>
      <w:marRight w:val="0"/>
      <w:marTop w:val="0"/>
      <w:marBottom w:val="0"/>
      <w:divBdr>
        <w:top w:val="none" w:sz="0" w:space="0" w:color="auto"/>
        <w:left w:val="none" w:sz="0" w:space="0" w:color="auto"/>
        <w:bottom w:val="none" w:sz="0" w:space="0" w:color="auto"/>
        <w:right w:val="none" w:sz="0" w:space="0" w:color="auto"/>
      </w:divBdr>
    </w:div>
    <w:div w:id="2063752563">
      <w:bodyDiv w:val="1"/>
      <w:marLeft w:val="0"/>
      <w:marRight w:val="0"/>
      <w:marTop w:val="0"/>
      <w:marBottom w:val="0"/>
      <w:divBdr>
        <w:top w:val="none" w:sz="0" w:space="0" w:color="auto"/>
        <w:left w:val="none" w:sz="0" w:space="0" w:color="auto"/>
        <w:bottom w:val="none" w:sz="0" w:space="0" w:color="auto"/>
        <w:right w:val="none" w:sz="0" w:space="0" w:color="auto"/>
      </w:divBdr>
    </w:div>
    <w:div w:id="2064399870">
      <w:bodyDiv w:val="1"/>
      <w:marLeft w:val="0"/>
      <w:marRight w:val="0"/>
      <w:marTop w:val="0"/>
      <w:marBottom w:val="0"/>
      <w:divBdr>
        <w:top w:val="none" w:sz="0" w:space="0" w:color="auto"/>
        <w:left w:val="none" w:sz="0" w:space="0" w:color="auto"/>
        <w:bottom w:val="none" w:sz="0" w:space="0" w:color="auto"/>
        <w:right w:val="none" w:sz="0" w:space="0" w:color="auto"/>
      </w:divBdr>
    </w:div>
    <w:div w:id="2067756869">
      <w:bodyDiv w:val="1"/>
      <w:marLeft w:val="0"/>
      <w:marRight w:val="0"/>
      <w:marTop w:val="0"/>
      <w:marBottom w:val="0"/>
      <w:divBdr>
        <w:top w:val="none" w:sz="0" w:space="0" w:color="auto"/>
        <w:left w:val="none" w:sz="0" w:space="0" w:color="auto"/>
        <w:bottom w:val="none" w:sz="0" w:space="0" w:color="auto"/>
        <w:right w:val="none" w:sz="0" w:space="0" w:color="auto"/>
      </w:divBdr>
    </w:div>
    <w:div w:id="2070690777">
      <w:bodyDiv w:val="1"/>
      <w:marLeft w:val="0"/>
      <w:marRight w:val="0"/>
      <w:marTop w:val="0"/>
      <w:marBottom w:val="0"/>
      <w:divBdr>
        <w:top w:val="none" w:sz="0" w:space="0" w:color="auto"/>
        <w:left w:val="none" w:sz="0" w:space="0" w:color="auto"/>
        <w:bottom w:val="none" w:sz="0" w:space="0" w:color="auto"/>
        <w:right w:val="none" w:sz="0" w:space="0" w:color="auto"/>
      </w:divBdr>
    </w:div>
    <w:div w:id="2072995189">
      <w:bodyDiv w:val="1"/>
      <w:marLeft w:val="0"/>
      <w:marRight w:val="0"/>
      <w:marTop w:val="0"/>
      <w:marBottom w:val="0"/>
      <w:divBdr>
        <w:top w:val="none" w:sz="0" w:space="0" w:color="auto"/>
        <w:left w:val="none" w:sz="0" w:space="0" w:color="auto"/>
        <w:bottom w:val="none" w:sz="0" w:space="0" w:color="auto"/>
        <w:right w:val="none" w:sz="0" w:space="0" w:color="auto"/>
      </w:divBdr>
    </w:div>
    <w:div w:id="2074503003">
      <w:bodyDiv w:val="1"/>
      <w:marLeft w:val="0"/>
      <w:marRight w:val="0"/>
      <w:marTop w:val="0"/>
      <w:marBottom w:val="0"/>
      <w:divBdr>
        <w:top w:val="none" w:sz="0" w:space="0" w:color="auto"/>
        <w:left w:val="none" w:sz="0" w:space="0" w:color="auto"/>
        <w:bottom w:val="none" w:sz="0" w:space="0" w:color="auto"/>
        <w:right w:val="none" w:sz="0" w:space="0" w:color="auto"/>
      </w:divBdr>
    </w:div>
    <w:div w:id="2079207626">
      <w:bodyDiv w:val="1"/>
      <w:marLeft w:val="0"/>
      <w:marRight w:val="0"/>
      <w:marTop w:val="0"/>
      <w:marBottom w:val="0"/>
      <w:divBdr>
        <w:top w:val="none" w:sz="0" w:space="0" w:color="auto"/>
        <w:left w:val="none" w:sz="0" w:space="0" w:color="auto"/>
        <w:bottom w:val="none" w:sz="0" w:space="0" w:color="auto"/>
        <w:right w:val="none" w:sz="0" w:space="0" w:color="auto"/>
      </w:divBdr>
    </w:div>
    <w:div w:id="2079937298">
      <w:bodyDiv w:val="1"/>
      <w:marLeft w:val="0"/>
      <w:marRight w:val="0"/>
      <w:marTop w:val="0"/>
      <w:marBottom w:val="0"/>
      <w:divBdr>
        <w:top w:val="none" w:sz="0" w:space="0" w:color="auto"/>
        <w:left w:val="none" w:sz="0" w:space="0" w:color="auto"/>
        <w:bottom w:val="none" w:sz="0" w:space="0" w:color="auto"/>
        <w:right w:val="none" w:sz="0" w:space="0" w:color="auto"/>
      </w:divBdr>
    </w:div>
    <w:div w:id="2081712303">
      <w:bodyDiv w:val="1"/>
      <w:marLeft w:val="0"/>
      <w:marRight w:val="0"/>
      <w:marTop w:val="0"/>
      <w:marBottom w:val="0"/>
      <w:divBdr>
        <w:top w:val="none" w:sz="0" w:space="0" w:color="auto"/>
        <w:left w:val="none" w:sz="0" w:space="0" w:color="auto"/>
        <w:bottom w:val="none" w:sz="0" w:space="0" w:color="auto"/>
        <w:right w:val="none" w:sz="0" w:space="0" w:color="auto"/>
      </w:divBdr>
    </w:div>
    <w:div w:id="2083286289">
      <w:bodyDiv w:val="1"/>
      <w:marLeft w:val="0"/>
      <w:marRight w:val="0"/>
      <w:marTop w:val="0"/>
      <w:marBottom w:val="0"/>
      <w:divBdr>
        <w:top w:val="none" w:sz="0" w:space="0" w:color="auto"/>
        <w:left w:val="none" w:sz="0" w:space="0" w:color="auto"/>
        <w:bottom w:val="none" w:sz="0" w:space="0" w:color="auto"/>
        <w:right w:val="none" w:sz="0" w:space="0" w:color="auto"/>
      </w:divBdr>
    </w:div>
    <w:div w:id="208525599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11824">
      <w:bodyDiv w:val="1"/>
      <w:marLeft w:val="0"/>
      <w:marRight w:val="0"/>
      <w:marTop w:val="0"/>
      <w:marBottom w:val="0"/>
      <w:divBdr>
        <w:top w:val="none" w:sz="0" w:space="0" w:color="auto"/>
        <w:left w:val="none" w:sz="0" w:space="0" w:color="auto"/>
        <w:bottom w:val="none" w:sz="0" w:space="0" w:color="auto"/>
        <w:right w:val="none" w:sz="0" w:space="0" w:color="auto"/>
      </w:divBdr>
    </w:div>
    <w:div w:id="2087219726">
      <w:bodyDiv w:val="1"/>
      <w:marLeft w:val="0"/>
      <w:marRight w:val="0"/>
      <w:marTop w:val="0"/>
      <w:marBottom w:val="0"/>
      <w:divBdr>
        <w:top w:val="none" w:sz="0" w:space="0" w:color="auto"/>
        <w:left w:val="none" w:sz="0" w:space="0" w:color="auto"/>
        <w:bottom w:val="none" w:sz="0" w:space="0" w:color="auto"/>
        <w:right w:val="none" w:sz="0" w:space="0" w:color="auto"/>
      </w:divBdr>
    </w:div>
    <w:div w:id="2087915918">
      <w:bodyDiv w:val="1"/>
      <w:marLeft w:val="0"/>
      <w:marRight w:val="0"/>
      <w:marTop w:val="0"/>
      <w:marBottom w:val="0"/>
      <w:divBdr>
        <w:top w:val="none" w:sz="0" w:space="0" w:color="auto"/>
        <w:left w:val="none" w:sz="0" w:space="0" w:color="auto"/>
        <w:bottom w:val="none" w:sz="0" w:space="0" w:color="auto"/>
        <w:right w:val="none" w:sz="0" w:space="0" w:color="auto"/>
      </w:divBdr>
    </w:div>
    <w:div w:id="2090467526">
      <w:bodyDiv w:val="1"/>
      <w:marLeft w:val="0"/>
      <w:marRight w:val="0"/>
      <w:marTop w:val="0"/>
      <w:marBottom w:val="0"/>
      <w:divBdr>
        <w:top w:val="none" w:sz="0" w:space="0" w:color="auto"/>
        <w:left w:val="none" w:sz="0" w:space="0" w:color="auto"/>
        <w:bottom w:val="none" w:sz="0" w:space="0" w:color="auto"/>
        <w:right w:val="none" w:sz="0" w:space="0" w:color="auto"/>
      </w:divBdr>
    </w:div>
    <w:div w:id="2091076453">
      <w:bodyDiv w:val="1"/>
      <w:marLeft w:val="0"/>
      <w:marRight w:val="0"/>
      <w:marTop w:val="0"/>
      <w:marBottom w:val="0"/>
      <w:divBdr>
        <w:top w:val="none" w:sz="0" w:space="0" w:color="auto"/>
        <w:left w:val="none" w:sz="0" w:space="0" w:color="auto"/>
        <w:bottom w:val="none" w:sz="0" w:space="0" w:color="auto"/>
        <w:right w:val="none" w:sz="0" w:space="0" w:color="auto"/>
      </w:divBdr>
    </w:div>
    <w:div w:id="2091189883">
      <w:bodyDiv w:val="1"/>
      <w:marLeft w:val="0"/>
      <w:marRight w:val="0"/>
      <w:marTop w:val="0"/>
      <w:marBottom w:val="0"/>
      <w:divBdr>
        <w:top w:val="none" w:sz="0" w:space="0" w:color="auto"/>
        <w:left w:val="none" w:sz="0" w:space="0" w:color="auto"/>
        <w:bottom w:val="none" w:sz="0" w:space="0" w:color="auto"/>
        <w:right w:val="none" w:sz="0" w:space="0" w:color="auto"/>
      </w:divBdr>
    </w:div>
    <w:div w:id="2093234994">
      <w:bodyDiv w:val="1"/>
      <w:marLeft w:val="0"/>
      <w:marRight w:val="0"/>
      <w:marTop w:val="0"/>
      <w:marBottom w:val="0"/>
      <w:divBdr>
        <w:top w:val="none" w:sz="0" w:space="0" w:color="auto"/>
        <w:left w:val="none" w:sz="0" w:space="0" w:color="auto"/>
        <w:bottom w:val="none" w:sz="0" w:space="0" w:color="auto"/>
        <w:right w:val="none" w:sz="0" w:space="0" w:color="auto"/>
      </w:divBdr>
    </w:div>
    <w:div w:id="2093971442">
      <w:bodyDiv w:val="1"/>
      <w:marLeft w:val="0"/>
      <w:marRight w:val="0"/>
      <w:marTop w:val="0"/>
      <w:marBottom w:val="0"/>
      <w:divBdr>
        <w:top w:val="none" w:sz="0" w:space="0" w:color="auto"/>
        <w:left w:val="none" w:sz="0" w:space="0" w:color="auto"/>
        <w:bottom w:val="none" w:sz="0" w:space="0" w:color="auto"/>
        <w:right w:val="none" w:sz="0" w:space="0" w:color="auto"/>
      </w:divBdr>
    </w:div>
    <w:div w:id="2094352066">
      <w:bodyDiv w:val="1"/>
      <w:marLeft w:val="0"/>
      <w:marRight w:val="0"/>
      <w:marTop w:val="0"/>
      <w:marBottom w:val="0"/>
      <w:divBdr>
        <w:top w:val="none" w:sz="0" w:space="0" w:color="auto"/>
        <w:left w:val="none" w:sz="0" w:space="0" w:color="auto"/>
        <w:bottom w:val="none" w:sz="0" w:space="0" w:color="auto"/>
        <w:right w:val="none" w:sz="0" w:space="0" w:color="auto"/>
      </w:divBdr>
    </w:div>
    <w:div w:id="2094814477">
      <w:bodyDiv w:val="1"/>
      <w:marLeft w:val="0"/>
      <w:marRight w:val="0"/>
      <w:marTop w:val="0"/>
      <w:marBottom w:val="0"/>
      <w:divBdr>
        <w:top w:val="none" w:sz="0" w:space="0" w:color="auto"/>
        <w:left w:val="none" w:sz="0" w:space="0" w:color="auto"/>
        <w:bottom w:val="none" w:sz="0" w:space="0" w:color="auto"/>
        <w:right w:val="none" w:sz="0" w:space="0" w:color="auto"/>
      </w:divBdr>
    </w:div>
    <w:div w:id="2098357495">
      <w:bodyDiv w:val="1"/>
      <w:marLeft w:val="0"/>
      <w:marRight w:val="0"/>
      <w:marTop w:val="0"/>
      <w:marBottom w:val="0"/>
      <w:divBdr>
        <w:top w:val="none" w:sz="0" w:space="0" w:color="auto"/>
        <w:left w:val="none" w:sz="0" w:space="0" w:color="auto"/>
        <w:bottom w:val="none" w:sz="0" w:space="0" w:color="auto"/>
        <w:right w:val="none" w:sz="0" w:space="0" w:color="auto"/>
      </w:divBdr>
    </w:div>
    <w:div w:id="2099281004">
      <w:bodyDiv w:val="1"/>
      <w:marLeft w:val="0"/>
      <w:marRight w:val="0"/>
      <w:marTop w:val="0"/>
      <w:marBottom w:val="0"/>
      <w:divBdr>
        <w:top w:val="none" w:sz="0" w:space="0" w:color="auto"/>
        <w:left w:val="none" w:sz="0" w:space="0" w:color="auto"/>
        <w:bottom w:val="none" w:sz="0" w:space="0" w:color="auto"/>
        <w:right w:val="none" w:sz="0" w:space="0" w:color="auto"/>
      </w:divBdr>
    </w:div>
    <w:div w:id="2100758388">
      <w:bodyDiv w:val="1"/>
      <w:marLeft w:val="0"/>
      <w:marRight w:val="0"/>
      <w:marTop w:val="0"/>
      <w:marBottom w:val="0"/>
      <w:divBdr>
        <w:top w:val="none" w:sz="0" w:space="0" w:color="auto"/>
        <w:left w:val="none" w:sz="0" w:space="0" w:color="auto"/>
        <w:bottom w:val="none" w:sz="0" w:space="0" w:color="auto"/>
        <w:right w:val="none" w:sz="0" w:space="0" w:color="auto"/>
      </w:divBdr>
    </w:div>
    <w:div w:id="2101633644">
      <w:bodyDiv w:val="1"/>
      <w:marLeft w:val="0"/>
      <w:marRight w:val="0"/>
      <w:marTop w:val="0"/>
      <w:marBottom w:val="0"/>
      <w:divBdr>
        <w:top w:val="none" w:sz="0" w:space="0" w:color="auto"/>
        <w:left w:val="none" w:sz="0" w:space="0" w:color="auto"/>
        <w:bottom w:val="none" w:sz="0" w:space="0" w:color="auto"/>
        <w:right w:val="none" w:sz="0" w:space="0" w:color="auto"/>
      </w:divBdr>
    </w:div>
    <w:div w:id="2103407021">
      <w:bodyDiv w:val="1"/>
      <w:marLeft w:val="0"/>
      <w:marRight w:val="0"/>
      <w:marTop w:val="0"/>
      <w:marBottom w:val="0"/>
      <w:divBdr>
        <w:top w:val="none" w:sz="0" w:space="0" w:color="auto"/>
        <w:left w:val="none" w:sz="0" w:space="0" w:color="auto"/>
        <w:bottom w:val="none" w:sz="0" w:space="0" w:color="auto"/>
        <w:right w:val="none" w:sz="0" w:space="0" w:color="auto"/>
      </w:divBdr>
    </w:div>
    <w:div w:id="2103793922">
      <w:bodyDiv w:val="1"/>
      <w:marLeft w:val="0"/>
      <w:marRight w:val="0"/>
      <w:marTop w:val="0"/>
      <w:marBottom w:val="0"/>
      <w:divBdr>
        <w:top w:val="none" w:sz="0" w:space="0" w:color="auto"/>
        <w:left w:val="none" w:sz="0" w:space="0" w:color="auto"/>
        <w:bottom w:val="none" w:sz="0" w:space="0" w:color="auto"/>
        <w:right w:val="none" w:sz="0" w:space="0" w:color="auto"/>
      </w:divBdr>
    </w:div>
    <w:div w:id="2104446608">
      <w:bodyDiv w:val="1"/>
      <w:marLeft w:val="0"/>
      <w:marRight w:val="0"/>
      <w:marTop w:val="0"/>
      <w:marBottom w:val="0"/>
      <w:divBdr>
        <w:top w:val="none" w:sz="0" w:space="0" w:color="auto"/>
        <w:left w:val="none" w:sz="0" w:space="0" w:color="auto"/>
        <w:bottom w:val="none" w:sz="0" w:space="0" w:color="auto"/>
        <w:right w:val="none" w:sz="0" w:space="0" w:color="auto"/>
      </w:divBdr>
    </w:div>
    <w:div w:id="2105765959">
      <w:bodyDiv w:val="1"/>
      <w:marLeft w:val="0"/>
      <w:marRight w:val="0"/>
      <w:marTop w:val="0"/>
      <w:marBottom w:val="0"/>
      <w:divBdr>
        <w:top w:val="none" w:sz="0" w:space="0" w:color="auto"/>
        <w:left w:val="none" w:sz="0" w:space="0" w:color="auto"/>
        <w:bottom w:val="none" w:sz="0" w:space="0" w:color="auto"/>
        <w:right w:val="none" w:sz="0" w:space="0" w:color="auto"/>
      </w:divBdr>
    </w:div>
    <w:div w:id="2106537979">
      <w:bodyDiv w:val="1"/>
      <w:marLeft w:val="0"/>
      <w:marRight w:val="0"/>
      <w:marTop w:val="0"/>
      <w:marBottom w:val="0"/>
      <w:divBdr>
        <w:top w:val="none" w:sz="0" w:space="0" w:color="auto"/>
        <w:left w:val="none" w:sz="0" w:space="0" w:color="auto"/>
        <w:bottom w:val="none" w:sz="0" w:space="0" w:color="auto"/>
        <w:right w:val="none" w:sz="0" w:space="0" w:color="auto"/>
      </w:divBdr>
    </w:div>
    <w:div w:id="210796583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387564">
      <w:bodyDiv w:val="1"/>
      <w:marLeft w:val="0"/>
      <w:marRight w:val="0"/>
      <w:marTop w:val="0"/>
      <w:marBottom w:val="0"/>
      <w:divBdr>
        <w:top w:val="none" w:sz="0" w:space="0" w:color="auto"/>
        <w:left w:val="none" w:sz="0" w:space="0" w:color="auto"/>
        <w:bottom w:val="none" w:sz="0" w:space="0" w:color="auto"/>
        <w:right w:val="none" w:sz="0" w:space="0" w:color="auto"/>
      </w:divBdr>
    </w:div>
    <w:div w:id="2127307098">
      <w:bodyDiv w:val="1"/>
      <w:marLeft w:val="0"/>
      <w:marRight w:val="0"/>
      <w:marTop w:val="0"/>
      <w:marBottom w:val="0"/>
      <w:divBdr>
        <w:top w:val="none" w:sz="0" w:space="0" w:color="auto"/>
        <w:left w:val="none" w:sz="0" w:space="0" w:color="auto"/>
        <w:bottom w:val="none" w:sz="0" w:space="0" w:color="auto"/>
        <w:right w:val="none" w:sz="0" w:space="0" w:color="auto"/>
      </w:divBdr>
    </w:div>
    <w:div w:id="2129663702">
      <w:bodyDiv w:val="1"/>
      <w:marLeft w:val="0"/>
      <w:marRight w:val="0"/>
      <w:marTop w:val="0"/>
      <w:marBottom w:val="0"/>
      <w:divBdr>
        <w:top w:val="none" w:sz="0" w:space="0" w:color="auto"/>
        <w:left w:val="none" w:sz="0" w:space="0" w:color="auto"/>
        <w:bottom w:val="none" w:sz="0" w:space="0" w:color="auto"/>
        <w:right w:val="none" w:sz="0" w:space="0" w:color="auto"/>
      </w:divBdr>
    </w:div>
    <w:div w:id="2130662825">
      <w:bodyDiv w:val="1"/>
      <w:marLeft w:val="0"/>
      <w:marRight w:val="0"/>
      <w:marTop w:val="0"/>
      <w:marBottom w:val="0"/>
      <w:divBdr>
        <w:top w:val="none" w:sz="0" w:space="0" w:color="auto"/>
        <w:left w:val="none" w:sz="0" w:space="0" w:color="auto"/>
        <w:bottom w:val="none" w:sz="0" w:space="0" w:color="auto"/>
        <w:right w:val="none" w:sz="0" w:space="0" w:color="auto"/>
      </w:divBdr>
    </w:div>
    <w:div w:id="2135440050">
      <w:bodyDiv w:val="1"/>
      <w:marLeft w:val="0"/>
      <w:marRight w:val="0"/>
      <w:marTop w:val="0"/>
      <w:marBottom w:val="0"/>
      <w:divBdr>
        <w:top w:val="none" w:sz="0" w:space="0" w:color="auto"/>
        <w:left w:val="none" w:sz="0" w:space="0" w:color="auto"/>
        <w:bottom w:val="none" w:sz="0" w:space="0" w:color="auto"/>
        <w:right w:val="none" w:sz="0" w:space="0" w:color="auto"/>
      </w:divBdr>
    </w:div>
    <w:div w:id="2136176449">
      <w:bodyDiv w:val="1"/>
      <w:marLeft w:val="0"/>
      <w:marRight w:val="0"/>
      <w:marTop w:val="0"/>
      <w:marBottom w:val="0"/>
      <w:divBdr>
        <w:top w:val="none" w:sz="0" w:space="0" w:color="auto"/>
        <w:left w:val="none" w:sz="0" w:space="0" w:color="auto"/>
        <w:bottom w:val="none" w:sz="0" w:space="0" w:color="auto"/>
        <w:right w:val="none" w:sz="0" w:space="0" w:color="auto"/>
      </w:divBdr>
    </w:div>
    <w:div w:id="2136479279">
      <w:bodyDiv w:val="1"/>
      <w:marLeft w:val="0"/>
      <w:marRight w:val="0"/>
      <w:marTop w:val="0"/>
      <w:marBottom w:val="0"/>
      <w:divBdr>
        <w:top w:val="none" w:sz="0" w:space="0" w:color="auto"/>
        <w:left w:val="none" w:sz="0" w:space="0" w:color="auto"/>
        <w:bottom w:val="none" w:sz="0" w:space="0" w:color="auto"/>
        <w:right w:val="none" w:sz="0" w:space="0" w:color="auto"/>
      </w:divBdr>
    </w:div>
    <w:div w:id="2137091764">
      <w:bodyDiv w:val="1"/>
      <w:marLeft w:val="0"/>
      <w:marRight w:val="0"/>
      <w:marTop w:val="0"/>
      <w:marBottom w:val="0"/>
      <w:divBdr>
        <w:top w:val="none" w:sz="0" w:space="0" w:color="auto"/>
        <w:left w:val="none" w:sz="0" w:space="0" w:color="auto"/>
        <w:bottom w:val="none" w:sz="0" w:space="0" w:color="auto"/>
        <w:right w:val="none" w:sz="0" w:space="0" w:color="auto"/>
      </w:divBdr>
    </w:div>
    <w:div w:id="2138601769">
      <w:bodyDiv w:val="1"/>
      <w:marLeft w:val="0"/>
      <w:marRight w:val="0"/>
      <w:marTop w:val="0"/>
      <w:marBottom w:val="0"/>
      <w:divBdr>
        <w:top w:val="none" w:sz="0" w:space="0" w:color="auto"/>
        <w:left w:val="none" w:sz="0" w:space="0" w:color="auto"/>
        <w:bottom w:val="none" w:sz="0" w:space="0" w:color="auto"/>
        <w:right w:val="none" w:sz="0" w:space="0" w:color="auto"/>
      </w:divBdr>
    </w:div>
    <w:div w:id="2138987299">
      <w:bodyDiv w:val="1"/>
      <w:marLeft w:val="0"/>
      <w:marRight w:val="0"/>
      <w:marTop w:val="0"/>
      <w:marBottom w:val="0"/>
      <w:divBdr>
        <w:top w:val="none" w:sz="0" w:space="0" w:color="auto"/>
        <w:left w:val="none" w:sz="0" w:space="0" w:color="auto"/>
        <w:bottom w:val="none" w:sz="0" w:space="0" w:color="auto"/>
        <w:right w:val="none" w:sz="0" w:space="0" w:color="auto"/>
      </w:divBdr>
    </w:div>
    <w:div w:id="2143187237">
      <w:bodyDiv w:val="1"/>
      <w:marLeft w:val="0"/>
      <w:marRight w:val="0"/>
      <w:marTop w:val="0"/>
      <w:marBottom w:val="0"/>
      <w:divBdr>
        <w:top w:val="none" w:sz="0" w:space="0" w:color="auto"/>
        <w:left w:val="none" w:sz="0" w:space="0" w:color="auto"/>
        <w:bottom w:val="none" w:sz="0" w:space="0" w:color="auto"/>
        <w:right w:val="none" w:sz="0" w:space="0" w:color="auto"/>
      </w:divBdr>
    </w:div>
    <w:div w:id="2145391474">
      <w:bodyDiv w:val="1"/>
      <w:marLeft w:val="0"/>
      <w:marRight w:val="0"/>
      <w:marTop w:val="0"/>
      <w:marBottom w:val="0"/>
      <w:divBdr>
        <w:top w:val="none" w:sz="0" w:space="0" w:color="auto"/>
        <w:left w:val="none" w:sz="0" w:space="0" w:color="auto"/>
        <w:bottom w:val="none" w:sz="0" w:space="0" w:color="auto"/>
        <w:right w:val="none" w:sz="0" w:space="0" w:color="auto"/>
      </w:divBdr>
    </w:div>
    <w:div w:id="2145586783">
      <w:bodyDiv w:val="1"/>
      <w:marLeft w:val="0"/>
      <w:marRight w:val="0"/>
      <w:marTop w:val="0"/>
      <w:marBottom w:val="0"/>
      <w:divBdr>
        <w:top w:val="none" w:sz="0" w:space="0" w:color="auto"/>
        <w:left w:val="none" w:sz="0" w:space="0" w:color="auto"/>
        <w:bottom w:val="none" w:sz="0" w:space="0" w:color="auto"/>
        <w:right w:val="none" w:sz="0" w:space="0" w:color="auto"/>
      </w:divBdr>
    </w:div>
    <w:div w:id="2147045068">
      <w:bodyDiv w:val="1"/>
      <w:marLeft w:val="0"/>
      <w:marRight w:val="0"/>
      <w:marTop w:val="0"/>
      <w:marBottom w:val="0"/>
      <w:divBdr>
        <w:top w:val="none" w:sz="0" w:space="0" w:color="auto"/>
        <w:left w:val="none" w:sz="0" w:space="0" w:color="auto"/>
        <w:bottom w:val="none" w:sz="0" w:space="0" w:color="auto"/>
        <w:right w:val="none" w:sz="0" w:space="0" w:color="auto"/>
      </w:divBdr>
    </w:div>
    <w:div w:id="21473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4653DC"/>
    <w:rsid w:val="00612405"/>
    <w:rsid w:val="00661350"/>
    <w:rsid w:val="007154C5"/>
    <w:rsid w:val="00780C80"/>
    <w:rsid w:val="007A63B6"/>
    <w:rsid w:val="0082164B"/>
    <w:rsid w:val="00835E07"/>
    <w:rsid w:val="00972B41"/>
    <w:rsid w:val="009D0E95"/>
    <w:rsid w:val="00B504AA"/>
    <w:rsid w:val="00CA10A9"/>
    <w:rsid w:val="00CD10A9"/>
    <w:rsid w:val="00D75606"/>
    <w:rsid w:val="00DB4022"/>
    <w:rsid w:val="00DD7BA4"/>
    <w:rsid w:val="00E24D23"/>
    <w:rsid w:val="00E318CE"/>
    <w:rsid w:val="00E646E1"/>
    <w:rsid w:val="00ED2C0A"/>
    <w:rsid w:val="00F21F81"/>
    <w:rsid w:val="00F436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NS_TAST_GD_005</b:Tag>
    <b:SourceType>Misc</b:SourceType>
    <b:Guid>{40AE96A3-1462-4F60-9698-4ADD7DA06C8A}</b:Guid>
    <b:Author>
      <b:Author>
        <b:Corporate>ONR</b:Corporate>
      </b:Author>
    </b:Author>
    <b:Title>NS-TAST-GD-005 Revision 11.2, "Guidance on the Demonstration of ALARP (As Low As Reasonably Practicable)"</b:Title>
    <b:Year>June 2023</b:Year>
    <b:RefOrder>2</b:RefOrder>
  </b:Source>
  <b:Source>
    <b:Tag>ONR_SAPs</b:Tag>
    <b:SourceType>Misc</b:SourceType>
    <b:Guid>{9CE29FBA-417B-4542-8124-FB42E7456A61}</b:Guid>
    <b:Author>
      <b:Author>
        <b:Corporate>ONR</b:Corporate>
      </b:Author>
    </b:Author>
    <b:Title>Safety Assessment Principles (SAPs) for Nuclear Facilities - 2014 Edition (Revision 1)</b:Title>
    <b:Year>2020</b:Year>
    <b:Month>January</b:Month>
    <b:RefOrder>1</b:RefOrder>
  </b:Source>
  <b:Source>
    <b:Tag>WENRA_RRSLs</b:Tag>
    <b:SourceType>Misc</b:SourceType>
    <b:Guid>{B7C15374-5119-4118-924D-46562A813493}</b:Guid>
    <b:Author>
      <b:Author>
        <b:Corporate>Western European Nuclear Regulators Association</b:Corporate>
      </b:Author>
    </b:Author>
    <b:Title>Reactor Harmonization Group. WENRA Reactor Reference Safety Levels</b:Title>
    <b:Year>September 2014</b:Year>
    <b:RefOrder>3</b:RefOrder>
  </b:Source>
  <b:Source>
    <b:Tag>EA_GDF_RA</b:Tag>
    <b:SourceType>Misc</b:SourceType>
    <b:Guid>{82811CF5-D34F-4B05-8FD3-B6B10D674FD9}</b:Guid>
    <b:Author>
      <b:Author>
        <b:Corporate>Environment Agency et al</b:Corporate>
      </b:Author>
    </b:Author>
    <b:Title>"Geological Disposal Facilities on Land for Solid Radioactive Wastes, Guidance on Requirements for Authorisation"</b:Title>
    <b:Year>February 2009</b:Year>
    <b:RefOrder>5</b:RefOrder>
  </b:Source>
  <b:Source>
    <b:Tag>ONR_LCs</b:Tag>
    <b:SourceType>Misc</b:SourceType>
    <b:Guid>{E032A94E-CC12-4B1B-A38B-04BF2F4D94EC}</b:Guid>
    <b:Author>
      <b:Author>
        <b:Corporate>ONR</b:Corporate>
      </b:Author>
    </b:Author>
    <b:Title>"Licence Condition Handbook", February 2017</b:Title>
    <b:Year>htts://www.onr.org.uk/documents/licence-condition-handbook.pdf</b:Year>
    <b:RefOrder>6</b:RefOrder>
  </b:Source>
  <b:Source>
    <b:Tag>IRR17</b:Tag>
    <b:SourceType>Misc</b:SourceType>
    <b:Guid>{33945D93-74BE-4A66-803F-3BA5B2A8DFF2}</b:Guid>
    <b:Title>The Ionising Radiations Regulations 2017</b:Title>
    <b:RefOrder>9</b:RefOrder>
  </b:Source>
  <b:Source>
    <b:Tag>NS_TAST_GD_035</b:Tag>
    <b:SourceType>Misc</b:SourceType>
    <b:Guid>{9333203D-67EC-4070-A67B-D5A127815411}</b:Guid>
    <b:Author>
      <b:Author>
        <b:Corporate>ONR</b:Corporate>
      </b:Author>
    </b:Author>
    <b:Title>NS-TAST-GD-035 Revision 7, "Limits and Conditions for Nuclear Safety (Operating Rules)", March 2023 </b:Title>
    <b:RefOrder>7</b:RefOrder>
  </b:Source>
  <b:Source>
    <b:Tag>ICNC2011_ONR_ORs</b:Tag>
    <b:SourceType>Misc</b:SourceType>
    <b:Guid>{C989CD83-3183-4BEF-AF41-BABECC550815}</b:Guid>
    <b:Title>"The Identification of Conditions and Limits Necessary in the Interests of Safety - Operating Rules", D Scowcroft, ICNC 2011, Edinburgh</b:Title>
    <b:RefOrder>8</b:RefOrder>
  </b:Source>
  <b:Source>
    <b:Tag>Knief</b:Tag>
    <b:SourceType>Misc</b:SourceType>
    <b:Guid>{36DD1027-CE65-4829-8AC8-E44280FC7175}</b:Guid>
    <b:Author>
      <b:Author>
        <b:Corporate>American Nuclear Society</b:Corporate>
      </b:Author>
    </b:Author>
    <b:Title>"Nuclear Criticality Safety - Theory and Practice", R A Knief</b:Title>
    <b:Year>1985</b:Year>
    <b:RefOrder>10</b:RefOrder>
  </b:Source>
  <b:Source>
    <b:Tag>LA_10860_MS</b:Tag>
    <b:SourceType>Misc</b:SourceType>
    <b:Guid>{26E290A9-0ACB-45C7-803E-17CA45DC3A79}</b:Guid>
    <b:Author>
      <b:Author>
        <b:Corporate>Los Alamos Nuclear Laboratory</b:Corporate>
      </b:Author>
    </b:Author>
    <b:Title>LA-10860-MS, "Critical Dimensions of Systems Containing U-235, Pu-239 and U-233"</b:Title>
    <b:Year>1987</b:Year>
    <b:RefOrder>11</b:RefOrder>
  </b:Source>
  <b:Source>
    <b:Tag>ICNC2011_DDW</b:Tag>
    <b:SourceType>Misc</b:SourceType>
    <b:Guid>{91042DC3-6970-472D-962C-AAFA286BF3D0}</b:Guid>
    <b:Title>"From Conservatism to Realism - The Importance of Understanding Approximations", D Winstanley, ICNC 2011, Edinburgh</b:Title>
    <b:RefOrder>12</b:RefOrder>
  </b:Source>
  <b:Source>
    <b:Tag>ONR_LowTemp_RR</b:Tag>
    <b:SourceType>Misc</b:SourceType>
    <b:Guid>{1CC7B9F3-49FB-4151-AA3A-6A9D87DEE55D}</b:Guid>
    <b:Title>ONR352, 2013171-AA-0022, Issue 2.0, "Research into the Effect of Temperature on the Criticality Safety of Fissile Systems", 2018</b:Title>
    <b:RefOrder>13</b:RefOrder>
  </b:Source>
  <b:Source>
    <b:Tag>NS_TAST_GD_018</b:Tag>
    <b:SourceType>Misc</b:SourceType>
    <b:Guid>{101AE93A-1AC0-422E-B6DB-5B6ED50FF14C}</b:Guid>
    <b:Author>
      <b:Author>
        <b:Corporate>ONR</b:Corporate>
      </b:Author>
    </b:Author>
    <b:Title>NS-TAST-GD-018 Revision 8, "Criticality Warning Systems"</b:Title>
    <b:Year>June 2019</b:Year>
    <b:RefOrder>15</b:RefOrder>
  </b:Source>
  <b:Source>
    <b:Tag>ISO_1709</b:Tag>
    <b:SourceType>Misc</b:SourceType>
    <b:Guid>{5F84147E-5BF1-4EF0-8A93-9D4E3B79AD5F}</b:Guid>
    <b:Title>BS ISO 1709:2018, "Fissile Materials - Principles of Criticality Safety in Storing, Handling and Processing"</b:Title>
    <b:RefOrder>16</b:RefOrder>
  </b:Source>
  <b:Source>
    <b:Tag>NUREG_1520</b:Tag>
    <b:SourceType>Misc</b:SourceType>
    <b:Guid>{35F5EF9E-EB20-4455-8084-822B8601E6B0}</b:Guid>
    <b:Title>NUREG-1520 Revision 2, "Standard Review Plan for the Review of a License Application for a Nuclear Fuel Cycle Facility - Final Report", Chapter 5, Nuclear Safety</b:Title>
    <b:RefOrder>17</b:RefOrder>
  </b:Source>
  <b:Source>
    <b:Tag>ICNC2015_ONR_DCP</b:Tag>
    <b:SourceType>Misc</b:SourceType>
    <b:Guid>{92B9A114-6268-48E4-80E0-5B896C584875}</b:Guid>
    <b:Title>"UK Regulatory Review of the Double Contingency Principle in Criticality Safety", T Thomas, ICNC 2015, Charlotte</b:Title>
    <b:RefOrder>18</b:RefOrder>
  </b:Source>
  <b:Source>
    <b:Tag>WPC_P267</b:Tag>
    <b:SourceType>Misc</b:SourceType>
    <b:Guid>{1D4C0D94-D808-447E-8F27-83D7E9C2B0FA}</b:Guid>
    <b:Author>
      <b:Author>
        <b:Corporate>The UK Working Party on Criticality</b:Corporate>
      </b:Author>
    </b:Author>
    <b:Title>WPC/P267 Revision 1, "WPC Position on the Double Contingency Principle"</b:Title>
    <b:RefOrder>19</b:RefOrder>
  </b:Source>
  <b:Source>
    <b:Tag>SSG15_Rev1</b:Tag>
    <b:SourceType>Misc</b:SourceType>
    <b:Guid>{EAB43723-5E94-4052-AD5F-46DAF5FCF388}</b:Guid>
    <b:Author>
      <b:Author>
        <b:Corporate>International Atomic Energy Agency</b:Corporate>
      </b:Author>
    </b:Author>
    <b:Title>"Storage of Spent Nuclear Fuel", Specific Safety Guide No. SSG-15 (Rev 1)</b:Title>
    <b:Year>2020</b:Year>
    <b:RefOrder>22</b:RefOrder>
  </b:Source>
  <b:Source>
    <b:Tag>LA_12808</b:Tag>
    <b:SourceType>Misc</b:SourceType>
    <b:Guid>{73E68E33-47BD-4D79-AD78-9AE0EBDCA1A7}</b:Guid>
    <b:Author>
      <b:Author>
        <b:Corporate>Los Alamos Nuclear Laboratory</b:Corporate>
      </b:Author>
    </b:Author>
    <b:Title>LA-12808, "Nuclear Safety Guide", 1996</b:Title>
    <b:RefOrder>23</b:RefOrder>
  </b:Source>
  <b:Source>
    <b:Tag>AHSB</b:Tag>
    <b:SourceType>Misc</b:SourceType>
    <b:Guid>{92751C5F-97CD-4051-BD96-19C5DD00100B}</b:Guid>
    <b:Author>
      <b:Author>
        <b:Corporate>UKAEA Health and Safety Branch</b:Corporate>
      </b:Author>
    </b:Author>
    <b:Title>"AHSB Handbook", 1967</b:Title>
    <b:RefOrder>24</b:RefOrder>
  </b:Source>
  <b:Source>
    <b:Tag>NTD_B0062</b:Tag>
    <b:SourceType>Misc</b:SourceType>
    <b:Guid>{AF463B43-E73F-4EEF-AF71-4F1A3B2CBCC5}</b:Guid>
    <b:Author>
      <b:Author>
        <b:Corporate>AEA Technology</b:Corporate>
      </b:Author>
    </b:Author>
    <b:Title>NTD B/0062, "Criticality Handbook"</b:Title>
    <b:RefOrder>26</b:RefOrder>
  </b:Source>
  <b:Source>
    <b:Tag>JAERI_Hbook</b:Tag>
    <b:SourceType>Misc</b:SourceType>
    <b:Guid>{64BE8BD3-1978-4DD7-91C0-F2A2134BEC5E}</b:Guid>
    <b:Author>
      <b:Author>
        <b:Corporate>Japanese Atomic Energy Research Institute</b:Corporate>
      </b:Author>
    </b:Author>
    <b:Title>JAERI - Review 95-013, "Nuclear Criticality Safety Handbook"</b:Title>
    <b:RefOrder>27</b:RefOrder>
  </b:Source>
  <b:Source>
    <b:Tag>ANS_8_1</b:Tag>
    <b:SourceType>Misc</b:SourceType>
    <b:Guid>{870A7536-BF3A-4EE4-BEB4-A7A34D5EC49F}</b:Guid>
    <b:Title>ANSI/ANS-8.1-2014, "Nuclear Criticality Safety in Operations with Fissionable Materials Outside Reactors"</b:Title>
    <b:RefOrder>28</b:RefOrder>
  </b:Source>
  <b:Source>
    <b:Tag>ARH600</b:Tag>
    <b:SourceType>Misc</b:SourceType>
    <b:Guid>{D3BAF655-789F-47F9-BCF5-3A4D2FF4A631}</b:Guid>
    <b:Title>ARH-600, "Criticality Handbook", 1968</b:Title>
    <b:Author>
      <b:Author>
        <b:Corporate>Atlantic Richfield Hanford Company</b:Corporate>
      </b:Author>
    </b:Author>
    <b:RefOrder>25</b:RefOrder>
  </b:Source>
  <b:Source>
    <b:Tag>ANS_8_7</b:Tag>
    <b:SourceType>Misc</b:SourceType>
    <b:Guid>{7A622479-B6BD-47DF-9E2D-97C06250683F}</b:Guid>
    <b:Title>ANSI/ANS-8.7-2022, "Guide for Nuclear Criticality Safety in the Storage of Fissile Materials"</b:Title>
    <b:RefOrder>29</b:RefOrder>
  </b:Source>
  <b:Source>
    <b:Tag>ANS_8_14</b:Tag>
    <b:SourceType>Misc</b:SourceType>
    <b:Guid>{D5ACBDFF-D9FF-4A86-9EE9-28251A14CFD9}</b:Guid>
    <b:Title>ANSI/ANS-8.14-2004, "Use of Soluble Neutron Absorbersa in Nuclear Facilities Outside Reactors"</b:Title>
    <b:RefOrder>30</b:RefOrder>
  </b:Source>
  <b:Source>
    <b:Tag>ANS_8_15</b:Tag>
    <b:SourceType>Misc</b:SourceType>
    <b:Guid>{F225A134-0856-4166-871C-F4C83B303D0C}</b:Guid>
    <b:Title>ANSI/ANS-8.15-2014, "Nuclear Criticality Control of Special Actinide Elements"</b:Title>
    <b:RefOrder>31</b:RefOrder>
  </b:Source>
  <b:Source>
    <b:Tag>ANS_8_19</b:Tag>
    <b:SourceType>Misc</b:SourceType>
    <b:Guid>{1992B7DB-9D8A-4CF6-B571-231F89151E4B}</b:Guid>
    <b:Title>ANSI/ANS-8.19-2014, "Administrative Practices for Nuclear Criticality Safety"</b:Title>
    <b:RefOrder>33</b:RefOrder>
  </b:Source>
  <b:Source>
    <b:Tag>ANS_8_21</b:Tag>
    <b:SourceType>Misc</b:SourceType>
    <b:Guid>{02BA095B-C1F0-418B-8A37-2796E444E50F}</b:Guid>
    <b:Title>ANSI/ANS-8.21-2023, "Use of Fixed Neutron Absorbers in Nuclear Facilities Outside Reactors"</b:Title>
    <b:RefOrder>35</b:RefOrder>
  </b:Source>
  <b:Source>
    <b:Tag>ANS_8_22</b:Tag>
    <b:SourceType>Misc</b:SourceType>
    <b:Guid>{82EFC822-20FF-45F9-94A9-277787C5AAB4}</b:Guid>
    <b:Title>ANSI/ANS-8.22-1997, "Nuclear Criticality Safety Based on Limiting and Controlling Moderators"</b:Title>
    <b:RefOrder>36</b:RefOrder>
  </b:Source>
  <b:Source>
    <b:Tag>ISO_14943</b:Tag>
    <b:SourceType>Misc</b:SourceType>
    <b:Guid>{32C8C25F-0684-4B9E-9923-E80B04E06E32}</b:Guid>
    <b:Title>BS ISO 14943:2004, "Nuclear Fuel Technology - Administrative Criteria Related to Criticality Safety"</b:Title>
    <b:RefOrder>34</b:RefOrder>
  </b:Source>
  <b:Source>
    <b:Tag>ISO_11311</b:Tag>
    <b:SourceType>Misc</b:SourceType>
    <b:Guid>{92EA2E75-C08D-404B-9885-D135933037D2}</b:Guid>
    <b:Title>BS ISO 11311:2011, "Nuclear Criticality Safety - Critical Values for Homogeneous Plutonium-Uranium Oxide Fuel Mixtures Outside of Reactors"</b:Title>
    <b:RefOrder>32</b:RefOrder>
  </b:Source>
  <b:Source>
    <b:Tag>ICNC1991_HSETest</b:Tag>
    <b:SourceType>Misc</b:SourceType>
    <b:Guid>{4B2BB473-0796-4809-BAC3-8BE3589338A2}</b:Guid>
    <b:Title>"The Results of the Health and Safety Executive's Criticality Performance Test", A J Rudge and D N Simister, Proceedings of ICNC '91, 9-13 September 1991, Oxford</b:Title>
    <b:RefOrder>37</b:RefOrder>
  </b:Source>
  <b:Source>
    <b:Tag>ICNC_1995_DNS</b:Tag>
    <b:SourceType>Misc</b:SourceType>
    <b:Guid>{995E2409-B6A1-4D9F-8E03-94FBE4DB99D6}</b:Guid>
    <b:Title>"Analysis of Infringements or Potential Infringements of Criticality Rules", D N Simister, ICNC 1995, Albuquerque</b:Title>
    <b:RefOrder>38</b:RefOrder>
  </b:Source>
  <b:Source>
    <b:Tag>LA_13638</b:Tag>
    <b:SourceType>Misc</b:SourceType>
    <b:Guid>{CEC77848-AE24-424C-BD79-1A546B2CB921}</b:Guid>
    <b:Title>LA-13638, "A Review of Criticality Accidents - 2000 Revision", T P McLaughlin et al</b:Title>
    <b:Author>
      <b:Author>
        <b:Corporate>Los Alamos National Laboratory</b:Corporate>
      </b:Author>
    </b:Author>
    <b:RefOrder>40</b:RefOrder>
  </b:Source>
  <b:Source>
    <b:Tag>JRP_DNS</b:Tag>
    <b:SourceType>Misc</b:SourceType>
    <b:Guid>{1D6EECB5-B7D5-450D-B0DC-4DA3F37EB559}</b:Guid>
    <b:Title>"HSE's Safety Assessment Principles for Criticality Safety", D N Simister et al, Journal of Radiological Protection 28(2008)</b:Title>
    <b:JournalName>Journal of Radiological Protection 28(2008)</b:JournalName>
    <b:Pages>237-247</b:Pages>
    <b:RefOrder>39</b:RefOrder>
  </b:Source>
  <b:Source>
    <b:Tag>LA_14244</b:Tag>
    <b:SourceType>Misc</b:SourceType>
    <b:Guid>{4AF17B11-C38C-460F-881D-8D131A73CC9A}</b:Guid>
    <b:Author>
      <b:Author>
        <b:Corporate>Los Alamos National Laboratory</b:Corporate>
      </b:Author>
    </b:Author>
    <b:Title>LA-14244-M, "Hand Calculation Methods for Criticality Safety - A Primer"</b:Title>
    <b:RefOrder>45</b:RefOrder>
  </b:Source>
  <b:Source>
    <b:Tag>NRPB_Crit</b:Tag>
    <b:SourceType>Misc</b:SourceType>
    <b:Guid>{BB9346CA-9400-40C2-8660-BE503A6C273D}</b:Guid>
    <b:Title>"Protection of On-Site Personnel in the Event of a Radiation Accident", Documents of the NRPB, Volume 16, No 1</b:Title>
    <b:Year>2005</b:Year>
    <b:RefOrder>49</b:RefOrder>
  </b:Source>
  <b:Source>
    <b:Tag>NPL_GPG34_NDA</b:Tag>
    <b:SourceType>Misc</b:SourceType>
    <b:Guid>{4D374AB0-A77E-4E1B-B668-2107C078E09E}</b:Guid>
    <b:Author>
      <b:Author>
        <b:Corporate>National Physical Laboratories</b:Corporate>
      </b:Author>
    </b:Author>
    <b:Title>Good Practice Guide No. 34 Issue 2, "Radiometric Non-Destructive Assay"</b:Title>
    <b:RefOrder>48</b:RefOrder>
  </b:Source>
  <b:Source>
    <b:Tag>NS_TAST_GD_042</b:Tag>
    <b:SourceType>Misc</b:SourceType>
    <b:Guid>{7485046F-796A-4FE5-B981-CDCBB12FF95B}</b:Guid>
    <b:Author>
      <b:Author>
        <b:Corporate>ONR</b:Corporate>
      </b:Author>
    </b:Author>
    <b:Title>NS-TAST-GD-042 Revision 5.1, "Validation of Computer Codes and Calculation Methods", September 2023</b:Title>
    <b:RefOrder>47</b:RefOrder>
  </b:Source>
  <b:Source>
    <b:Tag>ONR_BUC_RR</b:Tag>
    <b:SourceType>Misc</b:SourceType>
    <b:Guid>{4CDD7C9A-41E9-4524-9D4E-F46A1AA91B98}</b:Guid>
    <b:Title>ONR 323, 203171-AA-0019, Issue 1.0, "Use of Burnup Credit in the Assessment of Criticality Risk"</b:Title>
    <b:RefOrder>41</b:RefOrder>
  </b:Source>
  <b:Source>
    <b:Tag>NRC_ISG_BUC</b:Tag>
    <b:SourceType>Misc</b:SourceType>
    <b:Guid>{4709A782-7610-48B2-933B-30FE76ABF0A8}</b:Guid>
    <b:Title>US Nuclear Regulatory Commission, Interim Staff Guidance, "Burnup Credit in the Criticality Safety Analyses of PWR Spent Fuel in Transportation and Storage Casks", http://www.nrc.gov/reading-rm/doc-collections/isg/isg-8R3.pdf</b:Title>
    <b:RefOrder>42</b:RefOrder>
  </b:Source>
  <b:Source>
    <b:Tag>NS_TAST_GD_097</b:Tag>
    <b:SourceType>Misc</b:SourceType>
    <b:Guid>{98A0D391-10E9-4E3F-86CB-4568F8541426}</b:Guid>
    <b:Title>NS-TAST-GD-097 Revision 2, "Criticality Safety Assessment of Transport Packages", April 2020</b:Title>
    <b:Author>
      <b:Author>
        <b:Corporate>ONR</b:Corporate>
      </b:Author>
    </b:Author>
    <b:RefOrder>4</b:RefOrder>
  </b:Source>
  <b:Source>
    <b:Tag>NRC_ISG_Margins</b:Tag>
    <b:SourceType>Misc</b:SourceType>
    <b:Guid>{BBA3B12A-6784-4D4A-AF57-338B1F236121}</b:Guid>
    <b:Title>US Nuclear Regulatory Commission, Interim Staff Guidance, "Justification of Subcritical Margins"</b:Title>
    <b:Year>CM9 Ref: 2015/485662</b:Year>
    <b:RefOrder>44</b:RefOrder>
  </b:Source>
  <b:Source>
    <b:Tag>ISO_22946</b:Tag>
    <b:SourceType>Misc</b:SourceType>
    <b:Guid>{60A88FD9-1381-4469-9567-B4A30F7D032C}</b:Guid>
    <b:Title>BS ISO 22946:2020, "Nuclear Criticality Safety - Solid Waste Excluding Irradiated and Non-Irradiated Nuclear Fuel"</b:Title>
    <b:RefOrder>20</b:RefOrder>
  </b:Source>
  <b:Source>
    <b:Tag>WPC_P288</b:Tag>
    <b:SourceType>Misc</b:SourceType>
    <b:Guid>{F4AEC14F-2537-4FDB-8850-DA0E55BB107E}</b:Guid>
    <b:Author>
      <b:Author>
        <b:Corporate>The UK Working Party on Criticality</b:Corporate>
      </b:Author>
    </b:Author>
    <b:Title>"The UK Nuclear Industry Good Practice Guide to Minimum Sub-Critical Margins", WPC/P288 Version 1, June 2020</b:Title>
    <b:RefOrder>43</b:RefOrder>
  </b:Source>
  <b:Source>
    <b:Tag>WPC_Comp</b:Tag>
    <b:SourceType>Misc</b:SourceType>
    <b:Guid>{E3C30C2D-A29A-4C5B-8010-0318AD527194}</b:Guid>
    <b:Author>
      <b:Author>
        <b:Corporate>The UK Working Party on Criticality</b:Corporate>
      </b:Author>
    </b:Author>
    <b:Title>WPC/P243 Issue 1, "The WPC Criticality Competence Framework"</b:Title>
    <b:RefOrder>46</b:RefOrder>
  </b:Source>
  <b:Source>
    <b:Tag>SSG27_2022</b:Tag>
    <b:SourceType>Misc</b:SourceType>
    <b:Guid>{88B4A843-2588-4218-B88E-247655798832}</b:Guid>
    <b:Author>
      <b:Author>
        <b:Corporate>International Atomic Energy Agency</b:Corporate>
      </b:Author>
    </b:Author>
    <b:Title>"Criticality Safety in the Handling of Fissile Material", Specific Safety Guide No. SSG-27 (Rev. 1)</b:Title>
    <b:Year>2022</b:Year>
    <b:RefOrder>21</b:RefOrder>
  </b:Source>
  <b:Source>
    <b:Tag>PNNL_19176_Anomalies</b:Tag>
    <b:SourceType>Misc</b:SourceType>
    <b:Guid>{71307146-EAEA-4020-9A2C-DB888F33CC35}</b:Guid>
    <b:Title>PNNL-19176, "Anomalies of Nuclear Criticality", February 2010</b:Title>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83A0EB-7DBF-4F18-BEBA-D5D94D33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31</Pages>
  <Words>9738</Words>
  <Characters>55509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65117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Criticality Safety</dc:title>
  <dc:subject>[Subtitle or description]</dc:subject>
  <dc:creator>Liam Dunning</dc:creator>
  <cp:keywords>[Key words separated by commas]</cp:keywords>
  <dc:description/>
  <cp:lastModifiedBy>Gary Hull</cp:lastModifiedBy>
  <cp:revision>3</cp:revision>
  <cp:lastPrinted>2023-11-07T12:59:00Z</cp:lastPrinted>
  <dcterms:created xsi:type="dcterms:W3CDTF">2024-01-16T10:50:00Z</dcterms:created>
  <dcterms:modified xsi:type="dcterms:W3CDTF">2024-01-16T11:15:00Z</dcterms:modified>
  <cp:contentStatus>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