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FB043B">
        <w:trPr>
          <w:trHeight w:hRule="exact" w:val="4304"/>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5B54AFA" w:rsidR="00595C8C" w:rsidRPr="00595C8C" w:rsidRDefault="00595C8C" w:rsidP="00C55588">
            <w:pPr>
              <w:pStyle w:val="InnerCoverTitle"/>
              <w:ind w:left="232"/>
              <w:rPr>
                <w:sz w:val="36"/>
                <w:szCs w:val="36"/>
              </w:rPr>
            </w:pPr>
            <w:r w:rsidRPr="00595C8C">
              <w:rPr>
                <w:sz w:val="36"/>
                <w:szCs w:val="36"/>
              </w:rPr>
              <w:t xml:space="preserve">ONR </w:t>
            </w:r>
            <w:r w:rsidR="005A242F">
              <w:rPr>
                <w:sz w:val="36"/>
                <w:szCs w:val="36"/>
              </w:rPr>
              <w:t>Project Assessment Report</w:t>
            </w:r>
          </w:p>
          <w:p w14:paraId="7C4EA414" w14:textId="269961A0" w:rsidR="00D0226A" w:rsidRPr="001E03E1" w:rsidRDefault="00FB043B" w:rsidP="001E03E1">
            <w:pPr>
              <w:pStyle w:val="CoverTitle"/>
              <w:rPr>
                <w:szCs w:val="90"/>
              </w:rPr>
            </w:pPr>
            <w:r>
              <w:rPr>
                <w:sz w:val="72"/>
                <w:szCs w:val="72"/>
              </w:rPr>
              <w:t>Generic Design Assessment of the Rolls-Royce SMR</w:t>
            </w:r>
            <w:r w:rsidR="00132BC1">
              <w:rPr>
                <w:sz w:val="72"/>
                <w:szCs w:val="72"/>
              </w:rPr>
              <w:t xml:space="preserve"> – </w:t>
            </w:r>
            <w:sdt>
              <w:sdtPr>
                <w:rPr>
                  <w:sz w:val="72"/>
                  <w:szCs w:val="72"/>
                </w:rPr>
                <w:id w:val="1228188510"/>
                <w:placeholder>
                  <w:docPart w:val="DefaultPlaceholder_-1854013440"/>
                </w:placeholder>
              </w:sdt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Pr>
                        <w:sz w:val="72"/>
                        <w:szCs w:val="72"/>
                      </w:rPr>
                      <w:t xml:space="preserve">Step 1 </w:t>
                    </w:r>
                    <w:r w:rsidR="00C55588">
                      <w:rPr>
                        <w:sz w:val="72"/>
                        <w:szCs w:val="72"/>
                      </w:rPr>
                      <w:t>s</w:t>
                    </w:r>
                    <w:r>
                      <w:rPr>
                        <w:sz w:val="72"/>
                        <w:szCs w:val="72"/>
                      </w:rPr>
                      <w:t>ummary</w:t>
                    </w:r>
                  </w:sdtContent>
                </w:sdt>
              </w:sdtContent>
            </w:sdt>
          </w:p>
        </w:tc>
      </w:tr>
    </w:tbl>
    <w:p w14:paraId="56A09D10" w14:textId="035E5BBA" w:rsidR="00D0226A" w:rsidRDefault="00D0226A">
      <w:pPr>
        <w:spacing w:after="0"/>
      </w:pPr>
    </w:p>
    <w:p w14:paraId="30605A49" w14:textId="69F67292" w:rsidR="005422EA" w:rsidRDefault="005422EA">
      <w:pPr>
        <w:spacing w:after="0"/>
      </w:pPr>
    </w:p>
    <w:p w14:paraId="3B21F1A4" w14:textId="7E722D25" w:rsidR="005422EA" w:rsidRDefault="005422EA">
      <w:pPr>
        <w:spacing w:after="0"/>
      </w:pPr>
    </w:p>
    <w:p w14:paraId="535F568F" w14:textId="13410924" w:rsidR="005422EA" w:rsidRDefault="005422EA">
      <w:pPr>
        <w:spacing w:after="0"/>
      </w:pPr>
    </w:p>
    <w:p w14:paraId="0DEEFA2A" w14:textId="269F4E3E" w:rsidR="005422EA" w:rsidRDefault="00E62AE3">
      <w:pPr>
        <w:spacing w:after="0"/>
      </w:pPr>
      <w:r>
        <w:rPr>
          <w:noProof/>
        </w:rPr>
        <w:drawing>
          <wp:anchor distT="0" distB="0" distL="114300" distR="114300" simplePos="0" relativeHeight="251659264" behindDoc="0" locked="0" layoutInCell="1" allowOverlap="1" wp14:anchorId="1CE9EF85" wp14:editId="672A01B9">
            <wp:simplePos x="0" y="0"/>
            <wp:positionH relativeFrom="page">
              <wp:posOffset>-8890</wp:posOffset>
            </wp:positionH>
            <wp:positionV relativeFrom="paragraph">
              <wp:posOffset>223710</wp:posOffset>
            </wp:positionV>
            <wp:extent cx="7569200" cy="4257675"/>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9200"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FCC29" w14:textId="5D758894" w:rsidR="005422EA" w:rsidRDefault="005422EA" w:rsidP="005422EA">
      <w:pPr>
        <w:spacing w:after="0"/>
        <w:ind w:left="-426" w:firstLine="142"/>
      </w:pPr>
    </w:p>
    <w:p w14:paraId="6E5F921C" w14:textId="63752359" w:rsidR="005422EA" w:rsidRDefault="005422EA">
      <w:pPr>
        <w:spacing w:after="0"/>
      </w:pPr>
    </w:p>
    <w:p w14:paraId="1FD9EBD2" w14:textId="06388CA4" w:rsidR="005422EA" w:rsidRDefault="005422EA">
      <w:pPr>
        <w:spacing w:after="0"/>
      </w:pPr>
    </w:p>
    <w:p w14:paraId="42782FA4" w14:textId="77777777" w:rsidR="005422EA" w:rsidRDefault="005422EA">
      <w:pPr>
        <w:spacing w:after="0"/>
      </w:pPr>
    </w:p>
    <w:p w14:paraId="1B05E77D" w14:textId="1ED2DD38" w:rsidR="00E935A5" w:rsidRDefault="00E935A5" w:rsidP="005422EA">
      <w:pPr>
        <w:spacing w:after="0"/>
        <w:jc w:val="center"/>
      </w:pPr>
    </w:p>
    <w:p w14:paraId="6D1C8B33" w14:textId="337B9D1A" w:rsidR="00267815" w:rsidRDefault="00881B6F">
      <w:pPr>
        <w:spacing w:after="0"/>
      </w:pPr>
      <w:r>
        <w:rPr>
          <w:noProof/>
        </w:rPr>
        <w:drawing>
          <wp:anchor distT="0" distB="0" distL="114300" distR="114300" simplePos="0" relativeHeight="251658240" behindDoc="1" locked="0" layoutInCell="1" allowOverlap="1" wp14:anchorId="10B0A4AA" wp14:editId="5CF278BC">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815">
        <w:br w:type="page"/>
      </w:r>
    </w:p>
    <w:p w14:paraId="108F43C7" w14:textId="165E557A" w:rsidR="00004C16" w:rsidRPr="00004C16" w:rsidRDefault="00004C16" w:rsidP="00004C16">
      <w:pPr>
        <w:rPr>
          <w:color w:val="005F63"/>
          <w:sz w:val="36"/>
          <w:szCs w:val="36"/>
        </w:rPr>
      </w:pPr>
      <w:r w:rsidRPr="00004C16">
        <w:rPr>
          <w:color w:val="005F63"/>
          <w:sz w:val="36"/>
          <w:szCs w:val="36"/>
        </w:rPr>
        <w:lastRenderedPageBreak/>
        <w:t xml:space="preserve">ONR </w:t>
      </w:r>
      <w:r w:rsidR="008E5D60">
        <w:rPr>
          <w:color w:val="005F63"/>
          <w:sz w:val="36"/>
          <w:szCs w:val="36"/>
        </w:rPr>
        <w:t>Project Assessment Report</w:t>
      </w:r>
    </w:p>
    <w:p w14:paraId="3E340E1B" w14:textId="2157D5FA" w:rsidR="008E5D60" w:rsidRDefault="008E5D60" w:rsidP="008E5D60">
      <w:r>
        <w:rPr>
          <w:rStyle w:val="Style2"/>
        </w:rPr>
        <w:t xml:space="preserve">Project Name: </w:t>
      </w:r>
      <w:r w:rsidR="002D75BA" w:rsidRPr="002D75BA">
        <w:rPr>
          <w:rStyle w:val="Style2"/>
        </w:rPr>
        <w:t>Generic Design Assessment of the Rolls-Royce SMR</w:t>
      </w:r>
    </w:p>
    <w:p w14:paraId="297D790E" w14:textId="4CB69967" w:rsidR="00004C16" w:rsidRDefault="008E5D60" w:rsidP="008E5D60">
      <w:r>
        <w:rPr>
          <w:rStyle w:val="Style2"/>
        </w:rPr>
        <w:t xml:space="preserve">Report </w:t>
      </w:r>
      <w:r w:rsidR="00C55588">
        <w:rPr>
          <w:rStyle w:val="Style2"/>
        </w:rPr>
        <w:t>t</w:t>
      </w:r>
      <w:r>
        <w:rPr>
          <w:rStyle w:val="Style2"/>
        </w:rPr>
        <w:t xml:space="preserve">itle: </w:t>
      </w: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C55588">
            <w:rPr>
              <w:rStyle w:val="Style2"/>
            </w:rPr>
            <w:t>Step 1 summary</w:t>
          </w:r>
        </w:sdtContent>
      </w:sdt>
    </w:p>
    <w:p w14:paraId="61A25C0F" w14:textId="39EC7DBA" w:rsidR="00004C16" w:rsidRDefault="00004C16" w:rsidP="00004C16">
      <w:pPr>
        <w:rPr>
          <w:sz w:val="28"/>
          <w:szCs w:val="28"/>
        </w:rPr>
      </w:pPr>
    </w:p>
    <w:p w14:paraId="4D99E381" w14:textId="13C1EB0D" w:rsidR="00004C16" w:rsidRPr="00004C16" w:rsidRDefault="00F15409" w:rsidP="00004C16">
      <w:pPr>
        <w:rPr>
          <w:sz w:val="28"/>
          <w:szCs w:val="28"/>
        </w:rPr>
      </w:pPr>
      <w:proofErr w:type="spellStart"/>
      <w:r>
        <w:rPr>
          <w:sz w:val="28"/>
          <w:szCs w:val="28"/>
        </w:rPr>
        <w:t>Dutyholder</w:t>
      </w:r>
      <w:proofErr w:type="spellEnd"/>
      <w:r>
        <w:rPr>
          <w:sz w:val="28"/>
          <w:szCs w:val="28"/>
        </w:rPr>
        <w:t>/Applicant</w:t>
      </w:r>
      <w:r w:rsidR="003A7E1C">
        <w:rPr>
          <w:sz w:val="28"/>
          <w:szCs w:val="28"/>
        </w:rPr>
        <w:t>:</w:t>
      </w:r>
      <w:r w:rsidR="00004C16" w:rsidRPr="00004C16">
        <w:rPr>
          <w:sz w:val="28"/>
          <w:szCs w:val="28"/>
        </w:rPr>
        <w:t xml:space="preserve"> </w:t>
      </w:r>
      <w:r w:rsidR="00FB043B">
        <w:rPr>
          <w:sz w:val="28"/>
          <w:szCs w:val="28"/>
        </w:rPr>
        <w:t>Rolls-Royce SMR Limited</w:t>
      </w:r>
    </w:p>
    <w:p w14:paraId="6E8CD0EB" w14:textId="77777777" w:rsidR="005663B3" w:rsidRDefault="005663B3" w:rsidP="00004C16">
      <w:pPr>
        <w:rPr>
          <w:sz w:val="28"/>
          <w:szCs w:val="28"/>
        </w:rPr>
      </w:pPr>
    </w:p>
    <w:p w14:paraId="23B9A867" w14:textId="1E6B2642" w:rsidR="00004C16" w:rsidRPr="00004C16" w:rsidRDefault="005663B3" w:rsidP="00004C16">
      <w:pPr>
        <w:rPr>
          <w:sz w:val="28"/>
          <w:szCs w:val="28"/>
        </w:rPr>
      </w:pPr>
      <w:r>
        <w:rPr>
          <w:sz w:val="28"/>
          <w:szCs w:val="28"/>
        </w:rPr>
        <w:t>Authored</w:t>
      </w:r>
      <w:r w:rsidR="00004C16" w:rsidRPr="00004C16">
        <w:rPr>
          <w:sz w:val="28"/>
          <w:szCs w:val="28"/>
        </w:rPr>
        <w:t xml:space="preserve"> by</w:t>
      </w:r>
      <w:r w:rsidR="003A7E1C" w:rsidRPr="00FB043B">
        <w:rPr>
          <w:sz w:val="28"/>
          <w:szCs w:val="28"/>
        </w:rPr>
        <w:t>:</w:t>
      </w:r>
      <w:r w:rsidR="00004C16" w:rsidRPr="00FB043B">
        <w:rPr>
          <w:sz w:val="28"/>
          <w:szCs w:val="28"/>
        </w:rPr>
        <w:t xml:space="preserve"> </w:t>
      </w:r>
      <w:r w:rsidR="006447AB">
        <w:rPr>
          <w:rStyle w:val="ui-provider"/>
        </w:rPr>
        <w:t>[REDACTED]</w:t>
      </w:r>
      <w:r w:rsidR="00004C16" w:rsidRPr="00FB043B">
        <w:rPr>
          <w:sz w:val="28"/>
          <w:szCs w:val="28"/>
        </w:rPr>
        <w:t xml:space="preserve">, </w:t>
      </w:r>
      <w:r w:rsidR="00FB043B" w:rsidRPr="00FB043B">
        <w:rPr>
          <w:sz w:val="28"/>
          <w:szCs w:val="28"/>
        </w:rPr>
        <w:t>Principal Inspector</w:t>
      </w:r>
      <w:r w:rsidRPr="00FB043B">
        <w:rPr>
          <w:sz w:val="28"/>
          <w:szCs w:val="28"/>
        </w:rPr>
        <w:t>, ONR</w:t>
      </w:r>
    </w:p>
    <w:p w14:paraId="6480458D" w14:textId="1432158C" w:rsidR="00D745D1" w:rsidRDefault="00D745D1" w:rsidP="00D745D1">
      <w:pPr>
        <w:rPr>
          <w:sz w:val="28"/>
          <w:szCs w:val="28"/>
        </w:rPr>
      </w:pPr>
      <w:r w:rsidRPr="7889B12E">
        <w:rPr>
          <w:sz w:val="28"/>
          <w:szCs w:val="28"/>
        </w:rPr>
        <w:t>ONR Report Ref. No.: ONRW-</w:t>
      </w:r>
      <w:r w:rsidR="5D4F1E40" w:rsidRPr="7889B12E">
        <w:rPr>
          <w:sz w:val="28"/>
          <w:szCs w:val="28"/>
        </w:rPr>
        <w:t>2019369590-1908</w:t>
      </w:r>
    </w:p>
    <w:p w14:paraId="247E3769" w14:textId="242C41BD" w:rsidR="00004C16" w:rsidRPr="00004C16" w:rsidRDefault="00D5528D" w:rsidP="00004C16">
      <w:pPr>
        <w:rPr>
          <w:sz w:val="28"/>
          <w:szCs w:val="28"/>
        </w:rPr>
      </w:pPr>
      <w:r>
        <w:rPr>
          <w:sz w:val="28"/>
          <w:szCs w:val="28"/>
        </w:rPr>
        <w:t xml:space="preserve">Report </w:t>
      </w:r>
      <w:r w:rsidR="00004C16"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102AA">
            <w:rPr>
              <w:sz w:val="28"/>
              <w:szCs w:val="28"/>
            </w:rPr>
            <w:t>0</w:t>
          </w:r>
        </w:sdtContent>
      </w:sdt>
    </w:p>
    <w:p w14:paraId="19206F45" w14:textId="3B0E1C6F" w:rsidR="00004C16" w:rsidRDefault="00004C16" w:rsidP="00004C16">
      <w:pPr>
        <w:rPr>
          <w:sz w:val="28"/>
          <w:szCs w:val="28"/>
        </w:rPr>
      </w:pPr>
      <w:r w:rsidRPr="00004C16">
        <w:rPr>
          <w:sz w:val="28"/>
          <w:szCs w:val="28"/>
        </w:rPr>
        <w:t xml:space="preserve">Publication Date: </w:t>
      </w:r>
      <w:r w:rsidR="00D102AA" w:rsidRPr="00D102AA">
        <w:rPr>
          <w:sz w:val="28"/>
          <w:szCs w:val="28"/>
        </w:rPr>
        <w:t>April</w:t>
      </w:r>
      <w:r w:rsidRPr="00D102AA">
        <w:rPr>
          <w:sz w:val="28"/>
          <w:szCs w:val="28"/>
        </w:rPr>
        <w:t>-</w:t>
      </w:r>
      <w:r w:rsidR="00D102AA" w:rsidRPr="00D102AA">
        <w:rPr>
          <w:sz w:val="28"/>
          <w:szCs w:val="28"/>
        </w:rPr>
        <w:t>23</w:t>
      </w:r>
    </w:p>
    <w:p w14:paraId="2BDE6E98" w14:textId="77777777" w:rsidR="000F293F" w:rsidRPr="000F293F" w:rsidRDefault="000F293F" w:rsidP="00323E71">
      <w:pPr>
        <w:rPr>
          <w:sz w:val="28"/>
          <w:szCs w:val="28"/>
        </w:rPr>
      </w:pPr>
    </w:p>
    <w:p w14:paraId="5DDBE954" w14:textId="5EFF3AA3" w:rsidR="004D16D7" w:rsidRDefault="004D16D7" w:rsidP="004D16D7">
      <w:pPr>
        <w:pStyle w:val="Caption"/>
        <w:keepNext/>
      </w:pPr>
      <w:r>
        <w:t xml:space="preserve">Table </w:t>
      </w:r>
      <w:r w:rsidR="008B066C">
        <w:fldChar w:fldCharType="begin"/>
      </w:r>
      <w:r w:rsidR="008B066C">
        <w:instrText xml:space="preserve"> SEQ Table \* ARABIC </w:instrText>
      </w:r>
      <w:r w:rsidR="008B066C">
        <w:fldChar w:fldCharType="separate"/>
      </w:r>
      <w:r w:rsidR="00217EA0">
        <w:rPr>
          <w:noProof/>
        </w:rPr>
        <w:t>1</w:t>
      </w:r>
      <w:r w:rsidR="008B066C">
        <w:rPr>
          <w:noProof/>
        </w:rPr>
        <w:fldChar w:fldCharType="end"/>
      </w:r>
      <w:r>
        <w:t xml:space="preserve">: </w:t>
      </w:r>
      <w:r w:rsidR="00BB054F">
        <w:t>Circulation (latest issue)</w:t>
      </w:r>
    </w:p>
    <w:tbl>
      <w:tblPr>
        <w:tblStyle w:val="ONRTable1"/>
        <w:tblW w:w="0" w:type="auto"/>
        <w:tblInd w:w="10" w:type="dxa"/>
        <w:tblLook w:val="04A0" w:firstRow="1" w:lastRow="0" w:firstColumn="1" w:lastColumn="0" w:noHBand="0" w:noVBand="1"/>
      </w:tblPr>
      <w:tblGrid>
        <w:gridCol w:w="2825"/>
        <w:gridCol w:w="3969"/>
        <w:gridCol w:w="2942"/>
      </w:tblGrid>
      <w:tr w:rsidR="00E9054F" w:rsidRPr="004D16D7" w14:paraId="116B87DF" w14:textId="36A12630" w:rsidTr="00C86830">
        <w:trPr>
          <w:cnfStyle w:val="100000000000" w:firstRow="1" w:lastRow="0" w:firstColumn="0" w:lastColumn="0" w:oddVBand="0" w:evenVBand="0" w:oddHBand="0" w:evenHBand="0" w:firstRowFirstColumn="0" w:firstRowLastColumn="0" w:lastRowFirstColumn="0" w:lastRowLastColumn="0"/>
          <w:tblHeader/>
        </w:trPr>
        <w:tc>
          <w:tcPr>
            <w:tcW w:w="2825" w:type="dxa"/>
          </w:tcPr>
          <w:p w14:paraId="72366D01" w14:textId="79211401" w:rsidR="00E9054F" w:rsidRPr="004D16D7" w:rsidRDefault="00E9054F" w:rsidP="00595C8C">
            <w:pPr>
              <w:spacing w:before="60" w:after="60"/>
              <w:rPr>
                <w:b w:val="0"/>
                <w:bCs/>
              </w:rPr>
            </w:pPr>
            <w:r>
              <w:rPr>
                <w:b w:val="0"/>
                <w:bCs/>
              </w:rPr>
              <w:t xml:space="preserve">Organisation </w:t>
            </w:r>
          </w:p>
        </w:tc>
        <w:tc>
          <w:tcPr>
            <w:tcW w:w="3969" w:type="dxa"/>
          </w:tcPr>
          <w:p w14:paraId="2D00C3FD" w14:textId="444AF842" w:rsidR="00E9054F" w:rsidRPr="004D16D7" w:rsidRDefault="00E9054F" w:rsidP="00595C8C">
            <w:pPr>
              <w:spacing w:before="60" w:after="60"/>
              <w:rPr>
                <w:b w:val="0"/>
                <w:bCs/>
              </w:rPr>
            </w:pPr>
            <w:r>
              <w:rPr>
                <w:b w:val="0"/>
                <w:bCs/>
              </w:rPr>
              <w:t>Recipient</w:t>
            </w:r>
          </w:p>
        </w:tc>
        <w:tc>
          <w:tcPr>
            <w:tcW w:w="2942" w:type="dxa"/>
          </w:tcPr>
          <w:p w14:paraId="5F42E2CA" w14:textId="3446AE55" w:rsidR="00E9054F" w:rsidRDefault="00E9054F" w:rsidP="00595C8C">
            <w:pPr>
              <w:spacing w:before="60" w:after="60"/>
              <w:rPr>
                <w:b w:val="0"/>
                <w:bCs/>
              </w:rPr>
            </w:pPr>
            <w:r>
              <w:rPr>
                <w:b w:val="0"/>
                <w:bCs/>
              </w:rPr>
              <w:t>Date Report Sent</w:t>
            </w:r>
          </w:p>
        </w:tc>
      </w:tr>
      <w:tr w:rsidR="00E9054F" w14:paraId="0B4E4E42" w14:textId="789BBBBC" w:rsidTr="00E9054F">
        <w:tc>
          <w:tcPr>
            <w:tcW w:w="2825" w:type="dxa"/>
          </w:tcPr>
          <w:p w14:paraId="65482A03" w14:textId="0353E283" w:rsidR="00E9054F" w:rsidRDefault="00E9054F" w:rsidP="00595C8C">
            <w:pPr>
              <w:spacing w:before="60" w:after="60"/>
            </w:pPr>
            <w:r>
              <w:t>ONR</w:t>
            </w:r>
          </w:p>
        </w:tc>
        <w:tc>
          <w:tcPr>
            <w:tcW w:w="3969" w:type="dxa"/>
          </w:tcPr>
          <w:p w14:paraId="5867C3BD" w14:textId="3ACF0A46" w:rsidR="00E9054F" w:rsidRDefault="006447AB" w:rsidP="00595C8C">
            <w:pPr>
              <w:spacing w:before="60" w:after="60"/>
            </w:pPr>
            <w:r>
              <w:rPr>
                <w:rStyle w:val="ui-provider"/>
              </w:rPr>
              <w:t>[REDACTED]</w:t>
            </w:r>
            <w:r w:rsidR="00E9054F">
              <w:t xml:space="preserve">, </w:t>
            </w:r>
            <w:r w:rsidR="00682D18">
              <w:t>Director of Regulation</w:t>
            </w:r>
          </w:p>
          <w:p w14:paraId="4B0D5419" w14:textId="5ABEC8C3" w:rsidR="00AE49B4" w:rsidRDefault="006447AB" w:rsidP="00595C8C">
            <w:pPr>
              <w:spacing w:before="60" w:after="60"/>
            </w:pPr>
            <w:r>
              <w:rPr>
                <w:rStyle w:val="ui-provider"/>
              </w:rPr>
              <w:t>[REDACTED]</w:t>
            </w:r>
            <w:r w:rsidR="00AE49B4">
              <w:t>, Delivery Lead</w:t>
            </w:r>
          </w:p>
          <w:p w14:paraId="6E4B3110" w14:textId="19F7B284" w:rsidR="00AE49B4" w:rsidRDefault="006447AB" w:rsidP="00595C8C">
            <w:pPr>
              <w:spacing w:before="60" w:after="60"/>
            </w:pPr>
            <w:r>
              <w:rPr>
                <w:rStyle w:val="ui-provider"/>
              </w:rPr>
              <w:t>[REDACTED]</w:t>
            </w:r>
            <w:r w:rsidR="00AE49B4">
              <w:t>, Delivery Management G</w:t>
            </w:r>
            <w:r w:rsidR="00760D6B">
              <w:t xml:space="preserve">roup </w:t>
            </w:r>
            <w:r w:rsidR="00AE49B4">
              <w:t>L</w:t>
            </w:r>
            <w:r w:rsidR="00760D6B">
              <w:t>ead</w:t>
            </w:r>
          </w:p>
          <w:p w14:paraId="6968DA4F" w14:textId="25268C41" w:rsidR="00AE49B4" w:rsidRDefault="006447AB" w:rsidP="00595C8C">
            <w:pPr>
              <w:spacing w:before="60" w:after="60"/>
            </w:pPr>
            <w:r>
              <w:rPr>
                <w:rStyle w:val="ui-provider"/>
              </w:rPr>
              <w:t>[REDACTED]</w:t>
            </w:r>
            <w:r w:rsidR="00AE49B4">
              <w:t xml:space="preserve">, </w:t>
            </w:r>
            <w:r w:rsidR="00760D6B">
              <w:t>Delivery Management Group Lead</w:t>
            </w:r>
          </w:p>
          <w:p w14:paraId="09A46F53" w14:textId="0E2F80D8" w:rsidR="00760D6B" w:rsidRDefault="006447AB" w:rsidP="00595C8C">
            <w:pPr>
              <w:spacing w:before="60" w:after="60"/>
            </w:pPr>
            <w:r>
              <w:rPr>
                <w:rStyle w:val="ui-provider"/>
              </w:rPr>
              <w:t>[REDACTED]</w:t>
            </w:r>
            <w:r w:rsidR="00AE49B4">
              <w:t xml:space="preserve">, </w:t>
            </w:r>
            <w:r w:rsidR="00760D6B">
              <w:t xml:space="preserve">Delivery Management Group Lead </w:t>
            </w:r>
          </w:p>
          <w:p w14:paraId="1C80912E" w14:textId="08B0EA30" w:rsidR="00AE49B4" w:rsidRDefault="006447AB" w:rsidP="00595C8C">
            <w:pPr>
              <w:spacing w:before="60" w:after="60"/>
            </w:pPr>
            <w:r>
              <w:rPr>
                <w:rStyle w:val="ui-provider"/>
              </w:rPr>
              <w:t>[REDACTED]</w:t>
            </w:r>
            <w:r w:rsidR="00AE49B4">
              <w:t xml:space="preserve">, </w:t>
            </w:r>
            <w:r w:rsidR="00A23749">
              <w:t>Programme</w:t>
            </w:r>
            <w:r w:rsidR="00AE49B4">
              <w:t xml:space="preserve"> Manager</w:t>
            </w:r>
          </w:p>
        </w:tc>
        <w:tc>
          <w:tcPr>
            <w:tcW w:w="2942" w:type="dxa"/>
          </w:tcPr>
          <w:p w14:paraId="097E1A87" w14:textId="139A38D9" w:rsidR="00E9054F" w:rsidRPr="00B327BD" w:rsidRDefault="00B327BD" w:rsidP="00595C8C">
            <w:pPr>
              <w:spacing w:before="60" w:after="60"/>
            </w:pPr>
            <w:r w:rsidRPr="00B327BD">
              <w:t>03/04/23</w:t>
            </w:r>
          </w:p>
        </w:tc>
      </w:tr>
      <w:tr w:rsidR="00E9054F" w14:paraId="4D932834" w14:textId="77777777" w:rsidTr="00E9054F">
        <w:tc>
          <w:tcPr>
            <w:tcW w:w="2825" w:type="dxa"/>
          </w:tcPr>
          <w:p w14:paraId="0438C391" w14:textId="38DAC831" w:rsidR="00E9054F" w:rsidRDefault="00E9054F" w:rsidP="00595C8C">
            <w:pPr>
              <w:spacing w:before="60" w:after="60"/>
            </w:pPr>
            <w:r>
              <w:t>Environment Agency</w:t>
            </w:r>
          </w:p>
        </w:tc>
        <w:tc>
          <w:tcPr>
            <w:tcW w:w="3969" w:type="dxa"/>
          </w:tcPr>
          <w:p w14:paraId="10B33439" w14:textId="62051791" w:rsidR="00E9054F" w:rsidRDefault="006447AB" w:rsidP="00595C8C">
            <w:pPr>
              <w:spacing w:before="60" w:after="60"/>
            </w:pPr>
            <w:r>
              <w:rPr>
                <w:rStyle w:val="ui-provider"/>
              </w:rPr>
              <w:t>[REDACTED]</w:t>
            </w:r>
            <w:r w:rsidR="00E9054F">
              <w:t xml:space="preserve">, </w:t>
            </w:r>
            <w:r w:rsidR="00D76D64">
              <w:t>Specialist, Nuc</w:t>
            </w:r>
            <w:r w:rsidR="009129F6">
              <w:t>lear Regulation Group North</w:t>
            </w:r>
          </w:p>
        </w:tc>
        <w:tc>
          <w:tcPr>
            <w:tcW w:w="2942" w:type="dxa"/>
          </w:tcPr>
          <w:p w14:paraId="45E71811" w14:textId="758C9FF2" w:rsidR="00E9054F" w:rsidRPr="00B327BD" w:rsidRDefault="00B327BD" w:rsidP="00595C8C">
            <w:pPr>
              <w:spacing w:before="60" w:after="60"/>
            </w:pPr>
            <w:r w:rsidRPr="00B327BD">
              <w:t>03/04/23</w:t>
            </w:r>
          </w:p>
        </w:tc>
      </w:tr>
      <w:tr w:rsidR="00C86830" w14:paraId="71EC0859" w14:textId="77777777" w:rsidTr="00E9054F">
        <w:tc>
          <w:tcPr>
            <w:tcW w:w="2825" w:type="dxa"/>
          </w:tcPr>
          <w:p w14:paraId="610DA786" w14:textId="15AD1143" w:rsidR="00C86830" w:rsidRDefault="00C86830" w:rsidP="00595C8C">
            <w:pPr>
              <w:spacing w:before="60" w:after="60"/>
            </w:pPr>
            <w:r>
              <w:lastRenderedPageBreak/>
              <w:t>Natural Resources Wales</w:t>
            </w:r>
          </w:p>
        </w:tc>
        <w:tc>
          <w:tcPr>
            <w:tcW w:w="3969" w:type="dxa"/>
          </w:tcPr>
          <w:p w14:paraId="63E0BC6F" w14:textId="75AF5567" w:rsidR="00C86830" w:rsidRDefault="006447AB" w:rsidP="00595C8C">
            <w:pPr>
              <w:spacing w:before="60" w:after="60"/>
            </w:pPr>
            <w:r>
              <w:rPr>
                <w:rStyle w:val="ui-provider"/>
              </w:rPr>
              <w:t>[REDACTED]</w:t>
            </w:r>
            <w:r w:rsidR="00C86830">
              <w:t xml:space="preserve">, </w:t>
            </w:r>
            <w:r w:rsidR="005D741A">
              <w:t>Senior</w:t>
            </w:r>
            <w:r w:rsidR="00D76D64">
              <w:t xml:space="preserve"> Specialist Advisor, Evidence, Policy and Permitting</w:t>
            </w:r>
          </w:p>
        </w:tc>
        <w:tc>
          <w:tcPr>
            <w:tcW w:w="2942" w:type="dxa"/>
          </w:tcPr>
          <w:p w14:paraId="3FA9D8B9" w14:textId="667AFCAA" w:rsidR="00C86830" w:rsidRPr="00B327BD" w:rsidRDefault="00B327BD" w:rsidP="00595C8C">
            <w:pPr>
              <w:spacing w:before="60" w:after="60"/>
            </w:pPr>
            <w:r w:rsidRPr="00B327BD">
              <w:t>03/04/23</w:t>
            </w:r>
          </w:p>
        </w:tc>
      </w:tr>
      <w:tr w:rsidR="00E9054F" w14:paraId="2F7C7EC2" w14:textId="77777777" w:rsidTr="00E9054F">
        <w:tc>
          <w:tcPr>
            <w:tcW w:w="2825" w:type="dxa"/>
          </w:tcPr>
          <w:p w14:paraId="4F564E04" w14:textId="2934AE65" w:rsidR="00E9054F" w:rsidRDefault="00E9054F" w:rsidP="00595C8C">
            <w:pPr>
              <w:spacing w:before="60" w:after="60"/>
            </w:pPr>
            <w:proofErr w:type="spellStart"/>
            <w:r>
              <w:t>Dutyholder</w:t>
            </w:r>
            <w:proofErr w:type="spellEnd"/>
            <w:r>
              <w:t>/ applicant</w:t>
            </w:r>
          </w:p>
        </w:tc>
        <w:tc>
          <w:tcPr>
            <w:tcW w:w="3969" w:type="dxa"/>
          </w:tcPr>
          <w:p w14:paraId="2C00F797" w14:textId="50ACCCE5" w:rsidR="00E9054F" w:rsidRDefault="006447AB" w:rsidP="00595C8C">
            <w:pPr>
              <w:spacing w:before="60" w:after="60"/>
            </w:pPr>
            <w:r>
              <w:rPr>
                <w:rStyle w:val="ui-provider"/>
              </w:rPr>
              <w:t>[REDACTED]</w:t>
            </w:r>
            <w:r w:rsidR="00E9054F">
              <w:t xml:space="preserve">, </w:t>
            </w:r>
            <w:r w:rsidR="00D85E1D">
              <w:t xml:space="preserve">Safety and Regulatory Affairs </w:t>
            </w:r>
            <w:r w:rsidR="00A23749">
              <w:t>Director</w:t>
            </w:r>
          </w:p>
          <w:p w14:paraId="3C32D169" w14:textId="098EE73C" w:rsidR="00A23749" w:rsidRDefault="006447AB" w:rsidP="00595C8C">
            <w:pPr>
              <w:spacing w:before="60" w:after="60"/>
            </w:pPr>
            <w:r>
              <w:rPr>
                <w:rStyle w:val="ui-provider"/>
              </w:rPr>
              <w:t>[REDACTED]</w:t>
            </w:r>
            <w:r w:rsidR="00A23749">
              <w:t xml:space="preserve">, </w:t>
            </w:r>
            <w:r w:rsidR="0016110B">
              <w:t>Head of Regulatory Affairs</w:t>
            </w:r>
          </w:p>
          <w:p w14:paraId="3CFBC47F" w14:textId="03A15F72" w:rsidR="00A23749" w:rsidRDefault="00A23749" w:rsidP="00595C8C">
            <w:pPr>
              <w:spacing w:before="60" w:after="60"/>
            </w:pPr>
            <w:r>
              <w:t>R</w:t>
            </w:r>
            <w:r w:rsidR="00D8133D">
              <w:t>egulatory Interface Office</w:t>
            </w:r>
          </w:p>
        </w:tc>
        <w:tc>
          <w:tcPr>
            <w:tcW w:w="2942" w:type="dxa"/>
          </w:tcPr>
          <w:p w14:paraId="21AE1C32" w14:textId="0F574176" w:rsidR="00E9054F" w:rsidRPr="00AE49B4" w:rsidRDefault="00B327BD" w:rsidP="00595C8C">
            <w:pPr>
              <w:spacing w:before="60" w:after="60"/>
              <w:rPr>
                <w:highlight w:val="magenta"/>
              </w:rPr>
            </w:pPr>
            <w:r w:rsidRPr="00B327BD">
              <w:t>03/04/23</w:t>
            </w:r>
          </w:p>
        </w:tc>
      </w:tr>
    </w:tbl>
    <w:p w14:paraId="5734D89B" w14:textId="77777777" w:rsidR="004E6E34" w:rsidRDefault="004E6E34" w:rsidP="004E6E34"/>
    <w:p w14:paraId="440A84E0" w14:textId="538DC353" w:rsidR="003C2C5D" w:rsidRDefault="004E6E34" w:rsidP="003C2C5D">
      <w:r>
        <w:t xml:space="preserve">© Office for Nuclear Regulation, </w:t>
      </w:r>
      <w:r w:rsidR="00D102AA">
        <w:t>2023</w:t>
      </w:r>
    </w:p>
    <w:p w14:paraId="1CD157B7" w14:textId="77777777" w:rsidR="005E4788" w:rsidRDefault="004E6E34" w:rsidP="003C2C5D">
      <w:r>
        <w:t>For published documents, the electronic copy on the ONR website remains the most current publicly available version and copying or printing renders this document uncontrolled.</w:t>
      </w:r>
      <w:r w:rsidR="003C2C5D">
        <w:t xml:space="preserve"> If you wish to reuse this information visit </w:t>
      </w:r>
      <w:hyperlink r:id="rId16" w:history="1">
        <w:r w:rsidR="003C2C5D" w:rsidRPr="00EE2D14">
          <w:rPr>
            <w:rStyle w:val="Hyperlink"/>
          </w:rPr>
          <w:t>www.onr.org.uk/copyright</w:t>
        </w:r>
      </w:hyperlink>
      <w:r w:rsidR="003C2C5D">
        <w:t xml:space="preserve"> for details.</w:t>
      </w:r>
    </w:p>
    <w:p w14:paraId="4EB0285F" w14:textId="37A8A212" w:rsidR="003C2C5D" w:rsidRDefault="005E4788" w:rsidP="003C2C5D">
      <w:r>
        <w:t>All images © Rolls-Royce SMR Ltd, used with permission.</w:t>
      </w:r>
      <w:r w:rsidR="003C2C5D">
        <w:t xml:space="preserve"> </w:t>
      </w:r>
    </w:p>
    <w:p w14:paraId="1FDB4B56" w14:textId="5709B0B5" w:rsidR="00595C8C" w:rsidRDefault="00595C8C" w:rsidP="004E6E34">
      <w:pPr>
        <w:sectPr w:rsidR="00595C8C" w:rsidSect="004C4891">
          <w:headerReference w:type="even" r:id="rId17"/>
          <w:headerReference w:type="default" r:id="rId18"/>
          <w:footerReference w:type="even" r:id="rId19"/>
          <w:footerReference w:type="default" r:id="rId20"/>
          <w:headerReference w:type="first" r:id="rId21"/>
          <w:footerReference w:type="first" r:id="rId22"/>
          <w:pgSz w:w="11906" w:h="16838" w:code="9"/>
          <w:pgMar w:top="1440" w:right="1080" w:bottom="1440" w:left="1080" w:header="397" w:footer="397" w:gutter="0"/>
          <w:cols w:space="312"/>
          <w:titlePg/>
          <w:docGrid w:linePitch="360"/>
        </w:sectPr>
      </w:pPr>
    </w:p>
    <w:p w14:paraId="27EE63D0" w14:textId="56AEF0DB" w:rsidR="00202152" w:rsidRDefault="00202152" w:rsidP="00410423">
      <w:pPr>
        <w:pStyle w:val="Heading1"/>
        <w:numPr>
          <w:ilvl w:val="0"/>
          <w:numId w:val="0"/>
        </w:numPr>
        <w:ind w:left="851" w:hanging="851"/>
        <w:rPr>
          <w:color w:val="22413A"/>
        </w:rPr>
      </w:pPr>
      <w:bookmarkStart w:id="1" w:name="_Toc118892109"/>
      <w:bookmarkStart w:id="2" w:name="_Toc129080844"/>
      <w:bookmarkStart w:id="3" w:name="_Toc129080934"/>
      <w:bookmarkStart w:id="4" w:name="_Toc129081741"/>
      <w:bookmarkStart w:id="5" w:name="_Toc109727646"/>
      <w:bookmarkEnd w:id="0"/>
      <w:r w:rsidRPr="003A47D9">
        <w:rPr>
          <w:color w:val="22413A"/>
        </w:rPr>
        <w:lastRenderedPageBreak/>
        <w:t xml:space="preserve">Executive </w:t>
      </w:r>
      <w:r w:rsidR="00C55588">
        <w:rPr>
          <w:color w:val="22413A"/>
        </w:rPr>
        <w:t>s</w:t>
      </w:r>
      <w:r w:rsidRPr="003A47D9">
        <w:rPr>
          <w:color w:val="22413A"/>
        </w:rPr>
        <w:t>ummary</w:t>
      </w:r>
      <w:bookmarkEnd w:id="1"/>
      <w:bookmarkEnd w:id="2"/>
      <w:bookmarkEnd w:id="3"/>
      <w:bookmarkEnd w:id="4"/>
    </w:p>
    <w:p w14:paraId="7FABDD0C" w14:textId="789F8597" w:rsidR="009D23E4" w:rsidRPr="00DE7F92" w:rsidRDefault="009D23E4" w:rsidP="009D23E4">
      <w:pPr>
        <w:pStyle w:val="NormalWeb"/>
        <w:rPr>
          <w:rFonts w:ascii="Arial" w:hAnsi="Arial" w:cs="Arial"/>
          <w:color w:val="000000"/>
        </w:rPr>
      </w:pPr>
      <w:bookmarkStart w:id="6" w:name="_Hlk129009015"/>
      <w:r w:rsidRPr="00DE7F92">
        <w:rPr>
          <w:rFonts w:ascii="Arial" w:hAnsi="Arial" w:cs="Arial"/>
          <w:color w:val="000000"/>
        </w:rPr>
        <w:t>In April 2022, the Office for Nuclear Regulation (ONR)</w:t>
      </w:r>
      <w:r w:rsidR="00BA563A">
        <w:rPr>
          <w:rFonts w:ascii="Arial" w:hAnsi="Arial" w:cs="Arial"/>
          <w:color w:val="000000"/>
        </w:rPr>
        <w:t xml:space="preserve">, together with the Environment </w:t>
      </w:r>
      <w:r w:rsidR="00322B28">
        <w:rPr>
          <w:rFonts w:ascii="Arial" w:hAnsi="Arial" w:cs="Arial"/>
          <w:color w:val="000000"/>
        </w:rPr>
        <w:t>Agency</w:t>
      </w:r>
      <w:r w:rsidR="00BA563A">
        <w:rPr>
          <w:rFonts w:ascii="Arial" w:hAnsi="Arial" w:cs="Arial"/>
          <w:color w:val="000000"/>
        </w:rPr>
        <w:t xml:space="preserve"> and Natural Resource Wales</w:t>
      </w:r>
      <w:r w:rsidR="001F4CF8">
        <w:rPr>
          <w:rFonts w:ascii="Arial" w:hAnsi="Arial" w:cs="Arial"/>
          <w:color w:val="000000"/>
        </w:rPr>
        <w:t>,</w:t>
      </w:r>
      <w:r w:rsidRPr="00DE7F92">
        <w:rPr>
          <w:rFonts w:ascii="Arial" w:hAnsi="Arial" w:cs="Arial"/>
          <w:color w:val="000000"/>
        </w:rPr>
        <w:t xml:space="preserve"> began </w:t>
      </w:r>
      <w:r w:rsidR="00BB4263">
        <w:rPr>
          <w:rFonts w:ascii="Arial" w:hAnsi="Arial" w:cs="Arial"/>
          <w:color w:val="000000"/>
        </w:rPr>
        <w:t>Step</w:t>
      </w:r>
      <w:r w:rsidRPr="00DE7F92">
        <w:rPr>
          <w:rFonts w:ascii="Arial" w:hAnsi="Arial" w:cs="Arial"/>
          <w:color w:val="000000"/>
        </w:rPr>
        <w:t xml:space="preserve"> 1 of the Generic Design Assessment (GDA) </w:t>
      </w:r>
      <w:r w:rsidR="00FE7E73">
        <w:rPr>
          <w:rFonts w:ascii="Arial" w:hAnsi="Arial" w:cs="Arial"/>
          <w:color w:val="000000"/>
        </w:rPr>
        <w:t>of the</w:t>
      </w:r>
      <w:r w:rsidR="00FE7E73" w:rsidRPr="00DE7F92">
        <w:rPr>
          <w:rFonts w:ascii="Arial" w:hAnsi="Arial" w:cs="Arial"/>
          <w:color w:val="000000"/>
        </w:rPr>
        <w:t xml:space="preserve"> </w:t>
      </w:r>
      <w:r w:rsidRPr="00DE7F92">
        <w:rPr>
          <w:rFonts w:ascii="Arial" w:hAnsi="Arial" w:cs="Arial"/>
          <w:color w:val="000000"/>
        </w:rPr>
        <w:t xml:space="preserve">Rolls-Royce SMR design. During the </w:t>
      </w:r>
      <w:r w:rsidR="006C3244">
        <w:rPr>
          <w:rFonts w:ascii="Arial" w:hAnsi="Arial" w:cs="Arial"/>
          <w:color w:val="000000"/>
        </w:rPr>
        <w:t>last</w:t>
      </w:r>
      <w:r w:rsidR="006C3244" w:rsidRPr="00DE7F92">
        <w:rPr>
          <w:rFonts w:ascii="Arial" w:hAnsi="Arial" w:cs="Arial"/>
          <w:color w:val="000000"/>
        </w:rPr>
        <w:t xml:space="preserve"> </w:t>
      </w:r>
      <w:r w:rsidRPr="00DE7F92">
        <w:rPr>
          <w:rFonts w:ascii="Arial" w:hAnsi="Arial" w:cs="Arial"/>
          <w:color w:val="000000"/>
        </w:rPr>
        <w:t>12 months</w:t>
      </w:r>
      <w:r w:rsidR="006C3244">
        <w:rPr>
          <w:rFonts w:ascii="Arial" w:hAnsi="Arial" w:cs="Arial"/>
          <w:color w:val="000000"/>
        </w:rPr>
        <w:t>,</w:t>
      </w:r>
      <w:r w:rsidRPr="00DE7F92">
        <w:rPr>
          <w:rFonts w:ascii="Arial" w:hAnsi="Arial" w:cs="Arial"/>
          <w:color w:val="000000"/>
        </w:rPr>
        <w:t xml:space="preserve"> we have undertaken activities to initiate and establish the project and to prepare for technical assessment in later </w:t>
      </w:r>
      <w:r>
        <w:rPr>
          <w:rFonts w:ascii="Arial" w:hAnsi="Arial" w:cs="Arial"/>
          <w:color w:val="000000"/>
        </w:rPr>
        <w:t>step</w:t>
      </w:r>
      <w:r w:rsidRPr="00DE7F92">
        <w:rPr>
          <w:rFonts w:ascii="Arial" w:hAnsi="Arial" w:cs="Arial"/>
          <w:color w:val="000000"/>
        </w:rPr>
        <w:t xml:space="preserve">s. These activities are defined within our GDA guidance document, </w:t>
      </w:r>
      <w:r w:rsidR="002163EB">
        <w:rPr>
          <w:rFonts w:ascii="Arial" w:hAnsi="Arial" w:cs="Arial"/>
          <w:color w:val="000000"/>
        </w:rPr>
        <w:t>Guidance to Requesting Parties</w:t>
      </w:r>
      <w:r w:rsidRPr="00DE7F92">
        <w:rPr>
          <w:rFonts w:ascii="Arial" w:hAnsi="Arial" w:cs="Arial"/>
          <w:color w:val="000000"/>
        </w:rPr>
        <w:t xml:space="preserve">. </w:t>
      </w:r>
    </w:p>
    <w:p w14:paraId="7F4C1BB4" w14:textId="4CC12E97" w:rsidR="009D23E4" w:rsidRPr="00DE7F92" w:rsidRDefault="009D23E4" w:rsidP="009D23E4">
      <w:pPr>
        <w:pStyle w:val="TSNumberedParagraph1"/>
        <w:numPr>
          <w:ilvl w:val="0"/>
          <w:numId w:val="0"/>
        </w:numPr>
      </w:pPr>
      <w:bookmarkStart w:id="7" w:name="_Toc129080845"/>
      <w:bookmarkStart w:id="8" w:name="_Toc129080935"/>
      <w:bookmarkStart w:id="9" w:name="_Toc129081742"/>
      <w:r w:rsidRPr="00DE7F92">
        <w:t>This report has been produced:</w:t>
      </w:r>
      <w:bookmarkEnd w:id="7"/>
      <w:bookmarkEnd w:id="8"/>
      <w:bookmarkEnd w:id="9"/>
    </w:p>
    <w:p w14:paraId="25CFBC75" w14:textId="2A253F88" w:rsidR="009D23E4" w:rsidRPr="00C55588" w:rsidRDefault="009D23E4" w:rsidP="00C55588">
      <w:pPr>
        <w:pStyle w:val="Bulletlist1"/>
      </w:pPr>
      <w:r w:rsidRPr="00C55588">
        <w:t xml:space="preserve">To document the completion of and outcomes from </w:t>
      </w:r>
      <w:r w:rsidR="00BB4263" w:rsidRPr="00C55588">
        <w:t>Step</w:t>
      </w:r>
      <w:r w:rsidRPr="00C55588">
        <w:t xml:space="preserve"> 1;</w:t>
      </w:r>
    </w:p>
    <w:p w14:paraId="2D7D95EB" w14:textId="77777777" w:rsidR="009D23E4" w:rsidRPr="00C55588" w:rsidRDefault="009D23E4" w:rsidP="00C55588">
      <w:pPr>
        <w:pStyle w:val="Bulletlist1"/>
      </w:pPr>
      <w:r w:rsidRPr="00C55588">
        <w:t>To summarise the activities undertaken by both Rolls-Royce SMR Limited and ONR during the step;</w:t>
      </w:r>
    </w:p>
    <w:p w14:paraId="45ED21CD" w14:textId="7B3F18FB" w:rsidR="009D23E4" w:rsidRPr="00C55588" w:rsidRDefault="009D23E4" w:rsidP="00C55588">
      <w:pPr>
        <w:pStyle w:val="Bulletlist1"/>
      </w:pPr>
      <w:r w:rsidRPr="00C55588">
        <w:t>To summarise ONR’s judgements, particular</w:t>
      </w:r>
      <w:r w:rsidR="006C3244" w:rsidRPr="00C55588">
        <w:t>ly</w:t>
      </w:r>
      <w:r w:rsidRPr="00C55588">
        <w:t xml:space="preserve"> regarding whether the objectives for </w:t>
      </w:r>
      <w:r w:rsidR="00BB4263" w:rsidRPr="00C55588">
        <w:t>Step</w:t>
      </w:r>
      <w:r w:rsidRPr="00C55588">
        <w:t xml:space="preserve"> 1 have been met; and</w:t>
      </w:r>
    </w:p>
    <w:p w14:paraId="35368F9D" w14:textId="3EAE474D" w:rsidR="009D23E4" w:rsidRPr="00C55588" w:rsidRDefault="009D23E4" w:rsidP="00C55588">
      <w:pPr>
        <w:pStyle w:val="Bulletlist1"/>
      </w:pPr>
      <w:r w:rsidRPr="00C55588">
        <w:t xml:space="preserve">To document the basis for the decision on whether to proceed to </w:t>
      </w:r>
      <w:r w:rsidR="00BB4263" w:rsidRPr="00C55588">
        <w:t>Step</w:t>
      </w:r>
      <w:r w:rsidRPr="00C55588">
        <w:t xml:space="preserve"> 2</w:t>
      </w:r>
      <w:r w:rsidR="00120F34" w:rsidRPr="00C55588">
        <w:t>,</w:t>
      </w:r>
      <w:r w:rsidRPr="00C55588">
        <w:t xml:space="preserve"> or not.</w:t>
      </w:r>
    </w:p>
    <w:p w14:paraId="09304139" w14:textId="42F6DADD" w:rsidR="009D23E4" w:rsidRPr="00DE7F92" w:rsidRDefault="009D23E4" w:rsidP="009D23E4">
      <w:pPr>
        <w:pStyle w:val="NormalWeb"/>
        <w:rPr>
          <w:rFonts w:ascii="Arial" w:hAnsi="Arial" w:cs="Arial"/>
          <w:color w:val="000000"/>
        </w:rPr>
      </w:pPr>
      <w:r w:rsidRPr="00DE7F92">
        <w:rPr>
          <w:rFonts w:ascii="Arial" w:hAnsi="Arial" w:cs="Arial"/>
          <w:color w:val="000000"/>
        </w:rPr>
        <w:t xml:space="preserve">Rolls-Royce SMR Limited </w:t>
      </w:r>
      <w:r w:rsidR="005B2065">
        <w:rPr>
          <w:rFonts w:ascii="Arial" w:hAnsi="Arial" w:cs="Arial"/>
          <w:color w:val="000000"/>
        </w:rPr>
        <w:t>is</w:t>
      </w:r>
      <w:r w:rsidR="005B2065" w:rsidRPr="00DE7F92">
        <w:rPr>
          <w:rFonts w:ascii="Arial" w:hAnsi="Arial" w:cs="Arial"/>
          <w:color w:val="000000"/>
        </w:rPr>
        <w:t xml:space="preserve"> </w:t>
      </w:r>
      <w:r w:rsidRPr="00DE7F92">
        <w:rPr>
          <w:rFonts w:ascii="Arial" w:hAnsi="Arial" w:cs="Arial"/>
          <w:color w:val="000000"/>
        </w:rPr>
        <w:t xml:space="preserve">the Requesting Party (RP) for the GDA. </w:t>
      </w:r>
      <w:r w:rsidR="005B2065">
        <w:rPr>
          <w:rFonts w:ascii="Arial" w:hAnsi="Arial" w:cs="Arial"/>
          <w:color w:val="000000"/>
        </w:rPr>
        <w:t>It is</w:t>
      </w:r>
      <w:r w:rsidRPr="00DE7F92">
        <w:rPr>
          <w:rFonts w:ascii="Arial" w:hAnsi="Arial" w:cs="Arial"/>
          <w:color w:val="000000"/>
        </w:rPr>
        <w:t xml:space="preserve"> a recently formed company created to design </w:t>
      </w:r>
      <w:r w:rsidR="00526C51">
        <w:rPr>
          <w:rFonts w:ascii="Arial" w:hAnsi="Arial" w:cs="Arial"/>
          <w:color w:val="000000"/>
        </w:rPr>
        <w:t xml:space="preserve">and build </w:t>
      </w:r>
      <w:r w:rsidRPr="00DE7F92">
        <w:rPr>
          <w:rFonts w:ascii="Arial" w:hAnsi="Arial" w:cs="Arial"/>
          <w:color w:val="000000"/>
        </w:rPr>
        <w:t>the Roll</w:t>
      </w:r>
      <w:r w:rsidR="006C3244">
        <w:rPr>
          <w:rFonts w:ascii="Arial" w:hAnsi="Arial" w:cs="Arial"/>
          <w:color w:val="000000"/>
        </w:rPr>
        <w:t>s</w:t>
      </w:r>
      <w:r w:rsidRPr="00DE7F92">
        <w:rPr>
          <w:rFonts w:ascii="Arial" w:hAnsi="Arial" w:cs="Arial"/>
          <w:color w:val="000000"/>
        </w:rPr>
        <w:t>-Royce SMR</w:t>
      </w:r>
      <w:r w:rsidR="001D489D">
        <w:rPr>
          <w:rFonts w:ascii="Arial" w:hAnsi="Arial" w:cs="Arial"/>
          <w:color w:val="000000"/>
        </w:rPr>
        <w:t xml:space="preserve"> </w:t>
      </w:r>
      <w:r w:rsidR="001D489D" w:rsidRPr="001D489D">
        <w:rPr>
          <w:rFonts w:ascii="Arial" w:hAnsi="Arial" w:cs="Arial"/>
          <w:color w:val="000000"/>
        </w:rPr>
        <w:t>(although design work started within Rolls-Royce plc in 2015)</w:t>
      </w:r>
      <w:r w:rsidRPr="00DE7F92">
        <w:rPr>
          <w:rFonts w:ascii="Arial" w:hAnsi="Arial" w:cs="Arial"/>
          <w:color w:val="000000"/>
        </w:rPr>
        <w:t xml:space="preserve">. </w:t>
      </w:r>
      <w:r>
        <w:rPr>
          <w:rFonts w:ascii="Arial" w:hAnsi="Arial" w:cs="Arial"/>
          <w:color w:val="000000"/>
        </w:rPr>
        <w:t>Its</w:t>
      </w:r>
      <w:r w:rsidRPr="00DE7F92">
        <w:rPr>
          <w:rFonts w:ascii="Arial" w:hAnsi="Arial" w:cs="Arial"/>
          <w:color w:val="000000"/>
        </w:rPr>
        <w:t xml:space="preserve"> design is a 470 MWe pressurised water reactor which </w:t>
      </w:r>
      <w:r w:rsidR="004F3C18">
        <w:rPr>
          <w:rFonts w:ascii="Arial" w:hAnsi="Arial" w:cs="Arial"/>
          <w:color w:val="000000"/>
        </w:rPr>
        <w:t>uses</w:t>
      </w:r>
      <w:r w:rsidR="006C3244" w:rsidRPr="00DE7F92">
        <w:rPr>
          <w:rFonts w:ascii="Arial" w:hAnsi="Arial" w:cs="Arial"/>
          <w:color w:val="000000"/>
        </w:rPr>
        <w:t xml:space="preserve"> </w:t>
      </w:r>
      <w:r w:rsidRPr="00DE7F92">
        <w:rPr>
          <w:rFonts w:ascii="Arial" w:hAnsi="Arial" w:cs="Arial"/>
          <w:color w:val="000000"/>
        </w:rPr>
        <w:t xml:space="preserve">well-established technology in </w:t>
      </w:r>
      <w:r w:rsidR="004F3C18">
        <w:rPr>
          <w:rFonts w:ascii="Arial" w:hAnsi="Arial" w:cs="Arial"/>
          <w:color w:val="000000"/>
        </w:rPr>
        <w:t>operation all</w:t>
      </w:r>
      <w:r w:rsidRPr="00DE7F92">
        <w:rPr>
          <w:rFonts w:ascii="Arial" w:hAnsi="Arial" w:cs="Arial"/>
          <w:color w:val="000000"/>
        </w:rPr>
        <w:t xml:space="preserve"> over the world</w:t>
      </w:r>
      <w:r w:rsidR="004F3C18">
        <w:rPr>
          <w:rFonts w:ascii="Arial" w:hAnsi="Arial" w:cs="Arial"/>
          <w:color w:val="000000"/>
        </w:rPr>
        <w:t xml:space="preserve">. Innovation comes in the form of its </w:t>
      </w:r>
      <w:r w:rsidRPr="00DE7F92">
        <w:rPr>
          <w:rFonts w:ascii="Arial" w:hAnsi="Arial" w:cs="Arial"/>
          <w:color w:val="000000"/>
        </w:rPr>
        <w:t xml:space="preserve">modular approach </w:t>
      </w:r>
      <w:r w:rsidR="007D58B4">
        <w:rPr>
          <w:rFonts w:ascii="Arial" w:hAnsi="Arial" w:cs="Arial"/>
          <w:color w:val="000000"/>
        </w:rPr>
        <w:t xml:space="preserve">to construction </w:t>
      </w:r>
      <w:r w:rsidRPr="00DE7F92">
        <w:rPr>
          <w:rFonts w:ascii="Arial" w:hAnsi="Arial" w:cs="Arial"/>
          <w:color w:val="000000"/>
        </w:rPr>
        <w:t xml:space="preserve">which would see many components built in factory conditions and assembled on site. The design is being developed </w:t>
      </w:r>
      <w:r>
        <w:rPr>
          <w:rFonts w:ascii="Arial" w:hAnsi="Arial" w:cs="Arial"/>
          <w:color w:val="000000"/>
        </w:rPr>
        <w:t xml:space="preserve">during the GDA and </w:t>
      </w:r>
      <w:r w:rsidRPr="00DE7F92">
        <w:rPr>
          <w:rFonts w:ascii="Arial" w:hAnsi="Arial" w:cs="Arial"/>
          <w:color w:val="000000"/>
        </w:rPr>
        <w:t xml:space="preserve">in parallel with the </w:t>
      </w:r>
      <w:r w:rsidR="008D507F">
        <w:rPr>
          <w:rFonts w:ascii="Arial" w:hAnsi="Arial" w:cs="Arial"/>
          <w:color w:val="000000"/>
        </w:rPr>
        <w:t xml:space="preserve">RP’s </w:t>
      </w:r>
      <w:r w:rsidRPr="00DE7F92">
        <w:rPr>
          <w:rFonts w:ascii="Arial" w:hAnsi="Arial" w:cs="Arial"/>
          <w:color w:val="000000"/>
        </w:rPr>
        <w:t>safety, security</w:t>
      </w:r>
      <w:r w:rsidR="009C6255">
        <w:rPr>
          <w:rFonts w:ascii="Arial" w:hAnsi="Arial" w:cs="Arial"/>
          <w:color w:val="000000"/>
        </w:rPr>
        <w:t xml:space="preserve">, </w:t>
      </w:r>
      <w:r w:rsidRPr="00DE7F92">
        <w:rPr>
          <w:rFonts w:ascii="Arial" w:hAnsi="Arial" w:cs="Arial"/>
          <w:color w:val="000000"/>
        </w:rPr>
        <w:t>safeguards</w:t>
      </w:r>
      <w:r w:rsidR="007D6EED">
        <w:rPr>
          <w:rFonts w:ascii="Arial" w:hAnsi="Arial" w:cs="Arial"/>
          <w:color w:val="000000"/>
        </w:rPr>
        <w:t xml:space="preserve"> </w:t>
      </w:r>
      <w:r w:rsidR="008D507F">
        <w:rPr>
          <w:rFonts w:ascii="Arial" w:hAnsi="Arial" w:cs="Arial"/>
          <w:color w:val="000000"/>
        </w:rPr>
        <w:t>(</w:t>
      </w:r>
      <w:r w:rsidR="009C6255">
        <w:rPr>
          <w:rFonts w:ascii="Arial" w:hAnsi="Arial" w:cs="Arial"/>
          <w:color w:val="000000"/>
        </w:rPr>
        <w:t>and environment</w:t>
      </w:r>
      <w:r w:rsidR="00CF7F87">
        <w:rPr>
          <w:rFonts w:ascii="Arial" w:hAnsi="Arial" w:cs="Arial"/>
          <w:color w:val="000000"/>
        </w:rPr>
        <w:t>al</w:t>
      </w:r>
      <w:r w:rsidR="008D507F">
        <w:rPr>
          <w:rFonts w:ascii="Arial" w:hAnsi="Arial" w:cs="Arial"/>
          <w:color w:val="000000"/>
        </w:rPr>
        <w:t>)</w:t>
      </w:r>
      <w:r w:rsidR="009C6255">
        <w:rPr>
          <w:rFonts w:ascii="Arial" w:hAnsi="Arial" w:cs="Arial"/>
          <w:color w:val="000000"/>
        </w:rPr>
        <w:t xml:space="preserve"> </w:t>
      </w:r>
      <w:r w:rsidRPr="00DE7F92">
        <w:rPr>
          <w:rFonts w:ascii="Arial" w:hAnsi="Arial" w:cs="Arial"/>
          <w:color w:val="000000"/>
        </w:rPr>
        <w:t>cases</w:t>
      </w:r>
      <w:r w:rsidR="00CF7F87">
        <w:rPr>
          <w:rFonts w:ascii="Arial" w:hAnsi="Arial" w:cs="Arial"/>
          <w:color w:val="000000"/>
        </w:rPr>
        <w:t xml:space="preserve"> (referred to as the ‘E3S’ case). O</w:t>
      </w:r>
      <w:r w:rsidRPr="00DE7F92">
        <w:rPr>
          <w:rFonts w:ascii="Arial" w:hAnsi="Arial" w:cs="Arial"/>
          <w:color w:val="000000"/>
        </w:rPr>
        <w:t>ur assessment will be the first time that the design has been subject to regulatory scrutiny.</w:t>
      </w:r>
    </w:p>
    <w:p w14:paraId="1B42CA40" w14:textId="13371692" w:rsidR="009D23E4" w:rsidRPr="00DE7F92" w:rsidRDefault="009D23E4" w:rsidP="009D23E4">
      <w:pPr>
        <w:pStyle w:val="TSNumberedParagraph1"/>
        <w:numPr>
          <w:ilvl w:val="0"/>
          <w:numId w:val="0"/>
        </w:numPr>
      </w:pPr>
      <w:bookmarkStart w:id="10" w:name="_Toc129080846"/>
      <w:bookmarkStart w:id="11" w:name="_Toc129080936"/>
      <w:bookmarkStart w:id="12" w:name="_Toc129081743"/>
      <w:r w:rsidRPr="00DE7F92">
        <w:t xml:space="preserve">We have undertaken activities which have allowed us to fulfil the objectives for </w:t>
      </w:r>
      <w:r w:rsidR="00BB4263">
        <w:t>Step</w:t>
      </w:r>
      <w:r w:rsidRPr="00DE7F92">
        <w:t xml:space="preserve"> 1. These are for ONR and the RP to agree:</w:t>
      </w:r>
      <w:bookmarkEnd w:id="10"/>
      <w:bookmarkEnd w:id="11"/>
      <w:bookmarkEnd w:id="12"/>
    </w:p>
    <w:p w14:paraId="6C55C8F9" w14:textId="77777777" w:rsidR="009D23E4" w:rsidRPr="00C55588" w:rsidRDefault="009D23E4" w:rsidP="00C55588">
      <w:pPr>
        <w:pStyle w:val="Bulletlist1"/>
      </w:pPr>
      <w:r w:rsidRPr="00C55588">
        <w:t>The GDA scope;</w:t>
      </w:r>
    </w:p>
    <w:p w14:paraId="320BDC7D" w14:textId="77777777" w:rsidR="009D23E4" w:rsidRDefault="009D23E4" w:rsidP="00C55588">
      <w:pPr>
        <w:pStyle w:val="Bulletlist1"/>
      </w:pPr>
      <w:r>
        <w:t>The documentary basis for the generic safety and security cases that will be submitted for assessment throughout GDA;</w:t>
      </w:r>
    </w:p>
    <w:p w14:paraId="0C166DC5" w14:textId="77777777" w:rsidR="009D23E4" w:rsidRDefault="009D23E4" w:rsidP="00C55588">
      <w:pPr>
        <w:pStyle w:val="Bulletlist1"/>
      </w:pPr>
      <w:r>
        <w:t>The gaps that have been identified by the RP in meeting regulatory expectations and the resolution plans for how these may be resolved;</w:t>
      </w:r>
    </w:p>
    <w:p w14:paraId="537DE78C" w14:textId="77777777" w:rsidR="009D23E4" w:rsidRDefault="009D23E4" w:rsidP="00C55588">
      <w:pPr>
        <w:pStyle w:val="Bulletlist1"/>
      </w:pPr>
      <w:r>
        <w:t>The RP’s arrangements necessary to undertake the GDA; and</w:t>
      </w:r>
    </w:p>
    <w:p w14:paraId="2028BC8E" w14:textId="77777777" w:rsidR="009D23E4" w:rsidRDefault="009D23E4" w:rsidP="00C55588">
      <w:pPr>
        <w:pStyle w:val="Bulletlist1"/>
      </w:pPr>
      <w:r>
        <w:t>The schedule and associated programme for subsequent steps.</w:t>
      </w:r>
    </w:p>
    <w:p w14:paraId="142D72AD" w14:textId="77777777" w:rsidR="00C55588" w:rsidRDefault="00C55588">
      <w:pPr>
        <w:spacing w:after="0" w:line="240" w:lineRule="auto"/>
        <w:rPr>
          <w:rFonts w:eastAsia="Times New Roman"/>
          <w:color w:val="000000"/>
          <w:szCs w:val="24"/>
          <w:lang w:eastAsia="en-GB" w:bidi="ar-SA"/>
        </w:rPr>
      </w:pPr>
      <w:r>
        <w:rPr>
          <w:color w:val="000000"/>
        </w:rPr>
        <w:br w:type="page"/>
      </w:r>
    </w:p>
    <w:p w14:paraId="6A8A55F7" w14:textId="46ADCA0F" w:rsidR="00FE1AFC" w:rsidRDefault="00FE1AFC" w:rsidP="00FE1AFC">
      <w:pPr>
        <w:pStyle w:val="NormalWeb"/>
        <w:rPr>
          <w:rFonts w:ascii="Arial" w:hAnsi="Arial" w:cs="Arial"/>
          <w:color w:val="000000"/>
        </w:rPr>
      </w:pPr>
      <w:r>
        <w:rPr>
          <w:rFonts w:ascii="Arial" w:hAnsi="Arial" w:cs="Arial"/>
          <w:color w:val="000000"/>
        </w:rPr>
        <w:lastRenderedPageBreak/>
        <w:t xml:space="preserve">During Step 1 we have </w:t>
      </w:r>
      <w:r w:rsidRPr="006639A0">
        <w:rPr>
          <w:rFonts w:ascii="Arial" w:hAnsi="Arial" w:cs="Arial"/>
          <w:color w:val="000000"/>
        </w:rPr>
        <w:t xml:space="preserve">undertaken more than 200 engagements and assessed </w:t>
      </w:r>
      <w:r>
        <w:rPr>
          <w:rFonts w:ascii="Arial" w:hAnsi="Arial" w:cs="Arial"/>
          <w:color w:val="000000"/>
        </w:rPr>
        <w:t>more than</w:t>
      </w:r>
      <w:r w:rsidRPr="006639A0">
        <w:rPr>
          <w:rFonts w:ascii="Arial" w:hAnsi="Arial" w:cs="Arial"/>
          <w:color w:val="000000"/>
        </w:rPr>
        <w:t xml:space="preserve"> 40 submissions</w:t>
      </w:r>
      <w:r>
        <w:rPr>
          <w:rFonts w:ascii="Arial" w:hAnsi="Arial" w:cs="Arial"/>
          <w:color w:val="000000"/>
        </w:rPr>
        <w:t xml:space="preserve">. </w:t>
      </w:r>
      <w:r w:rsidRPr="002034C3">
        <w:rPr>
          <w:rFonts w:ascii="Arial" w:hAnsi="Arial" w:cs="Arial"/>
          <w:color w:val="000000"/>
        </w:rPr>
        <w:t>The information submitted met all the requirements from our guidance</w:t>
      </w:r>
      <w:r>
        <w:rPr>
          <w:rFonts w:ascii="Arial" w:hAnsi="Arial" w:cs="Arial"/>
          <w:color w:val="000000"/>
        </w:rPr>
        <w:t xml:space="preserve"> and demonstrated</w:t>
      </w:r>
      <w:r w:rsidRPr="00110389">
        <w:rPr>
          <w:rFonts w:ascii="Arial" w:hAnsi="Arial" w:cs="Arial"/>
          <w:color w:val="000000"/>
        </w:rPr>
        <w:t xml:space="preserve"> a good understanding of UK practice and regulatory expectations</w:t>
      </w:r>
      <w:r>
        <w:rPr>
          <w:rFonts w:ascii="Arial" w:hAnsi="Arial" w:cs="Arial"/>
          <w:color w:val="000000"/>
        </w:rPr>
        <w:t xml:space="preserve">. </w:t>
      </w:r>
      <w:r w:rsidRPr="00110389">
        <w:rPr>
          <w:rFonts w:ascii="Arial" w:hAnsi="Arial" w:cs="Arial"/>
          <w:color w:val="000000"/>
        </w:rPr>
        <w:t>We take confidence from these submissions that the RP has a clear view of what is needed to progress through the GDA and how it will justify its design.</w:t>
      </w:r>
    </w:p>
    <w:p w14:paraId="26C0A995" w14:textId="2D762CB0" w:rsidR="009D23E4" w:rsidRPr="00DE7F92" w:rsidRDefault="009D23E4" w:rsidP="009D23E4">
      <w:pPr>
        <w:pStyle w:val="NormalWeb"/>
        <w:rPr>
          <w:rFonts w:ascii="Arial" w:hAnsi="Arial" w:cs="Arial"/>
          <w:color w:val="000000"/>
        </w:rPr>
      </w:pPr>
      <w:bookmarkStart w:id="13" w:name="_Hlk129013456"/>
      <w:r w:rsidRPr="00DE7F92">
        <w:rPr>
          <w:rFonts w:ascii="Arial" w:hAnsi="Arial" w:cs="Arial"/>
          <w:color w:val="000000"/>
        </w:rPr>
        <w:t xml:space="preserve">Rolls-Royce SMR Limited </w:t>
      </w:r>
      <w:r>
        <w:rPr>
          <w:rFonts w:ascii="Arial" w:hAnsi="Arial" w:cs="Arial"/>
          <w:color w:val="000000"/>
        </w:rPr>
        <w:t>has</w:t>
      </w:r>
      <w:r w:rsidRPr="00DE7F92">
        <w:rPr>
          <w:rFonts w:ascii="Arial" w:hAnsi="Arial" w:cs="Arial"/>
          <w:color w:val="000000"/>
        </w:rPr>
        <w:t xml:space="preserve"> confirmed that it intends to complete a 3 </w:t>
      </w:r>
      <w:r>
        <w:rPr>
          <w:rFonts w:ascii="Arial" w:hAnsi="Arial" w:cs="Arial"/>
          <w:color w:val="000000"/>
        </w:rPr>
        <w:t>step</w:t>
      </w:r>
      <w:r w:rsidRPr="00DE7F92">
        <w:rPr>
          <w:rFonts w:ascii="Arial" w:hAnsi="Arial" w:cs="Arial"/>
          <w:color w:val="000000"/>
        </w:rPr>
        <w:t xml:space="preserve"> GDA with the objective of receiving a Design Acceptance Confirmation (DAC), if judged acceptable by ONR. The overall duration for GDA is expected to be 53 months, completing in August 2026. </w:t>
      </w:r>
      <w:r>
        <w:rPr>
          <w:rFonts w:ascii="Arial" w:hAnsi="Arial" w:cs="Arial"/>
          <w:color w:val="000000"/>
        </w:rPr>
        <w:t>Step</w:t>
      </w:r>
      <w:r w:rsidRPr="00DE7F92">
        <w:rPr>
          <w:rFonts w:ascii="Arial" w:hAnsi="Arial" w:cs="Arial"/>
          <w:color w:val="000000"/>
        </w:rPr>
        <w:t xml:space="preserve"> 2 is expected to </w:t>
      </w:r>
      <w:r>
        <w:rPr>
          <w:rFonts w:ascii="Arial" w:hAnsi="Arial" w:cs="Arial"/>
          <w:color w:val="000000"/>
        </w:rPr>
        <w:t>take</w:t>
      </w:r>
      <w:r w:rsidRPr="00DE7F92">
        <w:rPr>
          <w:rFonts w:ascii="Arial" w:hAnsi="Arial" w:cs="Arial"/>
          <w:color w:val="000000"/>
        </w:rPr>
        <w:t xml:space="preserve"> 16 </w:t>
      </w:r>
      <w:r w:rsidRPr="0021378E">
        <w:rPr>
          <w:rFonts w:ascii="Arial" w:hAnsi="Arial" w:cs="Arial"/>
          <w:color w:val="000000"/>
        </w:rPr>
        <w:t xml:space="preserve">months. Progression from </w:t>
      </w:r>
      <w:r w:rsidR="00DD42F5">
        <w:rPr>
          <w:rFonts w:ascii="Arial" w:hAnsi="Arial" w:cs="Arial"/>
          <w:color w:val="000000"/>
        </w:rPr>
        <w:t>Step</w:t>
      </w:r>
      <w:r w:rsidRPr="0021378E">
        <w:rPr>
          <w:rFonts w:ascii="Arial" w:hAnsi="Arial" w:cs="Arial"/>
          <w:color w:val="000000"/>
        </w:rPr>
        <w:t xml:space="preserve"> 2 to 3 is subject to the RP securing additional funding during </w:t>
      </w:r>
      <w:r w:rsidR="00DD42F5">
        <w:rPr>
          <w:rFonts w:ascii="Arial" w:hAnsi="Arial" w:cs="Arial"/>
          <w:color w:val="000000"/>
        </w:rPr>
        <w:t>Step</w:t>
      </w:r>
      <w:r w:rsidRPr="0021378E">
        <w:rPr>
          <w:rFonts w:ascii="Arial" w:hAnsi="Arial" w:cs="Arial"/>
          <w:color w:val="000000"/>
        </w:rPr>
        <w:t xml:space="preserve"> 2.</w:t>
      </w:r>
      <w:r w:rsidRPr="00DE7F92">
        <w:rPr>
          <w:rFonts w:ascii="Arial" w:hAnsi="Arial" w:cs="Arial"/>
          <w:color w:val="000000"/>
        </w:rPr>
        <w:t xml:space="preserve"> </w:t>
      </w:r>
    </w:p>
    <w:p w14:paraId="48367F56" w14:textId="04E9CC33" w:rsidR="009D23E4" w:rsidRPr="00DE7F92" w:rsidRDefault="009D23E4" w:rsidP="009D23E4">
      <w:pPr>
        <w:pStyle w:val="NormalWeb"/>
        <w:rPr>
          <w:rFonts w:ascii="Arial" w:hAnsi="Arial" w:cs="Arial"/>
          <w:color w:val="000000"/>
        </w:rPr>
      </w:pPr>
      <w:r w:rsidRPr="00DE7F92">
        <w:rPr>
          <w:rFonts w:ascii="Arial" w:hAnsi="Arial" w:cs="Arial"/>
          <w:color w:val="000000"/>
        </w:rPr>
        <w:t xml:space="preserve">We have agreed a defined GDA </w:t>
      </w:r>
      <w:r>
        <w:rPr>
          <w:rFonts w:ascii="Arial" w:hAnsi="Arial" w:cs="Arial"/>
          <w:color w:val="000000"/>
        </w:rPr>
        <w:t>scope</w:t>
      </w:r>
      <w:r w:rsidRPr="00DE7F92">
        <w:rPr>
          <w:rFonts w:ascii="Arial" w:hAnsi="Arial" w:cs="Arial"/>
          <w:color w:val="000000"/>
        </w:rPr>
        <w:t xml:space="preserve"> with the RP. This is consistent with previous GDAs and Rolls-Royce SMR Limited’s stated objective of </w:t>
      </w:r>
      <w:r>
        <w:rPr>
          <w:rFonts w:ascii="Arial" w:hAnsi="Arial" w:cs="Arial"/>
          <w:color w:val="000000"/>
        </w:rPr>
        <w:t xml:space="preserve">receiving </w:t>
      </w:r>
      <w:r w:rsidRPr="00DE7F92">
        <w:rPr>
          <w:rFonts w:ascii="Arial" w:hAnsi="Arial" w:cs="Arial"/>
          <w:color w:val="000000"/>
        </w:rPr>
        <w:t xml:space="preserve">a DAC. The GDA </w:t>
      </w:r>
      <w:r>
        <w:rPr>
          <w:rFonts w:ascii="Arial" w:hAnsi="Arial" w:cs="Arial"/>
          <w:color w:val="000000"/>
        </w:rPr>
        <w:t>scope</w:t>
      </w:r>
      <w:r w:rsidRPr="00DE7F92">
        <w:rPr>
          <w:rFonts w:ascii="Arial" w:hAnsi="Arial" w:cs="Arial"/>
          <w:color w:val="000000"/>
        </w:rPr>
        <w:t xml:space="preserve"> defines the generic plant and layout and includes all systems, structures and components that are identified as being important to safety, security and safeguards, all modes of operation, and all stages of the plant lifecycle. Where aspects are declared as being of reduced or out of scope, we are content that these are justified and appropriate. Overall, we are satisfied that the agreed GDA </w:t>
      </w:r>
      <w:r>
        <w:rPr>
          <w:rFonts w:ascii="Arial" w:hAnsi="Arial" w:cs="Arial"/>
          <w:color w:val="000000"/>
        </w:rPr>
        <w:t>scope</w:t>
      </w:r>
      <w:r w:rsidRPr="00DE7F92">
        <w:rPr>
          <w:rFonts w:ascii="Arial" w:hAnsi="Arial" w:cs="Arial"/>
          <w:color w:val="000000"/>
        </w:rPr>
        <w:t xml:space="preserve"> will allow for a meaningful assessment of the generic design.</w:t>
      </w:r>
    </w:p>
    <w:p w14:paraId="6DBFE7A6" w14:textId="40DA6CE4" w:rsidR="009D23E4" w:rsidRPr="00DE7F92" w:rsidRDefault="009D23E4" w:rsidP="009D23E4">
      <w:pPr>
        <w:pStyle w:val="NormalWeb"/>
        <w:rPr>
          <w:rFonts w:ascii="Arial" w:hAnsi="Arial" w:cs="Arial"/>
          <w:color w:val="000000"/>
        </w:rPr>
      </w:pPr>
      <w:r w:rsidRPr="00DE7F92">
        <w:rPr>
          <w:rFonts w:ascii="Arial" w:hAnsi="Arial" w:cs="Arial"/>
          <w:color w:val="000000"/>
        </w:rPr>
        <w:t xml:space="preserve">We have assessed the arrangements </w:t>
      </w:r>
      <w:r w:rsidR="006C3244">
        <w:rPr>
          <w:rFonts w:ascii="Arial" w:hAnsi="Arial" w:cs="Arial"/>
          <w:color w:val="000000"/>
        </w:rPr>
        <w:t xml:space="preserve">that </w:t>
      </w:r>
      <w:r w:rsidRPr="00DE7F92">
        <w:rPr>
          <w:rFonts w:ascii="Arial" w:hAnsi="Arial" w:cs="Arial"/>
          <w:color w:val="000000"/>
        </w:rPr>
        <w:t>the RP has developed to undertake the GDA, which included specific interventions by our M</w:t>
      </w:r>
      <w:r w:rsidR="006C3244">
        <w:rPr>
          <w:rFonts w:ascii="Arial" w:hAnsi="Arial" w:cs="Arial"/>
          <w:color w:val="000000"/>
        </w:rPr>
        <w:t>anagement of Safety and Quality Assurance (M</w:t>
      </w:r>
      <w:r w:rsidRPr="00DE7F92">
        <w:rPr>
          <w:rFonts w:ascii="Arial" w:hAnsi="Arial" w:cs="Arial"/>
          <w:color w:val="000000"/>
        </w:rPr>
        <w:t>SQA</w:t>
      </w:r>
      <w:r w:rsidR="006C3244">
        <w:rPr>
          <w:rFonts w:ascii="Arial" w:hAnsi="Arial" w:cs="Arial"/>
          <w:color w:val="000000"/>
        </w:rPr>
        <w:t>)</w:t>
      </w:r>
      <w:r w:rsidRPr="00DE7F92">
        <w:rPr>
          <w:rFonts w:ascii="Arial" w:hAnsi="Arial" w:cs="Arial"/>
          <w:color w:val="000000"/>
        </w:rPr>
        <w:t xml:space="preserve"> specialists. </w:t>
      </w:r>
      <w:r>
        <w:rPr>
          <w:rFonts w:ascii="Arial" w:hAnsi="Arial" w:cs="Arial"/>
          <w:color w:val="000000"/>
        </w:rPr>
        <w:t>Th</w:t>
      </w:r>
      <w:r w:rsidRPr="00DE7F92">
        <w:rPr>
          <w:rFonts w:ascii="Arial" w:hAnsi="Arial" w:cs="Arial"/>
          <w:color w:val="000000"/>
        </w:rPr>
        <w:t xml:space="preserve">e RP has developed considerably in this regard during </w:t>
      </w:r>
      <w:r w:rsidR="00DD42F5">
        <w:rPr>
          <w:rFonts w:ascii="Arial" w:hAnsi="Arial" w:cs="Arial"/>
          <w:color w:val="000000"/>
        </w:rPr>
        <w:t>Step</w:t>
      </w:r>
      <w:r w:rsidRPr="00DE7F92">
        <w:rPr>
          <w:rFonts w:ascii="Arial" w:hAnsi="Arial" w:cs="Arial"/>
          <w:color w:val="000000"/>
        </w:rPr>
        <w:t xml:space="preserve"> 1 </w:t>
      </w:r>
      <w:r>
        <w:rPr>
          <w:rFonts w:ascii="Arial" w:hAnsi="Arial" w:cs="Arial"/>
          <w:color w:val="000000"/>
        </w:rPr>
        <w:t>including</w:t>
      </w:r>
      <w:r w:rsidRPr="00DE7F92">
        <w:rPr>
          <w:rFonts w:ascii="Arial" w:hAnsi="Arial" w:cs="Arial"/>
          <w:color w:val="000000"/>
        </w:rPr>
        <w:t xml:space="preserve"> an overarching management system which it is subjecting to external audits. The integration of GDA specific arrangements into its wider business and engineering arrangements is a particular strength. Overall, we are content that sufficient progress has been made during </w:t>
      </w:r>
      <w:r w:rsidR="00DD42F5">
        <w:rPr>
          <w:rFonts w:ascii="Arial" w:hAnsi="Arial" w:cs="Arial"/>
          <w:color w:val="000000"/>
        </w:rPr>
        <w:t>Step</w:t>
      </w:r>
      <w:r w:rsidRPr="00DE7F92">
        <w:rPr>
          <w:rFonts w:ascii="Arial" w:hAnsi="Arial" w:cs="Arial"/>
          <w:color w:val="000000"/>
        </w:rPr>
        <w:t xml:space="preserve"> 1, and plans for further development and implementation during </w:t>
      </w:r>
      <w:r w:rsidR="00DD42F5">
        <w:rPr>
          <w:rFonts w:ascii="Arial" w:hAnsi="Arial" w:cs="Arial"/>
          <w:color w:val="000000"/>
        </w:rPr>
        <w:t>Step</w:t>
      </w:r>
      <w:r w:rsidRPr="00DE7F92">
        <w:rPr>
          <w:rFonts w:ascii="Arial" w:hAnsi="Arial" w:cs="Arial"/>
          <w:color w:val="000000"/>
        </w:rPr>
        <w:t xml:space="preserve"> 2 are </w:t>
      </w:r>
      <w:r w:rsidR="0083117F">
        <w:rPr>
          <w:rFonts w:ascii="Arial" w:hAnsi="Arial" w:cs="Arial"/>
          <w:color w:val="000000"/>
        </w:rPr>
        <w:t>sufficient</w:t>
      </w:r>
      <w:r w:rsidRPr="00DE7F92">
        <w:rPr>
          <w:rFonts w:ascii="Arial" w:hAnsi="Arial" w:cs="Arial"/>
          <w:color w:val="000000"/>
        </w:rPr>
        <w:t>.</w:t>
      </w:r>
    </w:p>
    <w:p w14:paraId="445DC565" w14:textId="0ED088F6" w:rsidR="009D23E4" w:rsidRPr="00DE7F92" w:rsidRDefault="009D23E4" w:rsidP="009D23E4">
      <w:pPr>
        <w:pStyle w:val="NormalWeb"/>
        <w:rPr>
          <w:rFonts w:ascii="Arial" w:hAnsi="Arial" w:cs="Arial"/>
          <w:color w:val="000000"/>
        </w:rPr>
      </w:pPr>
      <w:r w:rsidRPr="00DE7F92">
        <w:rPr>
          <w:rFonts w:ascii="Arial" w:hAnsi="Arial" w:cs="Arial"/>
          <w:color w:val="000000"/>
        </w:rPr>
        <w:t xml:space="preserve">Rolls-Royce SMR Limited are using a combined systems engineering and safety analysis approach, where the design and justifications inform and reinforce each other. The RP is using digital tools to benefit </w:t>
      </w:r>
      <w:r>
        <w:rPr>
          <w:rFonts w:ascii="Arial" w:hAnsi="Arial" w:cs="Arial"/>
          <w:color w:val="000000"/>
        </w:rPr>
        <w:t>its</w:t>
      </w:r>
      <w:r w:rsidRPr="00DE7F92">
        <w:rPr>
          <w:rFonts w:ascii="Arial" w:hAnsi="Arial" w:cs="Arial"/>
          <w:color w:val="000000"/>
        </w:rPr>
        <w:t xml:space="preserve"> work</w:t>
      </w:r>
      <w:r>
        <w:rPr>
          <w:rFonts w:ascii="Arial" w:hAnsi="Arial" w:cs="Arial"/>
          <w:color w:val="000000"/>
        </w:rPr>
        <w:t xml:space="preserve">. </w:t>
      </w:r>
      <w:r w:rsidRPr="00DE7F92">
        <w:rPr>
          <w:rFonts w:ascii="Arial" w:hAnsi="Arial" w:cs="Arial"/>
          <w:color w:val="000000"/>
        </w:rPr>
        <w:t xml:space="preserve">This integrated approach, aided by modern practices and tools, is a strength in the RP’s </w:t>
      </w:r>
      <w:r w:rsidR="00D82D29" w:rsidRPr="00DE7F92">
        <w:rPr>
          <w:rFonts w:ascii="Arial" w:hAnsi="Arial" w:cs="Arial"/>
          <w:color w:val="000000"/>
        </w:rPr>
        <w:t>plans</w:t>
      </w:r>
      <w:r w:rsidRPr="00DE7F92">
        <w:rPr>
          <w:rFonts w:ascii="Arial" w:hAnsi="Arial" w:cs="Arial"/>
          <w:color w:val="000000"/>
        </w:rPr>
        <w:t>.</w:t>
      </w:r>
    </w:p>
    <w:p w14:paraId="7E00F4DE" w14:textId="494CF851" w:rsidR="009D23E4" w:rsidRPr="00DE7F92" w:rsidRDefault="009D23E4" w:rsidP="009D23E4">
      <w:pPr>
        <w:pStyle w:val="NormalWeb"/>
        <w:rPr>
          <w:rFonts w:ascii="Arial" w:hAnsi="Arial" w:cs="Arial"/>
          <w:color w:val="000000"/>
        </w:rPr>
      </w:pPr>
      <w:r w:rsidRPr="00DE7F92">
        <w:rPr>
          <w:rFonts w:ascii="Arial" w:hAnsi="Arial" w:cs="Arial"/>
          <w:color w:val="000000"/>
        </w:rPr>
        <w:t xml:space="preserve">The </w:t>
      </w:r>
      <w:r w:rsidR="0046696D">
        <w:rPr>
          <w:rFonts w:ascii="Arial" w:hAnsi="Arial" w:cs="Arial"/>
          <w:color w:val="000000"/>
        </w:rPr>
        <w:t>Environment, S</w:t>
      </w:r>
      <w:r w:rsidRPr="00DE7F92">
        <w:rPr>
          <w:rFonts w:ascii="Arial" w:hAnsi="Arial" w:cs="Arial"/>
          <w:color w:val="000000"/>
        </w:rPr>
        <w:t xml:space="preserve">afety, </w:t>
      </w:r>
      <w:r w:rsidR="0046696D">
        <w:rPr>
          <w:rFonts w:ascii="Arial" w:hAnsi="Arial" w:cs="Arial"/>
          <w:color w:val="000000"/>
        </w:rPr>
        <w:t>S</w:t>
      </w:r>
      <w:r w:rsidRPr="00DE7F92">
        <w:rPr>
          <w:rFonts w:ascii="Arial" w:hAnsi="Arial" w:cs="Arial"/>
          <w:color w:val="000000"/>
        </w:rPr>
        <w:t xml:space="preserve">ecurity and </w:t>
      </w:r>
      <w:r w:rsidR="0046696D">
        <w:rPr>
          <w:rFonts w:ascii="Arial" w:hAnsi="Arial" w:cs="Arial"/>
          <w:color w:val="000000"/>
        </w:rPr>
        <w:t>S</w:t>
      </w:r>
      <w:r w:rsidRPr="00DE7F92">
        <w:rPr>
          <w:rFonts w:ascii="Arial" w:hAnsi="Arial" w:cs="Arial"/>
          <w:color w:val="000000"/>
        </w:rPr>
        <w:t>afeguards cases are being developed holistically as an E3S case</w:t>
      </w:r>
      <w:r>
        <w:rPr>
          <w:rFonts w:ascii="Arial" w:hAnsi="Arial" w:cs="Arial"/>
          <w:color w:val="000000"/>
        </w:rPr>
        <w:t xml:space="preserve">, based on documented </w:t>
      </w:r>
      <w:proofErr w:type="gramStart"/>
      <w:r w:rsidRPr="00DE7F92">
        <w:rPr>
          <w:rFonts w:ascii="Arial" w:hAnsi="Arial" w:cs="Arial"/>
          <w:color w:val="000000"/>
        </w:rPr>
        <w:t>strategies</w:t>
      </w:r>
      <w:proofErr w:type="gramEnd"/>
      <w:r w:rsidRPr="00DE7F92">
        <w:rPr>
          <w:rFonts w:ascii="Arial" w:hAnsi="Arial" w:cs="Arial"/>
          <w:color w:val="000000"/>
        </w:rPr>
        <w:t xml:space="preserve"> </w:t>
      </w:r>
      <w:r>
        <w:rPr>
          <w:rFonts w:ascii="Arial" w:hAnsi="Arial" w:cs="Arial"/>
          <w:color w:val="000000"/>
        </w:rPr>
        <w:t xml:space="preserve">and </w:t>
      </w:r>
      <w:r w:rsidRPr="00DE7F92">
        <w:rPr>
          <w:rFonts w:ascii="Arial" w:hAnsi="Arial" w:cs="Arial"/>
          <w:color w:val="000000"/>
        </w:rPr>
        <w:t xml:space="preserve">using a hierarchical </w:t>
      </w:r>
      <w:r w:rsidR="005A50AB">
        <w:rPr>
          <w:rFonts w:ascii="Arial" w:hAnsi="Arial" w:cs="Arial"/>
          <w:color w:val="000000"/>
        </w:rPr>
        <w:t>C</w:t>
      </w:r>
      <w:r w:rsidR="005A50AB" w:rsidRPr="00DE7F92">
        <w:rPr>
          <w:rFonts w:ascii="Arial" w:hAnsi="Arial" w:cs="Arial"/>
          <w:color w:val="000000"/>
        </w:rPr>
        <w:t>laim</w:t>
      </w:r>
      <w:r w:rsidRPr="00DE7F92">
        <w:rPr>
          <w:rFonts w:ascii="Arial" w:hAnsi="Arial" w:cs="Arial"/>
          <w:color w:val="000000"/>
        </w:rPr>
        <w:t xml:space="preserve">, </w:t>
      </w:r>
      <w:r w:rsidR="005A50AB">
        <w:rPr>
          <w:rFonts w:ascii="Arial" w:hAnsi="Arial" w:cs="Arial"/>
          <w:color w:val="000000"/>
        </w:rPr>
        <w:t>A</w:t>
      </w:r>
      <w:r w:rsidR="005A50AB" w:rsidRPr="00DE7F92">
        <w:rPr>
          <w:rFonts w:ascii="Arial" w:hAnsi="Arial" w:cs="Arial"/>
          <w:color w:val="000000"/>
        </w:rPr>
        <w:t xml:space="preserve">rgument </w:t>
      </w:r>
      <w:r w:rsidRPr="00DE7F92">
        <w:rPr>
          <w:rFonts w:ascii="Arial" w:hAnsi="Arial" w:cs="Arial"/>
          <w:color w:val="000000"/>
        </w:rPr>
        <w:t xml:space="preserve">and </w:t>
      </w:r>
      <w:r w:rsidR="005A50AB">
        <w:rPr>
          <w:rFonts w:ascii="Arial" w:hAnsi="Arial" w:cs="Arial"/>
          <w:color w:val="000000"/>
        </w:rPr>
        <w:t>E</w:t>
      </w:r>
      <w:r w:rsidR="005A50AB" w:rsidRPr="00DE7F92">
        <w:rPr>
          <w:rFonts w:ascii="Arial" w:hAnsi="Arial" w:cs="Arial"/>
          <w:color w:val="000000"/>
        </w:rPr>
        <w:t xml:space="preserve">vidence </w:t>
      </w:r>
      <w:r w:rsidRPr="00DE7F92">
        <w:rPr>
          <w:rFonts w:ascii="Arial" w:hAnsi="Arial" w:cs="Arial"/>
          <w:color w:val="000000"/>
        </w:rPr>
        <w:t>(CAE) approach. The scope is intended to align with relevant international guidance and covers all the technical topics we consider. We are satisfied that the</w:t>
      </w:r>
      <w:r w:rsidR="002F55FC">
        <w:rPr>
          <w:rFonts w:ascii="Arial" w:hAnsi="Arial" w:cs="Arial"/>
          <w:color w:val="000000"/>
        </w:rPr>
        <w:t xml:space="preserve"> proposed E3S approach is</w:t>
      </w:r>
      <w:r w:rsidRPr="00DE7F92">
        <w:rPr>
          <w:rFonts w:ascii="Arial" w:hAnsi="Arial" w:cs="Arial"/>
          <w:color w:val="000000"/>
        </w:rPr>
        <w:t xml:space="preserve"> logical, suitably structured and will give the RP means to control the development</w:t>
      </w:r>
      <w:r w:rsidR="002F55FC">
        <w:rPr>
          <w:rFonts w:ascii="Arial" w:hAnsi="Arial" w:cs="Arial"/>
          <w:color w:val="000000"/>
        </w:rPr>
        <w:t xml:space="preserve"> of its design</w:t>
      </w:r>
      <w:r w:rsidRPr="00DE7F92">
        <w:rPr>
          <w:rFonts w:ascii="Arial" w:hAnsi="Arial" w:cs="Arial"/>
          <w:color w:val="000000"/>
        </w:rPr>
        <w:t>. We recognise the early production of clear strategies and the holistic approach to be good practices adopted by the RP.</w:t>
      </w:r>
    </w:p>
    <w:p w14:paraId="5537BDF7" w14:textId="6F8267F6" w:rsidR="00FA5B44" w:rsidRPr="00DE7F92" w:rsidRDefault="00FA5B44" w:rsidP="00FA5B44">
      <w:pPr>
        <w:pStyle w:val="NormalWeb"/>
        <w:rPr>
          <w:rFonts w:ascii="Arial" w:hAnsi="Arial" w:cs="Arial"/>
          <w:color w:val="000000"/>
        </w:rPr>
      </w:pPr>
      <w:r w:rsidRPr="00DE7F92">
        <w:rPr>
          <w:rFonts w:ascii="Arial" w:hAnsi="Arial" w:cs="Arial"/>
          <w:color w:val="000000"/>
        </w:rPr>
        <w:t xml:space="preserve">We have agreed a submission schedule with the RP, which includes the submission of </w:t>
      </w:r>
      <w:r>
        <w:rPr>
          <w:rFonts w:ascii="Arial" w:hAnsi="Arial" w:cs="Arial"/>
          <w:color w:val="000000"/>
        </w:rPr>
        <w:t>more than</w:t>
      </w:r>
      <w:r w:rsidRPr="00DE7F92">
        <w:rPr>
          <w:rFonts w:ascii="Arial" w:hAnsi="Arial" w:cs="Arial"/>
          <w:color w:val="000000"/>
        </w:rPr>
        <w:t xml:space="preserve"> 500 documents during </w:t>
      </w:r>
      <w:r>
        <w:rPr>
          <w:rFonts w:ascii="Arial" w:hAnsi="Arial" w:cs="Arial"/>
          <w:color w:val="000000"/>
        </w:rPr>
        <w:t>Step</w:t>
      </w:r>
      <w:r w:rsidRPr="00DE7F92">
        <w:rPr>
          <w:rFonts w:ascii="Arial" w:hAnsi="Arial" w:cs="Arial"/>
          <w:color w:val="000000"/>
        </w:rPr>
        <w:t xml:space="preserve"> 2. We are content that this aligns with our assessment plans, the agreed GDA </w:t>
      </w:r>
      <w:r>
        <w:rPr>
          <w:rFonts w:ascii="Arial" w:hAnsi="Arial" w:cs="Arial"/>
          <w:color w:val="000000"/>
        </w:rPr>
        <w:t>scope</w:t>
      </w:r>
      <w:r w:rsidRPr="00DE7F92">
        <w:rPr>
          <w:rFonts w:ascii="Arial" w:hAnsi="Arial" w:cs="Arial"/>
          <w:color w:val="000000"/>
        </w:rPr>
        <w:t xml:space="preserve"> and the RP’s declared schedule for GDA.</w:t>
      </w:r>
      <w:r>
        <w:rPr>
          <w:rFonts w:ascii="Arial" w:hAnsi="Arial" w:cs="Arial"/>
          <w:color w:val="000000"/>
        </w:rPr>
        <w:t xml:space="preserve"> The RP has stated it has sufficient resource to deliver the submissions identified for Step 2 to the agreed schedule. Given the outstanding need to secure funding beyond Step 2 activities, the schedule for submissions for Step 3 has not been agreed at this time.  </w:t>
      </w:r>
    </w:p>
    <w:p w14:paraId="05BEF418" w14:textId="0238BEEC" w:rsidR="009D23E4" w:rsidRPr="00DE7F92" w:rsidRDefault="009D23E4" w:rsidP="009D23E4">
      <w:pPr>
        <w:pStyle w:val="NormalWeb"/>
        <w:rPr>
          <w:rFonts w:ascii="Arial" w:hAnsi="Arial" w:cs="Arial"/>
          <w:color w:val="000000"/>
        </w:rPr>
      </w:pPr>
      <w:r w:rsidRPr="00DE7F92">
        <w:rPr>
          <w:rFonts w:ascii="Arial" w:hAnsi="Arial" w:cs="Arial"/>
          <w:color w:val="000000"/>
        </w:rPr>
        <w:lastRenderedPageBreak/>
        <w:t>In line with our guidance, the RP undert</w:t>
      </w:r>
      <w:r>
        <w:rPr>
          <w:rFonts w:ascii="Arial" w:hAnsi="Arial" w:cs="Arial"/>
          <w:color w:val="000000"/>
        </w:rPr>
        <w:t>ook</w:t>
      </w:r>
      <w:r w:rsidRPr="00DE7F92">
        <w:rPr>
          <w:rFonts w:ascii="Arial" w:hAnsi="Arial" w:cs="Arial"/>
          <w:color w:val="000000"/>
        </w:rPr>
        <w:t xml:space="preserve"> a self-assessment and review of its own readiness to proceed to </w:t>
      </w:r>
      <w:r w:rsidR="00DD42F5">
        <w:rPr>
          <w:rFonts w:ascii="Arial" w:hAnsi="Arial" w:cs="Arial"/>
          <w:color w:val="000000"/>
        </w:rPr>
        <w:t>Step</w:t>
      </w:r>
      <w:r w:rsidRPr="00DE7F92">
        <w:rPr>
          <w:rFonts w:ascii="Arial" w:hAnsi="Arial" w:cs="Arial"/>
          <w:color w:val="000000"/>
        </w:rPr>
        <w:t xml:space="preserve"> 2. The RP also undertook a review of its organisational capacity and capability</w:t>
      </w:r>
      <w:r>
        <w:rPr>
          <w:rFonts w:ascii="Arial" w:hAnsi="Arial" w:cs="Arial"/>
          <w:color w:val="000000"/>
        </w:rPr>
        <w:t xml:space="preserve"> and a </w:t>
      </w:r>
      <w:r w:rsidRPr="00DE7F92">
        <w:rPr>
          <w:rFonts w:ascii="Arial" w:hAnsi="Arial" w:cs="Arial"/>
          <w:color w:val="000000"/>
        </w:rPr>
        <w:t xml:space="preserve">gap analysis of its planned submissions to support </w:t>
      </w:r>
      <w:r w:rsidR="00DD42F5">
        <w:rPr>
          <w:rFonts w:ascii="Arial" w:hAnsi="Arial" w:cs="Arial"/>
          <w:color w:val="000000"/>
        </w:rPr>
        <w:t>Step</w:t>
      </w:r>
      <w:r w:rsidRPr="00DE7F92">
        <w:rPr>
          <w:rFonts w:ascii="Arial" w:hAnsi="Arial" w:cs="Arial"/>
          <w:color w:val="000000"/>
        </w:rPr>
        <w:t xml:space="preserve"> 2, as part of its wider E3S case, against regulatory expectations. We judge that the process undertaken by the RP </w:t>
      </w:r>
      <w:r>
        <w:rPr>
          <w:rFonts w:ascii="Arial" w:hAnsi="Arial" w:cs="Arial"/>
          <w:color w:val="000000"/>
        </w:rPr>
        <w:t>wa</w:t>
      </w:r>
      <w:r w:rsidRPr="00DE7F92">
        <w:rPr>
          <w:rFonts w:ascii="Arial" w:hAnsi="Arial" w:cs="Arial"/>
          <w:color w:val="000000"/>
        </w:rPr>
        <w:t xml:space="preserve">s reasonable, proportionate and sufficiently robust for this </w:t>
      </w:r>
      <w:r>
        <w:rPr>
          <w:rFonts w:ascii="Arial" w:hAnsi="Arial" w:cs="Arial"/>
          <w:color w:val="000000"/>
        </w:rPr>
        <w:t>step</w:t>
      </w:r>
      <w:r w:rsidRPr="00DE7F92">
        <w:rPr>
          <w:rFonts w:ascii="Arial" w:hAnsi="Arial" w:cs="Arial"/>
          <w:color w:val="000000"/>
        </w:rPr>
        <w:t xml:space="preserve"> of GDA. The overall conclusion of the RP’s readiness review is that it considers itself ready to begin </w:t>
      </w:r>
      <w:r w:rsidR="00DD42F5">
        <w:rPr>
          <w:rFonts w:ascii="Arial" w:hAnsi="Arial" w:cs="Arial"/>
          <w:color w:val="000000"/>
        </w:rPr>
        <w:t>Step</w:t>
      </w:r>
      <w:r w:rsidRPr="00DE7F92">
        <w:rPr>
          <w:rFonts w:ascii="Arial" w:hAnsi="Arial" w:cs="Arial"/>
          <w:color w:val="000000"/>
        </w:rPr>
        <w:t xml:space="preserve"> 2, subject to completion of </w:t>
      </w:r>
      <w:r w:rsidR="00CB74DA">
        <w:rPr>
          <w:rFonts w:ascii="Arial" w:hAnsi="Arial" w:cs="Arial"/>
          <w:color w:val="000000"/>
        </w:rPr>
        <w:t>some</w:t>
      </w:r>
      <w:r w:rsidRPr="00DE7F92">
        <w:rPr>
          <w:rFonts w:ascii="Arial" w:hAnsi="Arial" w:cs="Arial"/>
          <w:color w:val="000000"/>
        </w:rPr>
        <w:t xml:space="preserve"> improvement actions. </w:t>
      </w:r>
    </w:p>
    <w:p w14:paraId="09A6F18C" w14:textId="560108BF" w:rsidR="009D23E4" w:rsidRPr="00DE7F92" w:rsidRDefault="009D23E4" w:rsidP="009D23E4">
      <w:pPr>
        <w:pStyle w:val="NormalWeb"/>
        <w:rPr>
          <w:rFonts w:ascii="Arial" w:hAnsi="Arial" w:cs="Arial"/>
          <w:color w:val="000000"/>
        </w:rPr>
      </w:pPr>
      <w:r w:rsidRPr="00DE7F92">
        <w:rPr>
          <w:rFonts w:ascii="Arial" w:hAnsi="Arial" w:cs="Arial"/>
          <w:color w:val="000000"/>
        </w:rPr>
        <w:t>The actions identified by the RP include improvements in its organisation, arrangements</w:t>
      </w:r>
      <w:r w:rsidR="00E24ECD">
        <w:rPr>
          <w:rFonts w:ascii="Arial" w:hAnsi="Arial" w:cs="Arial"/>
          <w:color w:val="000000"/>
        </w:rPr>
        <w:t>,</w:t>
      </w:r>
      <w:r w:rsidRPr="00DE7F92">
        <w:rPr>
          <w:rFonts w:ascii="Arial" w:hAnsi="Arial" w:cs="Arial"/>
          <w:color w:val="000000"/>
        </w:rPr>
        <w:t xml:space="preserve"> and capacity and capability. We are content that the self-identified actions accurately reflect the outcomes from the RP’s readiness review and are consistent with our work during the </w:t>
      </w:r>
      <w:r>
        <w:rPr>
          <w:rFonts w:ascii="Arial" w:hAnsi="Arial" w:cs="Arial"/>
          <w:color w:val="000000"/>
        </w:rPr>
        <w:t>step</w:t>
      </w:r>
      <w:r w:rsidRPr="00DE7F92">
        <w:rPr>
          <w:rFonts w:ascii="Arial" w:hAnsi="Arial" w:cs="Arial"/>
          <w:color w:val="000000"/>
        </w:rPr>
        <w:t>.</w:t>
      </w:r>
      <w:r>
        <w:rPr>
          <w:rFonts w:ascii="Arial" w:hAnsi="Arial" w:cs="Arial"/>
          <w:color w:val="000000"/>
        </w:rPr>
        <w:t xml:space="preserve"> </w:t>
      </w:r>
      <w:r w:rsidRPr="00DE7F92">
        <w:rPr>
          <w:rFonts w:ascii="Arial" w:hAnsi="Arial" w:cs="Arial"/>
          <w:color w:val="000000"/>
        </w:rPr>
        <w:t xml:space="preserve">We will review progress and hold the RP to account on </w:t>
      </w:r>
      <w:r w:rsidR="00FF71B1">
        <w:rPr>
          <w:rFonts w:ascii="Arial" w:hAnsi="Arial" w:cs="Arial"/>
          <w:color w:val="000000"/>
        </w:rPr>
        <w:t xml:space="preserve">the </w:t>
      </w:r>
      <w:r w:rsidRPr="00DE7F92">
        <w:rPr>
          <w:rFonts w:ascii="Arial" w:hAnsi="Arial" w:cs="Arial"/>
          <w:color w:val="000000"/>
        </w:rPr>
        <w:t>delivery of these</w:t>
      </w:r>
      <w:r w:rsidR="007A123C">
        <w:rPr>
          <w:rFonts w:ascii="Arial" w:hAnsi="Arial" w:cs="Arial"/>
          <w:color w:val="000000"/>
        </w:rPr>
        <w:t xml:space="preserve"> during Step 2</w:t>
      </w:r>
      <w:r w:rsidRPr="00DE7F92">
        <w:rPr>
          <w:rFonts w:ascii="Arial" w:hAnsi="Arial" w:cs="Arial"/>
          <w:color w:val="000000"/>
        </w:rPr>
        <w:t>.</w:t>
      </w:r>
    </w:p>
    <w:p w14:paraId="648D3D82" w14:textId="6706E660" w:rsidR="009D23E4" w:rsidRDefault="009D23E4" w:rsidP="009D23E4">
      <w:pPr>
        <w:pStyle w:val="NormalWeb"/>
        <w:rPr>
          <w:rFonts w:ascii="Arial" w:hAnsi="Arial" w:cs="Arial"/>
          <w:color w:val="000000"/>
        </w:rPr>
      </w:pPr>
      <w:r w:rsidRPr="00DE7F92">
        <w:rPr>
          <w:rFonts w:ascii="Arial" w:hAnsi="Arial" w:cs="Arial"/>
          <w:color w:val="000000"/>
        </w:rPr>
        <w:t xml:space="preserve">We have used the knowledge gained during </w:t>
      </w:r>
      <w:r w:rsidR="00DD42F5">
        <w:rPr>
          <w:rFonts w:ascii="Arial" w:hAnsi="Arial" w:cs="Arial"/>
          <w:color w:val="000000"/>
        </w:rPr>
        <w:t>Step</w:t>
      </w:r>
      <w:r w:rsidRPr="00DE7F92">
        <w:rPr>
          <w:rFonts w:ascii="Arial" w:hAnsi="Arial" w:cs="Arial"/>
          <w:color w:val="000000"/>
        </w:rPr>
        <w:t xml:space="preserve"> 1 to inform our detailed planning within the </w:t>
      </w:r>
      <w:r>
        <w:rPr>
          <w:rFonts w:ascii="Arial" w:hAnsi="Arial" w:cs="Arial"/>
          <w:color w:val="000000"/>
        </w:rPr>
        <w:t>21</w:t>
      </w:r>
      <w:r w:rsidRPr="00DE7F92">
        <w:rPr>
          <w:rFonts w:ascii="Arial" w:hAnsi="Arial" w:cs="Arial"/>
          <w:color w:val="000000"/>
        </w:rPr>
        <w:t xml:space="preserve"> assessment plans we have developed for </w:t>
      </w:r>
      <w:r w:rsidR="00DD42F5">
        <w:rPr>
          <w:rFonts w:ascii="Arial" w:hAnsi="Arial" w:cs="Arial"/>
          <w:color w:val="000000"/>
        </w:rPr>
        <w:t>Step</w:t>
      </w:r>
      <w:r w:rsidRPr="00DE7F92">
        <w:rPr>
          <w:rFonts w:ascii="Arial" w:hAnsi="Arial" w:cs="Arial"/>
          <w:color w:val="000000"/>
        </w:rPr>
        <w:t xml:space="preserve"> 2.</w:t>
      </w:r>
    </w:p>
    <w:p w14:paraId="7EAAA039" w14:textId="08BF9849" w:rsidR="009D23E4" w:rsidRPr="00DE7F92" w:rsidRDefault="009D23E4" w:rsidP="009D23E4">
      <w:pPr>
        <w:pStyle w:val="NormalWeb"/>
        <w:rPr>
          <w:rFonts w:ascii="Arial" w:hAnsi="Arial" w:cs="Arial"/>
          <w:color w:val="000000"/>
        </w:rPr>
      </w:pPr>
      <w:r w:rsidRPr="00DE7F92">
        <w:rPr>
          <w:rFonts w:ascii="Arial" w:hAnsi="Arial" w:cs="Arial"/>
          <w:color w:val="000000"/>
        </w:rPr>
        <w:t xml:space="preserve">We undertook a review of our own readiness to proceed to </w:t>
      </w:r>
      <w:r w:rsidR="00DD42F5">
        <w:rPr>
          <w:rFonts w:ascii="Arial" w:hAnsi="Arial" w:cs="Arial"/>
          <w:color w:val="000000"/>
        </w:rPr>
        <w:t>Step</w:t>
      </w:r>
      <w:r w:rsidRPr="00DE7F92">
        <w:rPr>
          <w:rFonts w:ascii="Arial" w:hAnsi="Arial" w:cs="Arial"/>
          <w:color w:val="000000"/>
        </w:rPr>
        <w:t xml:space="preserve"> 2</w:t>
      </w:r>
      <w:r>
        <w:rPr>
          <w:rFonts w:ascii="Arial" w:hAnsi="Arial" w:cs="Arial"/>
          <w:color w:val="000000"/>
        </w:rPr>
        <w:t xml:space="preserve">. </w:t>
      </w:r>
      <w:r w:rsidRPr="00DE7F92">
        <w:rPr>
          <w:rFonts w:ascii="Arial" w:hAnsi="Arial" w:cs="Arial"/>
          <w:color w:val="000000"/>
        </w:rPr>
        <w:t>We conclude</w:t>
      </w:r>
      <w:r>
        <w:rPr>
          <w:rFonts w:ascii="Arial" w:hAnsi="Arial" w:cs="Arial"/>
          <w:color w:val="000000"/>
        </w:rPr>
        <w:t xml:space="preserve"> </w:t>
      </w:r>
      <w:r w:rsidRPr="00DE7F92">
        <w:rPr>
          <w:rFonts w:ascii="Arial" w:hAnsi="Arial" w:cs="Arial"/>
          <w:color w:val="000000"/>
        </w:rPr>
        <w:t xml:space="preserve">that, based on the agreed GDA </w:t>
      </w:r>
      <w:r>
        <w:rPr>
          <w:rFonts w:ascii="Arial" w:hAnsi="Arial" w:cs="Arial"/>
          <w:color w:val="000000"/>
        </w:rPr>
        <w:t>scope</w:t>
      </w:r>
      <w:r w:rsidRPr="00DE7F92">
        <w:rPr>
          <w:rFonts w:ascii="Arial" w:hAnsi="Arial" w:cs="Arial"/>
          <w:color w:val="000000"/>
        </w:rPr>
        <w:t xml:space="preserve"> and submission schedule, the assessment will remain meaningful during </w:t>
      </w:r>
      <w:r w:rsidR="00DD42F5">
        <w:rPr>
          <w:rFonts w:ascii="Arial" w:hAnsi="Arial" w:cs="Arial"/>
          <w:color w:val="000000"/>
        </w:rPr>
        <w:t>Step</w:t>
      </w:r>
      <w:r w:rsidRPr="00DE7F92">
        <w:rPr>
          <w:rFonts w:ascii="Arial" w:hAnsi="Arial" w:cs="Arial"/>
          <w:color w:val="000000"/>
        </w:rPr>
        <w:t xml:space="preserve"> 2 and warrants the continued deployment of regulatory resource. The outcome from our readiness review was that we consider we are ready to proceed to </w:t>
      </w:r>
      <w:r w:rsidR="00DD42F5">
        <w:rPr>
          <w:rFonts w:ascii="Arial" w:hAnsi="Arial" w:cs="Arial"/>
          <w:color w:val="000000"/>
        </w:rPr>
        <w:t>Step</w:t>
      </w:r>
      <w:r w:rsidRPr="00DE7F92">
        <w:rPr>
          <w:rFonts w:ascii="Arial" w:hAnsi="Arial" w:cs="Arial"/>
          <w:color w:val="000000"/>
        </w:rPr>
        <w:t xml:space="preserve"> 2 of GDA for the Rolls-Royce SMR.</w:t>
      </w:r>
    </w:p>
    <w:bookmarkEnd w:id="6"/>
    <w:bookmarkEnd w:id="13"/>
    <w:p w14:paraId="72D1AA28" w14:textId="2C0F54ED" w:rsidR="009D23E4" w:rsidRPr="00DE7F92" w:rsidRDefault="000635D7" w:rsidP="009D23E4">
      <w:pPr>
        <w:pStyle w:val="NormalWeb"/>
        <w:rPr>
          <w:rFonts w:ascii="Arial" w:hAnsi="Arial" w:cs="Arial"/>
          <w:color w:val="000000"/>
        </w:rPr>
      </w:pPr>
      <w:r>
        <w:rPr>
          <w:rFonts w:ascii="Arial" w:hAnsi="Arial" w:cs="Arial"/>
          <w:color w:val="000000"/>
        </w:rPr>
        <w:t>In summary</w:t>
      </w:r>
      <w:r w:rsidR="009D23E4" w:rsidRPr="00DE7F92">
        <w:rPr>
          <w:rFonts w:ascii="Arial" w:hAnsi="Arial" w:cs="Arial"/>
          <w:color w:val="000000"/>
        </w:rPr>
        <w:t>:</w:t>
      </w:r>
    </w:p>
    <w:p w14:paraId="7079BFAF" w14:textId="3C3F0126" w:rsidR="009D23E4" w:rsidRPr="00C55588" w:rsidRDefault="009D23E4" w:rsidP="00C55588">
      <w:pPr>
        <w:pStyle w:val="Bulletlist1"/>
      </w:pPr>
      <w:r w:rsidRPr="00C55588">
        <w:t xml:space="preserve">The RP has completed all the requirements for </w:t>
      </w:r>
      <w:r w:rsidR="00DD42F5" w:rsidRPr="00C55588">
        <w:t>Step</w:t>
      </w:r>
      <w:r w:rsidRPr="00C55588">
        <w:t xml:space="preserve"> 1 from our guidance</w:t>
      </w:r>
      <w:r w:rsidR="009A3EAB" w:rsidRPr="00C55588">
        <w:t>;</w:t>
      </w:r>
    </w:p>
    <w:p w14:paraId="09BB7FDC" w14:textId="3FBC0A81" w:rsidR="009D23E4" w:rsidRPr="00C55588" w:rsidRDefault="009D23E4" w:rsidP="00C55588">
      <w:pPr>
        <w:pStyle w:val="Bulletlist1"/>
      </w:pPr>
      <w:r w:rsidRPr="00C55588">
        <w:t xml:space="preserve">Interactions with the RP throughout </w:t>
      </w:r>
      <w:r w:rsidR="00DD42F5" w:rsidRPr="00C55588">
        <w:t>Step</w:t>
      </w:r>
      <w:r w:rsidRPr="00C55588">
        <w:t xml:space="preserve"> 1 have been professional and constructive, and we have confidence that this will continue</w:t>
      </w:r>
      <w:r w:rsidR="009A3EAB" w:rsidRPr="00C55588">
        <w:t>;</w:t>
      </w:r>
    </w:p>
    <w:p w14:paraId="7924C1F5" w14:textId="2BEBD0C7" w:rsidR="009D23E4" w:rsidRPr="00C55588" w:rsidRDefault="009D23E4" w:rsidP="00C55588">
      <w:pPr>
        <w:pStyle w:val="Bulletlist1"/>
      </w:pPr>
      <w:r w:rsidRPr="00C55588">
        <w:t>The RP has made good progress in developing its organisation and arrangements to support GDA, with clear evidence of improvements</w:t>
      </w:r>
      <w:r w:rsidR="009A3EAB" w:rsidRPr="00C55588">
        <w:t>;</w:t>
      </w:r>
    </w:p>
    <w:p w14:paraId="1231C633" w14:textId="10B53AF0" w:rsidR="009D23E4" w:rsidRPr="00C55588" w:rsidRDefault="009D23E4" w:rsidP="00C55588">
      <w:pPr>
        <w:pStyle w:val="Bulletlist1"/>
      </w:pPr>
      <w:r w:rsidRPr="00C55588">
        <w:t>The agreements necessary to undertake the GDA are in place, or have developed sufficiently for this point in the project with clear plans for further development</w:t>
      </w:r>
      <w:r w:rsidR="009A3EAB" w:rsidRPr="00C55588">
        <w:t>;</w:t>
      </w:r>
    </w:p>
    <w:p w14:paraId="1A8D3F1D" w14:textId="647D3F51" w:rsidR="009D23E4" w:rsidRPr="00C55588" w:rsidRDefault="009D23E4" w:rsidP="00C55588">
      <w:pPr>
        <w:pStyle w:val="Bulletlist1"/>
      </w:pPr>
      <w:r w:rsidRPr="00C55588">
        <w:t>The RP has demonstrated a good understanding of our regulatory expectations and has confidence that these can be met by its design and E3S case</w:t>
      </w:r>
      <w:r w:rsidR="009A3EAB" w:rsidRPr="00C55588">
        <w:t>;</w:t>
      </w:r>
    </w:p>
    <w:p w14:paraId="37BAF1EF" w14:textId="0AAE9E8E" w:rsidR="009D23E4" w:rsidRPr="00C55588" w:rsidRDefault="009D23E4" w:rsidP="00C55588">
      <w:pPr>
        <w:pStyle w:val="Bulletlist1"/>
      </w:pPr>
      <w:r w:rsidRPr="00C55588">
        <w:t>We have improved our understanding of the generic Rolls-Royce SMR design and E3S case, and have used this to inform our planning for further assessment activities</w:t>
      </w:r>
      <w:r w:rsidR="009A3EAB" w:rsidRPr="00C55588">
        <w:t>; and</w:t>
      </w:r>
    </w:p>
    <w:p w14:paraId="19E032B8" w14:textId="680569FA" w:rsidR="009D23E4" w:rsidRPr="00C55588" w:rsidRDefault="009D23E4" w:rsidP="00C55588">
      <w:pPr>
        <w:pStyle w:val="Bulletlist1"/>
      </w:pPr>
      <w:r w:rsidRPr="00C55588">
        <w:t xml:space="preserve">We, and the RP, are ready to proceed to </w:t>
      </w:r>
      <w:r w:rsidR="00DD42F5" w:rsidRPr="00C55588">
        <w:t>Step</w:t>
      </w:r>
      <w:r w:rsidRPr="00C55588">
        <w:t xml:space="preserve"> 2 of the GDA.</w:t>
      </w:r>
    </w:p>
    <w:p w14:paraId="3D09ED76" w14:textId="696FE998" w:rsidR="009D23E4" w:rsidRPr="009D23E4" w:rsidRDefault="009D23E4" w:rsidP="009D23E4">
      <w:r>
        <w:rPr>
          <w:color w:val="000000"/>
        </w:rPr>
        <w:t>Based on our work during Step 1, w</w:t>
      </w:r>
      <w:r w:rsidRPr="00DE7F92">
        <w:rPr>
          <w:color w:val="000000"/>
        </w:rPr>
        <w:t xml:space="preserve">e recommend that </w:t>
      </w:r>
      <w:r w:rsidR="00B960CF">
        <w:rPr>
          <w:color w:val="000000"/>
        </w:rPr>
        <w:t xml:space="preserve">ONR </w:t>
      </w:r>
      <w:r w:rsidR="00B960CF" w:rsidRPr="00DE7F92">
        <w:rPr>
          <w:color w:val="000000"/>
        </w:rPr>
        <w:t xml:space="preserve">should proceed to </w:t>
      </w:r>
      <w:r w:rsidR="00DD42F5">
        <w:rPr>
          <w:color w:val="000000"/>
        </w:rPr>
        <w:t>Step</w:t>
      </w:r>
      <w:r w:rsidR="00B960CF" w:rsidRPr="00DE7F92">
        <w:rPr>
          <w:color w:val="000000"/>
        </w:rPr>
        <w:t xml:space="preserve"> 2 of the GDA </w:t>
      </w:r>
      <w:r w:rsidR="00B960CF">
        <w:rPr>
          <w:color w:val="000000"/>
        </w:rPr>
        <w:t xml:space="preserve">for </w:t>
      </w:r>
      <w:r w:rsidRPr="00DE7F92">
        <w:rPr>
          <w:color w:val="000000"/>
        </w:rPr>
        <w:t>the generic Rolls-Royce SMR design.</w:t>
      </w:r>
    </w:p>
    <w:p w14:paraId="353113EE" w14:textId="77777777" w:rsidR="00B53317" w:rsidRDefault="00B53317">
      <w:pPr>
        <w:pStyle w:val="Heading1"/>
        <w:sectPr w:rsidR="00B53317" w:rsidSect="00B82646">
          <w:headerReference w:type="even" r:id="rId23"/>
          <w:headerReference w:type="default" r:id="rId24"/>
          <w:footerReference w:type="even" r:id="rId25"/>
          <w:footerReference w:type="default" r:id="rId26"/>
          <w:headerReference w:type="first" r:id="rId27"/>
          <w:pgSz w:w="11906" w:h="16838" w:code="9"/>
          <w:pgMar w:top="1440" w:right="1080" w:bottom="1440" w:left="1080" w:header="397" w:footer="397" w:gutter="0"/>
          <w:cols w:space="312"/>
          <w:docGrid w:linePitch="360"/>
        </w:sectPr>
      </w:pPr>
    </w:p>
    <w:p w14:paraId="3E3D25AC" w14:textId="5F35F9CD" w:rsidR="00495CAF" w:rsidRPr="00495CAF" w:rsidRDefault="00495CAF" w:rsidP="00495CAF">
      <w:pPr>
        <w:pStyle w:val="Heading1"/>
        <w:numPr>
          <w:ilvl w:val="0"/>
          <w:numId w:val="0"/>
        </w:numPr>
        <w:ind w:left="851" w:hanging="851"/>
        <w:rPr>
          <w:color w:val="22413A"/>
        </w:rPr>
      </w:pPr>
      <w:bookmarkStart w:id="14" w:name="_Toc119060033"/>
      <w:bookmarkStart w:id="15" w:name="_Toc129080847"/>
      <w:bookmarkStart w:id="16" w:name="_Toc129080937"/>
      <w:bookmarkStart w:id="17" w:name="_Toc129081744"/>
      <w:r w:rsidRPr="00495CAF">
        <w:rPr>
          <w:color w:val="22413A"/>
        </w:rPr>
        <w:lastRenderedPageBreak/>
        <w:t xml:space="preserve">List of </w:t>
      </w:r>
      <w:r w:rsidR="00C55588">
        <w:rPr>
          <w:color w:val="22413A"/>
        </w:rPr>
        <w:t>a</w:t>
      </w:r>
      <w:r w:rsidRPr="00495CAF">
        <w:rPr>
          <w:color w:val="22413A"/>
        </w:rPr>
        <w:t>bbreviations</w:t>
      </w:r>
      <w:bookmarkEnd w:id="14"/>
      <w:bookmarkEnd w:id="15"/>
      <w:bookmarkEnd w:id="16"/>
      <w:bookmarkEnd w:id="17"/>
    </w:p>
    <w:p w14:paraId="5E54F2B2" w14:textId="771EA05F" w:rsidR="00D219C1" w:rsidRDefault="00D219C1" w:rsidP="00D219C1">
      <w:pPr>
        <w:tabs>
          <w:tab w:val="left" w:pos="1440"/>
        </w:tabs>
        <w:spacing w:after="0"/>
      </w:pPr>
      <w:r w:rsidRPr="00D64468">
        <w:t>ALARP</w:t>
      </w:r>
      <w:r w:rsidRPr="00D64468">
        <w:tab/>
        <w:t xml:space="preserve">As low </w:t>
      </w:r>
      <w:r w:rsidR="00132C2F">
        <w:t>A</w:t>
      </w:r>
      <w:r w:rsidR="00132C2F" w:rsidRPr="00D64468">
        <w:t xml:space="preserve">s </w:t>
      </w:r>
      <w:r w:rsidR="00132C2F">
        <w:t>R</w:t>
      </w:r>
      <w:r w:rsidRPr="00D64468">
        <w:t xml:space="preserve">easonably </w:t>
      </w:r>
      <w:r w:rsidR="00132C2F">
        <w:t>P</w:t>
      </w:r>
      <w:r w:rsidRPr="00D64468">
        <w:t xml:space="preserve">racticable </w:t>
      </w:r>
    </w:p>
    <w:p w14:paraId="7BEF86D4" w14:textId="77777777" w:rsidR="00D219C1" w:rsidRPr="00D64468" w:rsidRDefault="00D219C1" w:rsidP="00D219C1">
      <w:pPr>
        <w:tabs>
          <w:tab w:val="left" w:pos="1440"/>
        </w:tabs>
        <w:spacing w:after="0"/>
      </w:pPr>
      <w:r>
        <w:t>ASME</w:t>
      </w:r>
      <w:r w:rsidRPr="00D64468">
        <w:tab/>
      </w:r>
      <w:r>
        <w:t>American Society of Mechanical Engineers</w:t>
      </w:r>
      <w:r w:rsidRPr="00D64468">
        <w:t xml:space="preserve"> </w:t>
      </w:r>
    </w:p>
    <w:p w14:paraId="2F146FFF" w14:textId="77777777" w:rsidR="00D219C1" w:rsidRPr="00D64468" w:rsidRDefault="00D219C1" w:rsidP="00D219C1">
      <w:pPr>
        <w:tabs>
          <w:tab w:val="left" w:pos="1440"/>
        </w:tabs>
        <w:spacing w:after="0"/>
      </w:pPr>
      <w:r>
        <w:t>BAT</w:t>
      </w:r>
      <w:r w:rsidRPr="00D64468">
        <w:tab/>
      </w:r>
      <w:r>
        <w:t>Best Available Technique</w:t>
      </w:r>
      <w:r w:rsidRPr="00D64468">
        <w:t xml:space="preserve"> </w:t>
      </w:r>
    </w:p>
    <w:p w14:paraId="3E196294" w14:textId="77777777" w:rsidR="00D219C1" w:rsidRPr="00D64468" w:rsidRDefault="00D219C1" w:rsidP="00D219C1">
      <w:pPr>
        <w:tabs>
          <w:tab w:val="left" w:pos="1440"/>
        </w:tabs>
        <w:spacing w:after="0"/>
      </w:pPr>
      <w:r>
        <w:t>BEIS</w:t>
      </w:r>
      <w:r w:rsidRPr="00D64468">
        <w:tab/>
      </w:r>
      <w:r>
        <w:t xml:space="preserve">(the department of) Business, </w:t>
      </w:r>
      <w:proofErr w:type="gramStart"/>
      <w:r>
        <w:t>Energy</w:t>
      </w:r>
      <w:proofErr w:type="gramEnd"/>
      <w:r>
        <w:t xml:space="preserve"> and Industrial Strategy</w:t>
      </w:r>
    </w:p>
    <w:p w14:paraId="6EE7928B" w14:textId="77777777" w:rsidR="00D219C1" w:rsidRPr="00D64468" w:rsidRDefault="00D219C1" w:rsidP="00D219C1">
      <w:pPr>
        <w:tabs>
          <w:tab w:val="left" w:pos="1440"/>
        </w:tabs>
        <w:spacing w:after="0"/>
      </w:pPr>
      <w:r>
        <w:t>C&amp;I</w:t>
      </w:r>
      <w:r w:rsidRPr="00D64468">
        <w:tab/>
      </w:r>
      <w:r>
        <w:t>Control and Instrumentation</w:t>
      </w:r>
      <w:r w:rsidRPr="00D64468">
        <w:t xml:space="preserve"> </w:t>
      </w:r>
    </w:p>
    <w:p w14:paraId="44EDC2FA" w14:textId="77777777" w:rsidR="00D219C1" w:rsidRPr="00D64468" w:rsidRDefault="00D219C1" w:rsidP="00D219C1">
      <w:pPr>
        <w:tabs>
          <w:tab w:val="left" w:pos="1440"/>
        </w:tabs>
        <w:spacing w:after="0"/>
      </w:pPr>
      <w:r>
        <w:t>CAE</w:t>
      </w:r>
      <w:r w:rsidRPr="00D64468">
        <w:tab/>
      </w:r>
      <w:r>
        <w:t>Claim, Argument and Evidence</w:t>
      </w:r>
      <w:r w:rsidRPr="00D64468">
        <w:t xml:space="preserve"> </w:t>
      </w:r>
    </w:p>
    <w:p w14:paraId="705DBA9F" w14:textId="77777777" w:rsidR="00D219C1" w:rsidRPr="00D64468" w:rsidRDefault="00D219C1" w:rsidP="00D219C1">
      <w:pPr>
        <w:tabs>
          <w:tab w:val="left" w:pos="1440"/>
        </w:tabs>
        <w:spacing w:after="0"/>
      </w:pPr>
      <w:r>
        <w:t>CDF</w:t>
      </w:r>
      <w:r w:rsidRPr="00D64468">
        <w:tab/>
      </w:r>
      <w:r>
        <w:t>Core Damage Frequency</w:t>
      </w:r>
      <w:r w:rsidRPr="00D64468">
        <w:t xml:space="preserve"> </w:t>
      </w:r>
    </w:p>
    <w:p w14:paraId="56CD62BE" w14:textId="77777777" w:rsidR="00D219C1" w:rsidRPr="00D64468" w:rsidRDefault="00D219C1" w:rsidP="00D219C1">
      <w:pPr>
        <w:tabs>
          <w:tab w:val="left" w:pos="1440"/>
        </w:tabs>
        <w:spacing w:after="0"/>
      </w:pPr>
      <w:r>
        <w:t>CD</w:t>
      </w:r>
      <w:r w:rsidRPr="00D64468">
        <w:t>R</w:t>
      </w:r>
      <w:r w:rsidRPr="00D64468">
        <w:tab/>
      </w:r>
      <w:r>
        <w:t>Critical Definition Review</w:t>
      </w:r>
    </w:p>
    <w:p w14:paraId="2051EBF7" w14:textId="77777777" w:rsidR="00D219C1" w:rsidRPr="00D64468" w:rsidRDefault="00D219C1" w:rsidP="00D219C1">
      <w:pPr>
        <w:tabs>
          <w:tab w:val="left" w:pos="1440"/>
        </w:tabs>
        <w:spacing w:after="0"/>
      </w:pPr>
      <w:r>
        <w:t>CRDM</w:t>
      </w:r>
      <w:r w:rsidRPr="00D64468">
        <w:tab/>
      </w:r>
      <w:r>
        <w:t>Control Rod Drive Mechanism</w:t>
      </w:r>
      <w:r w:rsidRPr="00D64468">
        <w:t xml:space="preserve"> </w:t>
      </w:r>
    </w:p>
    <w:p w14:paraId="01D62D83" w14:textId="77777777" w:rsidR="00D219C1" w:rsidRPr="00D64468" w:rsidRDefault="00D219C1" w:rsidP="00D219C1">
      <w:pPr>
        <w:tabs>
          <w:tab w:val="left" w:pos="1440"/>
        </w:tabs>
        <w:spacing w:after="0"/>
      </w:pPr>
      <w:r>
        <w:t>DAC</w:t>
      </w:r>
      <w:r w:rsidRPr="00D64468">
        <w:tab/>
      </w:r>
      <w:r>
        <w:t>Design Acceptance Confirmation</w:t>
      </w:r>
      <w:r w:rsidRPr="00D64468">
        <w:t xml:space="preserve"> </w:t>
      </w:r>
    </w:p>
    <w:p w14:paraId="109CB8B5" w14:textId="77777777" w:rsidR="00D219C1" w:rsidRPr="00D64468" w:rsidRDefault="00D219C1" w:rsidP="00D219C1">
      <w:pPr>
        <w:tabs>
          <w:tab w:val="left" w:pos="1440"/>
        </w:tabs>
        <w:spacing w:after="0"/>
      </w:pPr>
      <w:r>
        <w:t>D</w:t>
      </w:r>
      <w:r w:rsidRPr="00D64468">
        <w:t>R</w:t>
      </w:r>
      <w:r w:rsidRPr="00D64468">
        <w:tab/>
      </w:r>
      <w:r>
        <w:t>Design Reference</w:t>
      </w:r>
      <w:r w:rsidRPr="00D64468">
        <w:t xml:space="preserve"> </w:t>
      </w:r>
    </w:p>
    <w:p w14:paraId="6766C17C" w14:textId="77777777" w:rsidR="00D219C1" w:rsidRPr="00D64468" w:rsidRDefault="00D219C1" w:rsidP="00D219C1">
      <w:pPr>
        <w:tabs>
          <w:tab w:val="left" w:pos="1440"/>
        </w:tabs>
        <w:spacing w:after="0"/>
      </w:pPr>
      <w:proofErr w:type="spellStart"/>
      <w:r>
        <w:t>DRx</w:t>
      </w:r>
      <w:proofErr w:type="spellEnd"/>
      <w:r w:rsidRPr="00D64468">
        <w:tab/>
      </w:r>
      <w:r>
        <w:t>Definition Review, with x being a sequential number</w:t>
      </w:r>
      <w:r w:rsidRPr="00D64468">
        <w:t xml:space="preserve"> </w:t>
      </w:r>
    </w:p>
    <w:p w14:paraId="6C1998B2" w14:textId="77777777" w:rsidR="00D219C1" w:rsidRPr="00D64468" w:rsidRDefault="00D219C1" w:rsidP="00D219C1">
      <w:pPr>
        <w:tabs>
          <w:tab w:val="left" w:pos="1440"/>
        </w:tabs>
        <w:spacing w:after="0"/>
      </w:pPr>
      <w:r>
        <w:t>D</w:t>
      </w:r>
      <w:r w:rsidRPr="00D64468">
        <w:t>R</w:t>
      </w:r>
      <w:r>
        <w:t>P</w:t>
      </w:r>
      <w:r w:rsidRPr="00D64468">
        <w:tab/>
      </w:r>
      <w:r>
        <w:t>Design Reference Point</w:t>
      </w:r>
      <w:r w:rsidRPr="00D64468">
        <w:t xml:space="preserve"> </w:t>
      </w:r>
    </w:p>
    <w:p w14:paraId="2D03DF06" w14:textId="77777777" w:rsidR="00D219C1" w:rsidRPr="00D64468" w:rsidRDefault="00D219C1" w:rsidP="00D219C1">
      <w:pPr>
        <w:tabs>
          <w:tab w:val="left" w:pos="1440"/>
        </w:tabs>
        <w:spacing w:after="0"/>
      </w:pPr>
      <w:r>
        <w:t>E3S</w:t>
      </w:r>
      <w:r w:rsidRPr="00D64468">
        <w:tab/>
      </w:r>
      <w:r>
        <w:t>Environment, Safety, Security and Safeguards</w:t>
      </w:r>
      <w:r w:rsidRPr="00D64468">
        <w:t xml:space="preserve"> </w:t>
      </w:r>
    </w:p>
    <w:p w14:paraId="088FB47D" w14:textId="77777777" w:rsidR="00D219C1" w:rsidRPr="00D64468" w:rsidRDefault="00D219C1" w:rsidP="00D219C1">
      <w:pPr>
        <w:tabs>
          <w:tab w:val="left" w:pos="1440"/>
        </w:tabs>
        <w:spacing w:after="0"/>
      </w:pPr>
      <w:r>
        <w:t>EBI</w:t>
      </w:r>
      <w:r w:rsidRPr="00D64468">
        <w:tab/>
      </w:r>
      <w:r>
        <w:t>Emergency Boron Injection</w:t>
      </w:r>
      <w:r w:rsidRPr="00D64468">
        <w:t xml:space="preserve"> </w:t>
      </w:r>
    </w:p>
    <w:p w14:paraId="0C0BC195" w14:textId="77777777" w:rsidR="00D219C1" w:rsidRPr="00D64468" w:rsidRDefault="00D219C1" w:rsidP="00D219C1">
      <w:pPr>
        <w:tabs>
          <w:tab w:val="left" w:pos="1440"/>
        </w:tabs>
        <w:spacing w:after="0"/>
      </w:pPr>
      <w:r>
        <w:t>ECCS</w:t>
      </w:r>
      <w:r w:rsidRPr="00D64468">
        <w:tab/>
      </w:r>
      <w:r>
        <w:t>Emergency Core Cooling System</w:t>
      </w:r>
      <w:r w:rsidRPr="00D64468">
        <w:t xml:space="preserve"> </w:t>
      </w:r>
    </w:p>
    <w:p w14:paraId="3A0E1E03" w14:textId="77777777" w:rsidR="00D219C1" w:rsidRPr="00D64468" w:rsidRDefault="00D219C1" w:rsidP="00D219C1">
      <w:pPr>
        <w:tabs>
          <w:tab w:val="left" w:pos="1440"/>
        </w:tabs>
        <w:spacing w:after="0"/>
      </w:pPr>
      <w:r>
        <w:t>EMP</w:t>
      </w:r>
      <w:r w:rsidRPr="00D64468">
        <w:tab/>
      </w:r>
      <w:r>
        <w:t>Engineering Management Plan</w:t>
      </w:r>
      <w:r w:rsidRPr="00D64468">
        <w:t xml:space="preserve"> </w:t>
      </w:r>
    </w:p>
    <w:p w14:paraId="4AA22B5C" w14:textId="77777777" w:rsidR="00D219C1" w:rsidRPr="00D64468" w:rsidRDefault="00D219C1" w:rsidP="00D219C1">
      <w:pPr>
        <w:tabs>
          <w:tab w:val="left" w:pos="1440"/>
        </w:tabs>
        <w:spacing w:after="0"/>
      </w:pPr>
      <w:r>
        <w:t>FCD</w:t>
      </w:r>
      <w:r w:rsidRPr="00D64468">
        <w:tab/>
      </w:r>
      <w:r>
        <w:t>Final Concept Definition</w:t>
      </w:r>
      <w:r w:rsidRPr="00D64468">
        <w:t xml:space="preserve"> </w:t>
      </w:r>
    </w:p>
    <w:p w14:paraId="4A665332" w14:textId="77777777" w:rsidR="00D219C1" w:rsidRPr="00D64468" w:rsidRDefault="00D219C1" w:rsidP="00D219C1">
      <w:pPr>
        <w:tabs>
          <w:tab w:val="left" w:pos="1440"/>
        </w:tabs>
        <w:spacing w:after="0"/>
      </w:pPr>
      <w:r>
        <w:t>GB</w:t>
      </w:r>
      <w:r w:rsidRPr="00D64468">
        <w:tab/>
      </w:r>
      <w:r>
        <w:t>Great Britain</w:t>
      </w:r>
      <w:r w:rsidRPr="00D64468">
        <w:t xml:space="preserve"> </w:t>
      </w:r>
    </w:p>
    <w:p w14:paraId="529278C9" w14:textId="77777777" w:rsidR="00D219C1" w:rsidRPr="00D64468" w:rsidRDefault="00D219C1" w:rsidP="00D219C1">
      <w:pPr>
        <w:tabs>
          <w:tab w:val="left" w:pos="1440"/>
        </w:tabs>
        <w:spacing w:after="0"/>
      </w:pPr>
      <w:r>
        <w:t>GDA</w:t>
      </w:r>
      <w:r w:rsidRPr="00D64468">
        <w:tab/>
      </w:r>
      <w:r>
        <w:t>Generic Design Assessment</w:t>
      </w:r>
      <w:r w:rsidRPr="00D64468">
        <w:t xml:space="preserve"> </w:t>
      </w:r>
    </w:p>
    <w:p w14:paraId="583085C5" w14:textId="77777777" w:rsidR="00D219C1" w:rsidRPr="00D64468" w:rsidRDefault="00D219C1" w:rsidP="00D219C1">
      <w:pPr>
        <w:tabs>
          <w:tab w:val="left" w:pos="1440"/>
        </w:tabs>
        <w:spacing w:after="0"/>
      </w:pPr>
      <w:r>
        <w:t>GSE</w:t>
      </w:r>
      <w:r w:rsidRPr="00D64468">
        <w:tab/>
      </w:r>
      <w:r>
        <w:t>Generic Site Envelope</w:t>
      </w:r>
      <w:r w:rsidRPr="00D64468">
        <w:t xml:space="preserve"> </w:t>
      </w:r>
    </w:p>
    <w:p w14:paraId="5888ACBC" w14:textId="77777777" w:rsidR="00D219C1" w:rsidRPr="00D64468" w:rsidRDefault="00D219C1" w:rsidP="00D219C1">
      <w:pPr>
        <w:tabs>
          <w:tab w:val="left" w:pos="1440"/>
        </w:tabs>
        <w:spacing w:after="0"/>
      </w:pPr>
      <w:r>
        <w:t>GSR</w:t>
      </w:r>
      <w:r w:rsidRPr="00D64468">
        <w:tab/>
      </w:r>
      <w:r>
        <w:t>Generic Security Report</w:t>
      </w:r>
      <w:r w:rsidRPr="00D64468">
        <w:t xml:space="preserve"> </w:t>
      </w:r>
    </w:p>
    <w:p w14:paraId="0E577DCB" w14:textId="77777777" w:rsidR="00D219C1" w:rsidRPr="00D64468" w:rsidRDefault="00D219C1" w:rsidP="00D219C1">
      <w:pPr>
        <w:tabs>
          <w:tab w:val="left" w:pos="1440"/>
        </w:tabs>
        <w:spacing w:after="0"/>
      </w:pPr>
      <w:r>
        <w:t>HPIS</w:t>
      </w:r>
      <w:r w:rsidRPr="00D64468">
        <w:tab/>
      </w:r>
      <w:r>
        <w:t>High Pressure Injection System</w:t>
      </w:r>
      <w:r w:rsidRPr="00D64468">
        <w:t xml:space="preserve"> </w:t>
      </w:r>
    </w:p>
    <w:p w14:paraId="4D8191E3" w14:textId="77777777" w:rsidR="00D219C1" w:rsidRPr="00D64468" w:rsidRDefault="00D219C1" w:rsidP="00D219C1">
      <w:pPr>
        <w:tabs>
          <w:tab w:val="left" w:pos="1440"/>
        </w:tabs>
        <w:spacing w:after="0"/>
      </w:pPr>
      <w:r w:rsidRPr="00D64468">
        <w:t>IAEA</w:t>
      </w:r>
      <w:r w:rsidRPr="00D64468">
        <w:tab/>
        <w:t>The International Atomic Energy Agency</w:t>
      </w:r>
    </w:p>
    <w:p w14:paraId="7EC693B1" w14:textId="77777777" w:rsidR="00D219C1" w:rsidRPr="00D64468" w:rsidRDefault="00D219C1" w:rsidP="00D219C1">
      <w:pPr>
        <w:tabs>
          <w:tab w:val="left" w:pos="1440"/>
        </w:tabs>
        <w:spacing w:after="0"/>
      </w:pPr>
      <w:r>
        <w:t>IMS</w:t>
      </w:r>
      <w:r w:rsidRPr="00D64468">
        <w:tab/>
      </w:r>
      <w:r>
        <w:t>Integrated Management System</w:t>
      </w:r>
      <w:r w:rsidRPr="00D64468">
        <w:t xml:space="preserve"> </w:t>
      </w:r>
    </w:p>
    <w:p w14:paraId="231CF286" w14:textId="77777777" w:rsidR="00D219C1" w:rsidRPr="00D64468" w:rsidRDefault="00D219C1" w:rsidP="00D219C1">
      <w:pPr>
        <w:tabs>
          <w:tab w:val="left" w:pos="1440"/>
        </w:tabs>
        <w:spacing w:after="0"/>
      </w:pPr>
      <w:r>
        <w:t>ISO</w:t>
      </w:r>
      <w:r w:rsidRPr="00D64468">
        <w:tab/>
      </w:r>
      <w:r>
        <w:t>International Organization for Standardization</w:t>
      </w:r>
      <w:r w:rsidRPr="00D64468">
        <w:t xml:space="preserve"> </w:t>
      </w:r>
    </w:p>
    <w:p w14:paraId="2890D706" w14:textId="77777777" w:rsidR="00D219C1" w:rsidRPr="00D64468" w:rsidRDefault="00D219C1" w:rsidP="00D219C1">
      <w:pPr>
        <w:tabs>
          <w:tab w:val="left" w:pos="1440"/>
        </w:tabs>
        <w:spacing w:after="0"/>
      </w:pPr>
      <w:r>
        <w:t>IVR</w:t>
      </w:r>
      <w:r w:rsidRPr="00D64468">
        <w:tab/>
      </w:r>
      <w:r>
        <w:t>In-Vessel Retention</w:t>
      </w:r>
      <w:r w:rsidRPr="00D64468">
        <w:t xml:space="preserve"> </w:t>
      </w:r>
    </w:p>
    <w:p w14:paraId="5795BA93" w14:textId="77777777" w:rsidR="00D219C1" w:rsidRPr="00D64468" w:rsidRDefault="00D219C1" w:rsidP="00D219C1">
      <w:pPr>
        <w:tabs>
          <w:tab w:val="left" w:pos="1440"/>
        </w:tabs>
        <w:spacing w:after="0"/>
      </w:pPr>
      <w:r>
        <w:t>LOCA</w:t>
      </w:r>
      <w:r w:rsidRPr="00D64468">
        <w:tab/>
      </w:r>
      <w:r>
        <w:t>Loss of Coolant Accident</w:t>
      </w:r>
      <w:r w:rsidRPr="00D64468">
        <w:t xml:space="preserve"> </w:t>
      </w:r>
    </w:p>
    <w:p w14:paraId="2623787D" w14:textId="77777777" w:rsidR="00D219C1" w:rsidRPr="00D64468" w:rsidRDefault="00D219C1" w:rsidP="00D219C1">
      <w:pPr>
        <w:tabs>
          <w:tab w:val="left" w:pos="1440"/>
        </w:tabs>
        <w:spacing w:after="0"/>
      </w:pPr>
      <w:r>
        <w:t>LLI</w:t>
      </w:r>
      <w:r w:rsidRPr="00D64468">
        <w:tab/>
      </w:r>
      <w:r>
        <w:t>Long Lead Item</w:t>
      </w:r>
      <w:r w:rsidRPr="00D64468">
        <w:t xml:space="preserve"> </w:t>
      </w:r>
    </w:p>
    <w:p w14:paraId="39D21A25" w14:textId="77777777" w:rsidR="00D219C1" w:rsidRPr="00D64468" w:rsidRDefault="00D219C1" w:rsidP="00D219C1">
      <w:pPr>
        <w:tabs>
          <w:tab w:val="left" w:pos="1440"/>
        </w:tabs>
        <w:spacing w:after="0"/>
      </w:pPr>
      <w:r>
        <w:t>LUHS</w:t>
      </w:r>
      <w:r w:rsidRPr="00D64468">
        <w:tab/>
      </w:r>
      <w:r>
        <w:t>Local Ultimate Heatsink</w:t>
      </w:r>
      <w:r w:rsidRPr="00D64468">
        <w:t xml:space="preserve"> </w:t>
      </w:r>
      <w:r>
        <w:t>System</w:t>
      </w:r>
    </w:p>
    <w:p w14:paraId="4C41C2E6" w14:textId="77777777" w:rsidR="00D219C1" w:rsidRPr="00D64468" w:rsidRDefault="00D219C1" w:rsidP="00D219C1">
      <w:pPr>
        <w:tabs>
          <w:tab w:val="left" w:pos="1440"/>
        </w:tabs>
        <w:spacing w:after="0"/>
      </w:pPr>
      <w:r>
        <w:t>MDSL</w:t>
      </w:r>
      <w:r w:rsidRPr="00D64468">
        <w:tab/>
      </w:r>
      <w:r>
        <w:t>Master Document Submission List</w:t>
      </w:r>
      <w:r w:rsidRPr="00D64468">
        <w:t xml:space="preserve"> </w:t>
      </w:r>
    </w:p>
    <w:p w14:paraId="11DEDA02" w14:textId="77777777" w:rsidR="00D219C1" w:rsidRPr="00D64468" w:rsidRDefault="00D219C1" w:rsidP="00D219C1">
      <w:pPr>
        <w:tabs>
          <w:tab w:val="left" w:pos="1440"/>
        </w:tabs>
        <w:spacing w:after="0"/>
      </w:pPr>
      <w:r>
        <w:t>M</w:t>
      </w:r>
      <w:r w:rsidRPr="00D64468">
        <w:t>R</w:t>
      </w:r>
      <w:r>
        <w:t>I</w:t>
      </w:r>
      <w:r w:rsidRPr="00D64468">
        <w:tab/>
      </w:r>
      <w:r>
        <w:t>Master Records Index</w:t>
      </w:r>
      <w:r w:rsidRPr="00D64468">
        <w:t xml:space="preserve"> </w:t>
      </w:r>
    </w:p>
    <w:p w14:paraId="2D5E3A25" w14:textId="77777777" w:rsidR="00D219C1" w:rsidRPr="00600DFC" w:rsidRDefault="00D219C1" w:rsidP="00D219C1">
      <w:pPr>
        <w:tabs>
          <w:tab w:val="left" w:pos="1440"/>
        </w:tabs>
        <w:spacing w:after="0"/>
      </w:pPr>
      <w:r>
        <w:t>MSQA</w:t>
      </w:r>
      <w:r w:rsidRPr="00600DFC">
        <w:tab/>
      </w:r>
      <w:r>
        <w:t>Management for Safety and Quality Assurance</w:t>
      </w:r>
      <w:r w:rsidRPr="00600DFC">
        <w:t xml:space="preserve"> </w:t>
      </w:r>
    </w:p>
    <w:p w14:paraId="12E978DB" w14:textId="77777777" w:rsidR="00D219C1" w:rsidRPr="00D64468" w:rsidRDefault="00D219C1" w:rsidP="00D219C1">
      <w:pPr>
        <w:tabs>
          <w:tab w:val="left" w:pos="1440"/>
        </w:tabs>
        <w:spacing w:after="0"/>
      </w:pPr>
      <w:r>
        <w:t>NIS</w:t>
      </w:r>
      <w:r w:rsidRPr="00D64468">
        <w:t>R</w:t>
      </w:r>
      <w:r w:rsidRPr="00D64468">
        <w:tab/>
      </w:r>
      <w:r>
        <w:t>Nuclear Industries Security Regulations</w:t>
      </w:r>
      <w:r w:rsidRPr="00D64468">
        <w:t xml:space="preserve"> </w:t>
      </w:r>
    </w:p>
    <w:p w14:paraId="21CE341D" w14:textId="77777777" w:rsidR="00D219C1" w:rsidRPr="00D64468" w:rsidRDefault="00D219C1" w:rsidP="00D219C1">
      <w:pPr>
        <w:tabs>
          <w:tab w:val="left" w:pos="1440"/>
        </w:tabs>
        <w:spacing w:after="0"/>
      </w:pPr>
      <w:r>
        <w:t>NPP</w:t>
      </w:r>
      <w:r w:rsidRPr="00D64468">
        <w:tab/>
      </w:r>
      <w:r>
        <w:t>Nuclear Power Plant</w:t>
      </w:r>
      <w:r w:rsidRPr="00D64468">
        <w:t xml:space="preserve"> </w:t>
      </w:r>
    </w:p>
    <w:p w14:paraId="7EB20C1B" w14:textId="77777777" w:rsidR="00D219C1" w:rsidRPr="00D64468" w:rsidRDefault="00D219C1" w:rsidP="00D219C1">
      <w:pPr>
        <w:tabs>
          <w:tab w:val="left" w:pos="1440"/>
        </w:tabs>
        <w:spacing w:after="0"/>
      </w:pPr>
      <w:r>
        <w:t>NRW</w:t>
      </w:r>
      <w:r w:rsidRPr="00D64468">
        <w:tab/>
      </w:r>
      <w:r>
        <w:t>Natural Resources Wales</w:t>
      </w:r>
      <w:r w:rsidRPr="00D64468">
        <w:t xml:space="preserve"> </w:t>
      </w:r>
    </w:p>
    <w:p w14:paraId="0F876445" w14:textId="77777777" w:rsidR="00D219C1" w:rsidRPr="00D64468" w:rsidRDefault="00D219C1" w:rsidP="00D219C1">
      <w:pPr>
        <w:tabs>
          <w:tab w:val="left" w:pos="1440"/>
        </w:tabs>
        <w:spacing w:after="0"/>
      </w:pPr>
      <w:r w:rsidRPr="00D64468">
        <w:t>ONR</w:t>
      </w:r>
      <w:r w:rsidRPr="00D64468">
        <w:tab/>
        <w:t xml:space="preserve">Office for Nuclear Regulation </w:t>
      </w:r>
    </w:p>
    <w:p w14:paraId="581E534D" w14:textId="77777777" w:rsidR="00D219C1" w:rsidRPr="00D64468" w:rsidRDefault="00D219C1" w:rsidP="00D219C1">
      <w:pPr>
        <w:tabs>
          <w:tab w:val="left" w:pos="1440"/>
        </w:tabs>
        <w:spacing w:after="0"/>
      </w:pPr>
      <w:r>
        <w:t>OPEX</w:t>
      </w:r>
      <w:r w:rsidRPr="00D64468">
        <w:tab/>
      </w:r>
      <w:r>
        <w:t>Operational Experience</w:t>
      </w:r>
      <w:r w:rsidRPr="00D64468">
        <w:t xml:space="preserve"> </w:t>
      </w:r>
    </w:p>
    <w:p w14:paraId="1E6E9F92" w14:textId="77777777" w:rsidR="00D219C1" w:rsidRPr="00D64468" w:rsidRDefault="00D219C1" w:rsidP="00D219C1">
      <w:pPr>
        <w:tabs>
          <w:tab w:val="left" w:pos="1440"/>
        </w:tabs>
        <w:spacing w:after="0"/>
      </w:pPr>
      <w:r>
        <w:t>PCC</w:t>
      </w:r>
      <w:r w:rsidRPr="00D64468">
        <w:tab/>
      </w:r>
      <w:r>
        <w:t>Passive Containment Cooling</w:t>
      </w:r>
      <w:r w:rsidRPr="00D64468">
        <w:t xml:space="preserve"> </w:t>
      </w:r>
    </w:p>
    <w:p w14:paraId="14EC5B6A" w14:textId="77777777" w:rsidR="00D219C1" w:rsidRPr="00D64468" w:rsidRDefault="00D219C1" w:rsidP="00D219C1">
      <w:pPr>
        <w:tabs>
          <w:tab w:val="left" w:pos="1440"/>
        </w:tabs>
        <w:spacing w:after="0"/>
      </w:pPr>
      <w:r>
        <w:t>PCD</w:t>
      </w:r>
      <w:r w:rsidRPr="00D64468">
        <w:tab/>
      </w:r>
      <w:r>
        <w:t>Preliminary Concept Definition</w:t>
      </w:r>
      <w:r w:rsidRPr="00D64468">
        <w:t xml:space="preserve"> </w:t>
      </w:r>
    </w:p>
    <w:p w14:paraId="4A7BADE6" w14:textId="77777777" w:rsidR="00D219C1" w:rsidRPr="00D64468" w:rsidRDefault="00D219C1" w:rsidP="00D219C1">
      <w:pPr>
        <w:tabs>
          <w:tab w:val="left" w:pos="1440"/>
        </w:tabs>
        <w:spacing w:after="0"/>
      </w:pPr>
      <w:r w:rsidRPr="00D64468">
        <w:t>PCSR</w:t>
      </w:r>
      <w:r w:rsidRPr="00D64468">
        <w:tab/>
        <w:t>Pre-construction Safety Report</w:t>
      </w:r>
    </w:p>
    <w:p w14:paraId="05CB39D5" w14:textId="77777777" w:rsidR="00D219C1" w:rsidRPr="00D64468" w:rsidRDefault="00D219C1" w:rsidP="00D219C1">
      <w:pPr>
        <w:tabs>
          <w:tab w:val="left" w:pos="1440"/>
        </w:tabs>
        <w:spacing w:after="0"/>
      </w:pPr>
      <w:r>
        <w:t>PDHR</w:t>
      </w:r>
      <w:r w:rsidRPr="00D64468">
        <w:tab/>
      </w:r>
      <w:r>
        <w:t>Passive Decay Heat Removal</w:t>
      </w:r>
    </w:p>
    <w:p w14:paraId="60765BB8" w14:textId="77777777" w:rsidR="00D219C1" w:rsidRPr="00D64468" w:rsidRDefault="00D219C1" w:rsidP="00D219C1">
      <w:pPr>
        <w:tabs>
          <w:tab w:val="left" w:pos="1440"/>
        </w:tabs>
        <w:spacing w:after="0"/>
      </w:pPr>
      <w:r w:rsidRPr="00D64468">
        <w:t>PSA</w:t>
      </w:r>
      <w:r w:rsidRPr="00D64468">
        <w:tab/>
        <w:t>Probabilistic Safety Analysis</w:t>
      </w:r>
    </w:p>
    <w:p w14:paraId="37A99CA7" w14:textId="77777777" w:rsidR="00D219C1" w:rsidRPr="00D64468" w:rsidRDefault="00D219C1" w:rsidP="00D219C1">
      <w:pPr>
        <w:tabs>
          <w:tab w:val="left" w:pos="1440"/>
        </w:tabs>
        <w:spacing w:after="0"/>
      </w:pPr>
      <w:r w:rsidRPr="00D64468">
        <w:t>PSR</w:t>
      </w:r>
      <w:r w:rsidRPr="00D64468">
        <w:tab/>
        <w:t>Preliminary Safety Report</w:t>
      </w:r>
    </w:p>
    <w:p w14:paraId="00EB8159" w14:textId="77777777" w:rsidR="00D219C1" w:rsidRPr="00D64468" w:rsidRDefault="00D219C1" w:rsidP="00D219C1">
      <w:pPr>
        <w:tabs>
          <w:tab w:val="left" w:pos="1440"/>
        </w:tabs>
        <w:spacing w:after="0"/>
      </w:pPr>
      <w:proofErr w:type="spellStart"/>
      <w:r>
        <w:t>PSy</w:t>
      </w:r>
      <w:r w:rsidRPr="00D64468">
        <w:t>R</w:t>
      </w:r>
      <w:proofErr w:type="spellEnd"/>
      <w:r w:rsidRPr="00D64468">
        <w:tab/>
      </w:r>
      <w:r>
        <w:t>Preliminary Security Report</w:t>
      </w:r>
      <w:r w:rsidRPr="00D64468">
        <w:t xml:space="preserve"> </w:t>
      </w:r>
    </w:p>
    <w:p w14:paraId="65CDDC2A" w14:textId="77777777" w:rsidR="00D219C1" w:rsidRPr="00D64468" w:rsidRDefault="00D219C1" w:rsidP="00D219C1">
      <w:pPr>
        <w:tabs>
          <w:tab w:val="left" w:pos="1440"/>
        </w:tabs>
        <w:spacing w:after="0"/>
      </w:pPr>
      <w:r>
        <w:lastRenderedPageBreak/>
        <w:t>PWR</w:t>
      </w:r>
      <w:r w:rsidRPr="00D64468">
        <w:tab/>
      </w:r>
      <w:r>
        <w:t>Pressurised Water Reactor</w:t>
      </w:r>
      <w:r w:rsidRPr="00D64468">
        <w:t xml:space="preserve"> </w:t>
      </w:r>
    </w:p>
    <w:p w14:paraId="2584373D" w14:textId="77777777" w:rsidR="00D219C1" w:rsidRPr="00D64468" w:rsidRDefault="00D219C1" w:rsidP="00D219C1">
      <w:pPr>
        <w:tabs>
          <w:tab w:val="left" w:pos="1440"/>
        </w:tabs>
        <w:spacing w:after="0"/>
      </w:pPr>
      <w:r>
        <w:t>RCS</w:t>
      </w:r>
      <w:r w:rsidRPr="00D64468">
        <w:tab/>
      </w:r>
      <w:r>
        <w:t>Reactor Coolant System</w:t>
      </w:r>
      <w:r w:rsidRPr="00D64468">
        <w:t xml:space="preserve"> </w:t>
      </w:r>
    </w:p>
    <w:p w14:paraId="5C47E764" w14:textId="77777777" w:rsidR="00D219C1" w:rsidRPr="00D64468" w:rsidRDefault="00D219C1" w:rsidP="00D219C1">
      <w:pPr>
        <w:tabs>
          <w:tab w:val="left" w:pos="1440"/>
        </w:tabs>
        <w:spacing w:after="0"/>
      </w:pPr>
      <w:r w:rsidRPr="00D64468">
        <w:t>RGP</w:t>
      </w:r>
      <w:r w:rsidRPr="00D64468">
        <w:tab/>
        <w:t>Relevant Good Practice</w:t>
      </w:r>
    </w:p>
    <w:p w14:paraId="4D84C510" w14:textId="77777777" w:rsidR="00D219C1" w:rsidRPr="00D64468" w:rsidRDefault="00D219C1" w:rsidP="00D219C1">
      <w:pPr>
        <w:tabs>
          <w:tab w:val="left" w:pos="1440"/>
        </w:tabs>
        <w:spacing w:after="0"/>
      </w:pPr>
      <w:r>
        <w:t>RI</w:t>
      </w:r>
      <w:r w:rsidRPr="00D64468">
        <w:tab/>
      </w:r>
      <w:r>
        <w:t>Regulatory Issue</w:t>
      </w:r>
    </w:p>
    <w:p w14:paraId="7988D991" w14:textId="77777777" w:rsidR="00D219C1" w:rsidRPr="00D64468" w:rsidRDefault="00D219C1" w:rsidP="00D219C1">
      <w:pPr>
        <w:tabs>
          <w:tab w:val="left" w:pos="1440"/>
        </w:tabs>
        <w:spacing w:after="0"/>
      </w:pPr>
      <w:r>
        <w:t>RO</w:t>
      </w:r>
      <w:r w:rsidRPr="00D64468">
        <w:tab/>
      </w:r>
      <w:r>
        <w:t>Regulatory Observation</w:t>
      </w:r>
      <w:r w:rsidRPr="00D64468">
        <w:t xml:space="preserve"> </w:t>
      </w:r>
    </w:p>
    <w:p w14:paraId="120F78F4" w14:textId="77777777" w:rsidR="00D219C1" w:rsidRPr="00D64468" w:rsidRDefault="00D219C1" w:rsidP="00D219C1">
      <w:pPr>
        <w:tabs>
          <w:tab w:val="left" w:pos="1440"/>
        </w:tabs>
        <w:spacing w:after="0"/>
      </w:pPr>
      <w:r>
        <w:t>RP</w:t>
      </w:r>
      <w:r w:rsidRPr="00D64468">
        <w:tab/>
      </w:r>
      <w:r>
        <w:t>Requesting Party</w:t>
      </w:r>
      <w:r w:rsidRPr="00D64468">
        <w:t xml:space="preserve"> </w:t>
      </w:r>
    </w:p>
    <w:p w14:paraId="769FE40E" w14:textId="77777777" w:rsidR="00D219C1" w:rsidRPr="00D64468" w:rsidRDefault="00D219C1" w:rsidP="00D219C1">
      <w:pPr>
        <w:tabs>
          <w:tab w:val="left" w:pos="1440"/>
        </w:tabs>
        <w:spacing w:after="0"/>
      </w:pPr>
      <w:r>
        <w:t>RPV</w:t>
      </w:r>
      <w:r w:rsidRPr="00D64468">
        <w:tab/>
      </w:r>
      <w:r>
        <w:t>Reactor Pressure Vessel</w:t>
      </w:r>
      <w:r w:rsidRPr="00D64468">
        <w:t xml:space="preserve"> </w:t>
      </w:r>
    </w:p>
    <w:p w14:paraId="6EFCEEDC" w14:textId="77777777" w:rsidR="00D219C1" w:rsidRPr="00D64468" w:rsidRDefault="00D219C1" w:rsidP="00D219C1">
      <w:pPr>
        <w:tabs>
          <w:tab w:val="left" w:pos="1440"/>
        </w:tabs>
        <w:spacing w:after="0"/>
      </w:pPr>
      <w:r>
        <w:t>RVCIS</w:t>
      </w:r>
      <w:r w:rsidRPr="00D64468">
        <w:tab/>
      </w:r>
      <w:r>
        <w:t>Reactor Vessel Cavity Injection System</w:t>
      </w:r>
      <w:r w:rsidRPr="00D64468">
        <w:t xml:space="preserve"> </w:t>
      </w:r>
    </w:p>
    <w:p w14:paraId="78645ED6" w14:textId="77777777" w:rsidR="00D219C1" w:rsidRPr="00D64468" w:rsidRDefault="00D219C1" w:rsidP="00D219C1">
      <w:pPr>
        <w:tabs>
          <w:tab w:val="left" w:pos="1440"/>
        </w:tabs>
        <w:spacing w:after="0"/>
      </w:pPr>
      <w:r>
        <w:t>RQ</w:t>
      </w:r>
      <w:r w:rsidRPr="00D64468">
        <w:tab/>
      </w:r>
      <w:r>
        <w:t>Regulatory Query</w:t>
      </w:r>
      <w:r w:rsidRPr="00D64468">
        <w:t xml:space="preserve"> </w:t>
      </w:r>
    </w:p>
    <w:p w14:paraId="3D972DC1" w14:textId="77777777" w:rsidR="00D219C1" w:rsidRPr="00D64468" w:rsidRDefault="00D219C1" w:rsidP="00D219C1">
      <w:pPr>
        <w:tabs>
          <w:tab w:val="left" w:pos="1440"/>
        </w:tabs>
        <w:spacing w:after="0"/>
      </w:pPr>
      <w:r w:rsidRPr="00D64468">
        <w:t>SAP</w:t>
      </w:r>
      <w:r w:rsidRPr="00D64468">
        <w:tab/>
        <w:t xml:space="preserve">Safety Assessment Principle(s) </w:t>
      </w:r>
    </w:p>
    <w:p w14:paraId="6BC3223F" w14:textId="77777777" w:rsidR="00D219C1" w:rsidRPr="00D64468" w:rsidRDefault="00D219C1" w:rsidP="00D219C1">
      <w:pPr>
        <w:tabs>
          <w:tab w:val="left" w:pos="1440"/>
        </w:tabs>
        <w:spacing w:after="0"/>
      </w:pPr>
      <w:proofErr w:type="spellStart"/>
      <w:r>
        <w:t>SbD</w:t>
      </w:r>
      <w:proofErr w:type="spellEnd"/>
      <w:r w:rsidRPr="00D64468">
        <w:tab/>
      </w:r>
      <w:r>
        <w:t>Secure by Design</w:t>
      </w:r>
      <w:r w:rsidRPr="00D64468">
        <w:t xml:space="preserve"> </w:t>
      </w:r>
    </w:p>
    <w:p w14:paraId="3805C29F" w14:textId="77777777" w:rsidR="00D219C1" w:rsidRPr="00D64468" w:rsidRDefault="00D219C1" w:rsidP="00D219C1">
      <w:pPr>
        <w:tabs>
          <w:tab w:val="left" w:pos="1440"/>
        </w:tabs>
        <w:spacing w:after="0"/>
      </w:pPr>
      <w:r>
        <w:t>SG</w:t>
      </w:r>
      <w:r w:rsidRPr="00D64468">
        <w:tab/>
      </w:r>
      <w:r>
        <w:t>Steam Generator</w:t>
      </w:r>
      <w:r w:rsidRPr="00D64468">
        <w:t xml:space="preserve"> </w:t>
      </w:r>
    </w:p>
    <w:p w14:paraId="500831CA" w14:textId="77777777" w:rsidR="00D219C1" w:rsidRPr="00D64468" w:rsidRDefault="00D219C1" w:rsidP="00D219C1">
      <w:pPr>
        <w:tabs>
          <w:tab w:val="left" w:pos="1440"/>
        </w:tabs>
        <w:spacing w:after="0"/>
      </w:pPr>
      <w:r>
        <w:t>SMR</w:t>
      </w:r>
      <w:r w:rsidRPr="00D64468">
        <w:tab/>
      </w:r>
      <w:r>
        <w:t>Small Modular Reactor</w:t>
      </w:r>
      <w:r w:rsidRPr="00D64468">
        <w:t xml:space="preserve"> </w:t>
      </w:r>
    </w:p>
    <w:p w14:paraId="656AFF07" w14:textId="77777777" w:rsidR="00D219C1" w:rsidRPr="00D64468" w:rsidRDefault="00D219C1" w:rsidP="00D219C1">
      <w:pPr>
        <w:tabs>
          <w:tab w:val="left" w:pos="1440"/>
        </w:tabs>
        <w:spacing w:after="0"/>
      </w:pPr>
      <w:r>
        <w:t>SNI</w:t>
      </w:r>
      <w:r w:rsidRPr="00D64468">
        <w:tab/>
      </w:r>
      <w:r>
        <w:t>Sensitive Nuclear Information</w:t>
      </w:r>
      <w:r w:rsidRPr="00D64468">
        <w:t xml:space="preserve"> </w:t>
      </w:r>
    </w:p>
    <w:p w14:paraId="54C697EB" w14:textId="77777777" w:rsidR="00D219C1" w:rsidRPr="00D64468" w:rsidRDefault="00D219C1" w:rsidP="00D219C1">
      <w:pPr>
        <w:tabs>
          <w:tab w:val="left" w:pos="1440"/>
        </w:tabs>
        <w:spacing w:after="0"/>
      </w:pPr>
      <w:r w:rsidRPr="00D64468">
        <w:t>SSC</w:t>
      </w:r>
      <w:r w:rsidRPr="00D64468">
        <w:tab/>
        <w:t>Structure, System and Component</w:t>
      </w:r>
    </w:p>
    <w:p w14:paraId="61BEED2F" w14:textId="77777777" w:rsidR="00D219C1" w:rsidRPr="009F44C0" w:rsidRDefault="00D219C1" w:rsidP="00D219C1">
      <w:pPr>
        <w:tabs>
          <w:tab w:val="left" w:pos="1440"/>
        </w:tabs>
        <w:spacing w:after="0"/>
      </w:pPr>
      <w:r w:rsidRPr="00D64468">
        <w:t>TAG</w:t>
      </w:r>
      <w:r w:rsidRPr="00D64468">
        <w:tab/>
        <w:t>Technical Assessment Guide (ONR)</w:t>
      </w:r>
    </w:p>
    <w:p w14:paraId="5F5A3437" w14:textId="657A88A6" w:rsidR="00D219C1" w:rsidRPr="009F44C0" w:rsidRDefault="00D219C1" w:rsidP="00D219C1">
      <w:pPr>
        <w:tabs>
          <w:tab w:val="left" w:pos="1440"/>
        </w:tabs>
        <w:spacing w:after="0"/>
      </w:pPr>
      <w:r>
        <w:t>UK</w:t>
      </w:r>
      <w:r w:rsidRPr="00D64468">
        <w:tab/>
      </w:r>
      <w:r>
        <w:t>United Kingdom</w:t>
      </w:r>
    </w:p>
    <w:p w14:paraId="1838E7C0" w14:textId="6C49E1CF" w:rsidR="00CD554B" w:rsidRPr="009F44C0" w:rsidRDefault="00CD554B" w:rsidP="00CD554B">
      <w:pPr>
        <w:tabs>
          <w:tab w:val="left" w:pos="1440"/>
        </w:tabs>
        <w:spacing w:after="0"/>
      </w:pPr>
      <w:r>
        <w:t>WENRA</w:t>
      </w:r>
      <w:r w:rsidRPr="00D64468">
        <w:tab/>
      </w:r>
      <w:r>
        <w:t>Western European Nuclear Regulators Association</w:t>
      </w:r>
    </w:p>
    <w:p w14:paraId="00BD78C6" w14:textId="231FE63E" w:rsidR="00A110C1" w:rsidRDefault="00A110C1" w:rsidP="0087685C">
      <w:pPr>
        <w:contextualSpacing/>
        <w:sectPr w:rsidR="00A110C1" w:rsidSect="00B82646">
          <w:pgSz w:w="11906" w:h="16838" w:code="9"/>
          <w:pgMar w:top="1440" w:right="1080" w:bottom="1440" w:left="1080" w:header="397" w:footer="397" w:gutter="0"/>
          <w:cols w:space="312"/>
          <w:docGrid w:linePitch="360"/>
        </w:sectPr>
      </w:pPr>
    </w:p>
    <w:bookmarkEnd w:id="5"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4C0961A0" w:rsidR="00F8500A" w:rsidRPr="00C86D4A" w:rsidRDefault="00F8500A" w:rsidP="00410423">
          <w:pPr>
            <w:pStyle w:val="TOCHeading"/>
            <w:rPr>
              <w:rFonts w:ascii="Arial" w:eastAsia="Calibri" w:hAnsi="Arial" w:cs="Arial"/>
              <w:color w:val="22413A"/>
              <w:sz w:val="48"/>
              <w:szCs w:val="22"/>
              <w:lang w:val="en-GB" w:bidi="he-IL"/>
            </w:rPr>
          </w:pPr>
          <w:r w:rsidRPr="00C86D4A">
            <w:rPr>
              <w:rFonts w:ascii="Arial" w:eastAsia="Calibri" w:hAnsi="Arial" w:cs="Arial"/>
              <w:color w:val="22413A"/>
              <w:sz w:val="48"/>
              <w:szCs w:val="22"/>
              <w:lang w:val="en-GB" w:bidi="he-IL"/>
            </w:rPr>
            <w:t>Contents</w:t>
          </w:r>
        </w:p>
        <w:p w14:paraId="399FBF7E" w14:textId="34485B34" w:rsidR="00500025" w:rsidRDefault="00F8500A" w:rsidP="00500025">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p>
        <w:p w14:paraId="40821639" w14:textId="184B298B" w:rsidR="00500025" w:rsidRDefault="00EC5FA4">
          <w:pPr>
            <w:pStyle w:val="TOC1"/>
            <w:tabs>
              <w:tab w:val="left" w:pos="720"/>
            </w:tabs>
            <w:rPr>
              <w:rFonts w:asciiTheme="minorHAnsi" w:eastAsiaTheme="minorEastAsia" w:hAnsiTheme="minorHAnsi" w:cstheme="minorBidi"/>
              <w:sz w:val="22"/>
              <w:lang w:eastAsia="en-GB" w:bidi="ar-SA"/>
            </w:rPr>
          </w:pPr>
          <w:hyperlink w:anchor="_Toc129081745" w:history="1">
            <w:r w:rsidR="00500025" w:rsidRPr="00AF7C36">
              <w:rPr>
                <w:rStyle w:val="Hyperlink"/>
              </w:rPr>
              <w:t>1.</w:t>
            </w:r>
            <w:r w:rsidR="00500025">
              <w:rPr>
                <w:rFonts w:asciiTheme="minorHAnsi" w:eastAsiaTheme="minorEastAsia" w:hAnsiTheme="minorHAnsi" w:cstheme="minorBidi"/>
                <w:sz w:val="22"/>
                <w:lang w:eastAsia="en-GB" w:bidi="ar-SA"/>
              </w:rPr>
              <w:tab/>
            </w:r>
            <w:r w:rsidR="00500025" w:rsidRPr="00AF7C36">
              <w:rPr>
                <w:rStyle w:val="Hyperlink"/>
              </w:rPr>
              <w:t>Purpose</w:t>
            </w:r>
            <w:r w:rsidR="00500025">
              <w:rPr>
                <w:webHidden/>
              </w:rPr>
              <w:tab/>
            </w:r>
            <w:r w:rsidR="00500025">
              <w:rPr>
                <w:webHidden/>
              </w:rPr>
              <w:fldChar w:fldCharType="begin"/>
            </w:r>
            <w:r w:rsidR="00500025">
              <w:rPr>
                <w:webHidden/>
              </w:rPr>
              <w:instrText xml:space="preserve"> PAGEREF _Toc129081745 \h </w:instrText>
            </w:r>
            <w:r w:rsidR="00500025">
              <w:rPr>
                <w:webHidden/>
              </w:rPr>
            </w:r>
            <w:r w:rsidR="00500025">
              <w:rPr>
                <w:webHidden/>
              </w:rPr>
              <w:fldChar w:fldCharType="separate"/>
            </w:r>
            <w:r>
              <w:rPr>
                <w:webHidden/>
              </w:rPr>
              <w:t>10</w:t>
            </w:r>
            <w:r w:rsidR="00500025">
              <w:rPr>
                <w:webHidden/>
              </w:rPr>
              <w:fldChar w:fldCharType="end"/>
            </w:r>
          </w:hyperlink>
        </w:p>
        <w:p w14:paraId="599B4D31" w14:textId="57F3C89E" w:rsidR="00500025" w:rsidRDefault="00EC5FA4">
          <w:pPr>
            <w:pStyle w:val="TOC1"/>
            <w:tabs>
              <w:tab w:val="left" w:pos="720"/>
            </w:tabs>
            <w:rPr>
              <w:rFonts w:asciiTheme="minorHAnsi" w:eastAsiaTheme="minorEastAsia" w:hAnsiTheme="minorHAnsi" w:cstheme="minorBidi"/>
              <w:sz w:val="22"/>
              <w:lang w:eastAsia="en-GB" w:bidi="ar-SA"/>
            </w:rPr>
          </w:pPr>
          <w:hyperlink w:anchor="_Toc129081746" w:history="1">
            <w:r w:rsidR="00500025" w:rsidRPr="00AF7C36">
              <w:rPr>
                <w:rStyle w:val="Hyperlink"/>
              </w:rPr>
              <w:t>2.</w:t>
            </w:r>
            <w:r w:rsidR="00500025">
              <w:rPr>
                <w:rFonts w:asciiTheme="minorHAnsi" w:eastAsiaTheme="minorEastAsia" w:hAnsiTheme="minorHAnsi" w:cstheme="minorBidi"/>
                <w:sz w:val="22"/>
                <w:lang w:eastAsia="en-GB" w:bidi="ar-SA"/>
              </w:rPr>
              <w:tab/>
            </w:r>
            <w:r w:rsidR="00500025" w:rsidRPr="00AF7C36">
              <w:rPr>
                <w:rStyle w:val="Hyperlink"/>
              </w:rPr>
              <w:t>Background</w:t>
            </w:r>
            <w:r w:rsidR="00500025">
              <w:rPr>
                <w:webHidden/>
              </w:rPr>
              <w:tab/>
            </w:r>
            <w:r w:rsidR="00500025">
              <w:rPr>
                <w:webHidden/>
              </w:rPr>
              <w:fldChar w:fldCharType="begin"/>
            </w:r>
            <w:r w:rsidR="00500025">
              <w:rPr>
                <w:webHidden/>
              </w:rPr>
              <w:instrText xml:space="preserve"> PAGEREF _Toc129081746 \h </w:instrText>
            </w:r>
            <w:r w:rsidR="00500025">
              <w:rPr>
                <w:webHidden/>
              </w:rPr>
            </w:r>
            <w:r w:rsidR="00500025">
              <w:rPr>
                <w:webHidden/>
              </w:rPr>
              <w:fldChar w:fldCharType="separate"/>
            </w:r>
            <w:r>
              <w:rPr>
                <w:webHidden/>
              </w:rPr>
              <w:t>11</w:t>
            </w:r>
            <w:r w:rsidR="00500025">
              <w:rPr>
                <w:webHidden/>
              </w:rPr>
              <w:fldChar w:fldCharType="end"/>
            </w:r>
          </w:hyperlink>
        </w:p>
        <w:p w14:paraId="25C06504" w14:textId="2B13FBE5" w:rsidR="00500025" w:rsidRDefault="00EC5FA4">
          <w:pPr>
            <w:pStyle w:val="TOC1"/>
            <w:tabs>
              <w:tab w:val="left" w:pos="720"/>
            </w:tabs>
            <w:rPr>
              <w:rFonts w:asciiTheme="minorHAnsi" w:eastAsiaTheme="minorEastAsia" w:hAnsiTheme="minorHAnsi" w:cstheme="minorBidi"/>
              <w:sz w:val="22"/>
              <w:lang w:eastAsia="en-GB" w:bidi="ar-SA"/>
            </w:rPr>
          </w:pPr>
          <w:hyperlink w:anchor="_Toc129081775" w:history="1">
            <w:r w:rsidR="00500025" w:rsidRPr="00AF7C36">
              <w:rPr>
                <w:rStyle w:val="Hyperlink"/>
              </w:rPr>
              <w:t>3.</w:t>
            </w:r>
            <w:r w:rsidR="00500025">
              <w:rPr>
                <w:rFonts w:asciiTheme="minorHAnsi" w:eastAsiaTheme="minorEastAsia" w:hAnsiTheme="minorHAnsi" w:cstheme="minorBidi"/>
                <w:sz w:val="22"/>
                <w:lang w:eastAsia="en-GB" w:bidi="ar-SA"/>
              </w:rPr>
              <w:tab/>
            </w:r>
            <w:r w:rsidR="00500025" w:rsidRPr="00AF7C36">
              <w:rPr>
                <w:rStyle w:val="Hyperlink"/>
              </w:rPr>
              <w:t>Work carried out by ONR in consideration of this request</w:t>
            </w:r>
            <w:r w:rsidR="00500025">
              <w:rPr>
                <w:webHidden/>
              </w:rPr>
              <w:tab/>
            </w:r>
            <w:r w:rsidR="00500025">
              <w:rPr>
                <w:webHidden/>
              </w:rPr>
              <w:fldChar w:fldCharType="begin"/>
            </w:r>
            <w:r w:rsidR="00500025">
              <w:rPr>
                <w:webHidden/>
              </w:rPr>
              <w:instrText xml:space="preserve"> PAGEREF _Toc129081775 \h </w:instrText>
            </w:r>
            <w:r w:rsidR="00500025">
              <w:rPr>
                <w:webHidden/>
              </w:rPr>
            </w:r>
            <w:r w:rsidR="00500025">
              <w:rPr>
                <w:webHidden/>
              </w:rPr>
              <w:fldChar w:fldCharType="separate"/>
            </w:r>
            <w:r>
              <w:rPr>
                <w:webHidden/>
              </w:rPr>
              <w:t>27</w:t>
            </w:r>
            <w:r w:rsidR="00500025">
              <w:rPr>
                <w:webHidden/>
              </w:rPr>
              <w:fldChar w:fldCharType="end"/>
            </w:r>
          </w:hyperlink>
        </w:p>
        <w:p w14:paraId="2E9AA970" w14:textId="0E7493BB" w:rsidR="00500025" w:rsidRDefault="00EC5FA4">
          <w:pPr>
            <w:pStyle w:val="TOC1"/>
            <w:tabs>
              <w:tab w:val="left" w:pos="720"/>
            </w:tabs>
            <w:rPr>
              <w:rFonts w:asciiTheme="minorHAnsi" w:eastAsiaTheme="minorEastAsia" w:hAnsiTheme="minorHAnsi" w:cstheme="minorBidi"/>
              <w:sz w:val="22"/>
              <w:lang w:eastAsia="en-GB" w:bidi="ar-SA"/>
            </w:rPr>
          </w:pPr>
          <w:hyperlink w:anchor="_Toc129081782" w:history="1">
            <w:r w:rsidR="00500025" w:rsidRPr="00AF7C36">
              <w:rPr>
                <w:rStyle w:val="Hyperlink"/>
              </w:rPr>
              <w:t>4.</w:t>
            </w:r>
            <w:r w:rsidR="00500025">
              <w:rPr>
                <w:rFonts w:asciiTheme="minorHAnsi" w:eastAsiaTheme="minorEastAsia" w:hAnsiTheme="minorHAnsi" w:cstheme="minorBidi"/>
                <w:sz w:val="22"/>
                <w:lang w:eastAsia="en-GB" w:bidi="ar-SA"/>
              </w:rPr>
              <w:tab/>
            </w:r>
            <w:r w:rsidR="00500025" w:rsidRPr="00AF7C36">
              <w:rPr>
                <w:rStyle w:val="Hyperlink"/>
              </w:rPr>
              <w:t>Matters arising from ONRs work</w:t>
            </w:r>
            <w:r w:rsidR="00500025">
              <w:rPr>
                <w:webHidden/>
              </w:rPr>
              <w:tab/>
            </w:r>
            <w:r w:rsidR="00500025">
              <w:rPr>
                <w:webHidden/>
              </w:rPr>
              <w:fldChar w:fldCharType="begin"/>
            </w:r>
            <w:r w:rsidR="00500025">
              <w:rPr>
                <w:webHidden/>
              </w:rPr>
              <w:instrText xml:space="preserve"> PAGEREF _Toc129081782 \h </w:instrText>
            </w:r>
            <w:r w:rsidR="00500025">
              <w:rPr>
                <w:webHidden/>
              </w:rPr>
            </w:r>
            <w:r w:rsidR="00500025">
              <w:rPr>
                <w:webHidden/>
              </w:rPr>
              <w:fldChar w:fldCharType="separate"/>
            </w:r>
            <w:r>
              <w:rPr>
                <w:webHidden/>
              </w:rPr>
              <w:t>30</w:t>
            </w:r>
            <w:r w:rsidR="00500025">
              <w:rPr>
                <w:webHidden/>
              </w:rPr>
              <w:fldChar w:fldCharType="end"/>
            </w:r>
          </w:hyperlink>
        </w:p>
        <w:p w14:paraId="5A273A5E" w14:textId="4504202C" w:rsidR="00500025" w:rsidRDefault="00EC5FA4">
          <w:pPr>
            <w:pStyle w:val="TOC1"/>
            <w:tabs>
              <w:tab w:val="left" w:pos="720"/>
            </w:tabs>
            <w:rPr>
              <w:rFonts w:asciiTheme="minorHAnsi" w:eastAsiaTheme="minorEastAsia" w:hAnsiTheme="minorHAnsi" w:cstheme="minorBidi"/>
              <w:sz w:val="22"/>
              <w:lang w:eastAsia="en-GB" w:bidi="ar-SA"/>
            </w:rPr>
          </w:pPr>
          <w:hyperlink w:anchor="_Toc129081819" w:history="1">
            <w:r w:rsidR="00500025" w:rsidRPr="00AF7C36">
              <w:rPr>
                <w:rStyle w:val="Hyperlink"/>
              </w:rPr>
              <w:t>5.</w:t>
            </w:r>
            <w:r w:rsidR="00500025">
              <w:rPr>
                <w:rFonts w:asciiTheme="minorHAnsi" w:eastAsiaTheme="minorEastAsia" w:hAnsiTheme="minorHAnsi" w:cstheme="minorBidi"/>
                <w:sz w:val="22"/>
                <w:lang w:eastAsia="en-GB" w:bidi="ar-SA"/>
              </w:rPr>
              <w:tab/>
            </w:r>
            <w:r w:rsidR="00500025" w:rsidRPr="00AF7C36">
              <w:rPr>
                <w:rStyle w:val="Hyperlink"/>
              </w:rPr>
              <w:t>Conclusions</w:t>
            </w:r>
            <w:r w:rsidR="00500025">
              <w:rPr>
                <w:webHidden/>
              </w:rPr>
              <w:tab/>
            </w:r>
            <w:r w:rsidR="00500025">
              <w:rPr>
                <w:webHidden/>
              </w:rPr>
              <w:fldChar w:fldCharType="begin"/>
            </w:r>
            <w:r w:rsidR="00500025">
              <w:rPr>
                <w:webHidden/>
              </w:rPr>
              <w:instrText xml:space="preserve"> PAGEREF _Toc129081819 \h </w:instrText>
            </w:r>
            <w:r w:rsidR="00500025">
              <w:rPr>
                <w:webHidden/>
              </w:rPr>
            </w:r>
            <w:r w:rsidR="00500025">
              <w:rPr>
                <w:webHidden/>
              </w:rPr>
              <w:fldChar w:fldCharType="separate"/>
            </w:r>
            <w:r>
              <w:rPr>
                <w:webHidden/>
              </w:rPr>
              <w:t>51</w:t>
            </w:r>
            <w:r w:rsidR="00500025">
              <w:rPr>
                <w:webHidden/>
              </w:rPr>
              <w:fldChar w:fldCharType="end"/>
            </w:r>
          </w:hyperlink>
        </w:p>
        <w:p w14:paraId="2DF71492" w14:textId="3DD9E8B5" w:rsidR="00500025" w:rsidRDefault="00EC5FA4">
          <w:pPr>
            <w:pStyle w:val="TOC1"/>
            <w:tabs>
              <w:tab w:val="left" w:pos="720"/>
            </w:tabs>
            <w:rPr>
              <w:rFonts w:asciiTheme="minorHAnsi" w:eastAsiaTheme="minorEastAsia" w:hAnsiTheme="minorHAnsi" w:cstheme="minorBidi"/>
              <w:sz w:val="22"/>
              <w:lang w:eastAsia="en-GB" w:bidi="ar-SA"/>
            </w:rPr>
          </w:pPr>
          <w:hyperlink w:anchor="_Toc129081820" w:history="1">
            <w:r w:rsidR="00500025" w:rsidRPr="00AF7C36">
              <w:rPr>
                <w:rStyle w:val="Hyperlink"/>
              </w:rPr>
              <w:t>6.</w:t>
            </w:r>
            <w:r w:rsidR="00500025">
              <w:rPr>
                <w:rFonts w:asciiTheme="minorHAnsi" w:eastAsiaTheme="minorEastAsia" w:hAnsiTheme="minorHAnsi" w:cstheme="minorBidi"/>
                <w:sz w:val="22"/>
                <w:lang w:eastAsia="en-GB" w:bidi="ar-SA"/>
              </w:rPr>
              <w:tab/>
            </w:r>
            <w:r w:rsidR="00500025" w:rsidRPr="00AF7C36">
              <w:rPr>
                <w:rStyle w:val="Hyperlink"/>
              </w:rPr>
              <w:t>Recommendations</w:t>
            </w:r>
            <w:r w:rsidR="00500025">
              <w:rPr>
                <w:webHidden/>
              </w:rPr>
              <w:tab/>
            </w:r>
            <w:r w:rsidR="00500025">
              <w:rPr>
                <w:webHidden/>
              </w:rPr>
              <w:fldChar w:fldCharType="begin"/>
            </w:r>
            <w:r w:rsidR="00500025">
              <w:rPr>
                <w:webHidden/>
              </w:rPr>
              <w:instrText xml:space="preserve"> PAGEREF _Toc129081820 \h </w:instrText>
            </w:r>
            <w:r w:rsidR="00500025">
              <w:rPr>
                <w:webHidden/>
              </w:rPr>
            </w:r>
            <w:r w:rsidR="00500025">
              <w:rPr>
                <w:webHidden/>
              </w:rPr>
              <w:fldChar w:fldCharType="separate"/>
            </w:r>
            <w:r>
              <w:rPr>
                <w:webHidden/>
              </w:rPr>
              <w:t>53</w:t>
            </w:r>
            <w:r w:rsidR="00500025">
              <w:rPr>
                <w:webHidden/>
              </w:rPr>
              <w:fldChar w:fldCharType="end"/>
            </w:r>
          </w:hyperlink>
        </w:p>
        <w:p w14:paraId="7ADCF882" w14:textId="5D7CA72B" w:rsidR="00500025" w:rsidRDefault="00EC5FA4">
          <w:pPr>
            <w:pStyle w:val="TOC1"/>
            <w:rPr>
              <w:rFonts w:asciiTheme="minorHAnsi" w:eastAsiaTheme="minorEastAsia" w:hAnsiTheme="minorHAnsi" w:cstheme="minorBidi"/>
              <w:sz w:val="22"/>
              <w:lang w:eastAsia="en-GB" w:bidi="ar-SA"/>
            </w:rPr>
          </w:pPr>
          <w:hyperlink w:anchor="_Toc129081821" w:history="1">
            <w:r w:rsidR="00500025" w:rsidRPr="00AF7C36">
              <w:rPr>
                <w:rStyle w:val="Hyperlink"/>
              </w:rPr>
              <w:t>References</w:t>
            </w:r>
            <w:r w:rsidR="00500025">
              <w:rPr>
                <w:webHidden/>
              </w:rPr>
              <w:tab/>
            </w:r>
            <w:r w:rsidR="00500025">
              <w:rPr>
                <w:webHidden/>
              </w:rPr>
              <w:fldChar w:fldCharType="begin"/>
            </w:r>
            <w:r w:rsidR="00500025">
              <w:rPr>
                <w:webHidden/>
              </w:rPr>
              <w:instrText xml:space="preserve"> PAGEREF _Toc129081821 \h </w:instrText>
            </w:r>
            <w:r w:rsidR="00500025">
              <w:rPr>
                <w:webHidden/>
              </w:rPr>
            </w:r>
            <w:r w:rsidR="00500025">
              <w:rPr>
                <w:webHidden/>
              </w:rPr>
              <w:fldChar w:fldCharType="separate"/>
            </w:r>
            <w:r>
              <w:rPr>
                <w:webHidden/>
              </w:rPr>
              <w:t>54</w:t>
            </w:r>
            <w:r w:rsidR="00500025">
              <w:rPr>
                <w:webHidden/>
              </w:rPr>
              <w:fldChar w:fldCharType="end"/>
            </w:r>
          </w:hyperlink>
        </w:p>
        <w:p w14:paraId="65FCBC12" w14:textId="2DA5DE5F" w:rsidR="00F8500A" w:rsidRDefault="00F8500A">
          <w:r>
            <w:rPr>
              <w:b/>
              <w:bCs/>
              <w:noProof/>
            </w:rPr>
            <w:fldChar w:fldCharType="end"/>
          </w:r>
        </w:p>
      </w:sdtContent>
    </w:sdt>
    <w:p w14:paraId="3FAE779D" w14:textId="77777777" w:rsidR="007B280E" w:rsidRPr="000F0603" w:rsidRDefault="007B280E" w:rsidP="007B280E">
      <w:pPr>
        <w:rPr>
          <w:b/>
        </w:rPr>
      </w:pPr>
      <w:r w:rsidRPr="000F0603">
        <w:rPr>
          <w:b/>
        </w:rPr>
        <w:t>Tables</w:t>
      </w:r>
    </w:p>
    <w:p w14:paraId="72ACE6DE" w14:textId="1222B782" w:rsidR="007B280E" w:rsidRPr="000F0603" w:rsidRDefault="007B280E" w:rsidP="007B280E">
      <w:r w:rsidRPr="000F0603">
        <w:t>Table 1:</w:t>
      </w:r>
      <w:r w:rsidRPr="000F0603">
        <w:tab/>
        <w:t xml:space="preserve">Step 1 </w:t>
      </w:r>
      <w:r w:rsidR="001F5C36">
        <w:t>r</w:t>
      </w:r>
      <w:r w:rsidR="001F5C36" w:rsidRPr="000F0603">
        <w:t xml:space="preserve">equirements </w:t>
      </w:r>
      <w:r w:rsidRPr="000F0603">
        <w:t>from Guidance to Requesting Parties</w:t>
      </w:r>
    </w:p>
    <w:p w14:paraId="1E83D655" w14:textId="77777777" w:rsidR="007B280E" w:rsidRPr="000F0603" w:rsidRDefault="007B280E" w:rsidP="007B280E">
      <w:pPr>
        <w:rPr>
          <w:b/>
        </w:rPr>
      </w:pPr>
      <w:r w:rsidRPr="000F0603">
        <w:rPr>
          <w:b/>
        </w:rPr>
        <w:t>Figures</w:t>
      </w:r>
    </w:p>
    <w:p w14:paraId="30DA8F51" w14:textId="77777777" w:rsidR="007B280E" w:rsidRPr="000F0603" w:rsidRDefault="007B280E" w:rsidP="007B280E">
      <w:pPr>
        <w:spacing w:after="0"/>
      </w:pPr>
      <w:r w:rsidRPr="000F0603">
        <w:t>Figure 1:</w:t>
      </w:r>
      <w:r w:rsidRPr="000F0603">
        <w:tab/>
        <w:t>Rolls-Royce SMR layout</w:t>
      </w:r>
    </w:p>
    <w:p w14:paraId="4BB8D225" w14:textId="58E6BCA9" w:rsidR="007B280E" w:rsidRPr="000F0603" w:rsidRDefault="007B280E" w:rsidP="007B280E">
      <w:pPr>
        <w:spacing w:after="0"/>
      </w:pPr>
      <w:r w:rsidRPr="000F0603">
        <w:t>Figure 2:</w:t>
      </w:r>
      <w:r w:rsidRPr="000F0603">
        <w:tab/>
      </w:r>
      <w:proofErr w:type="gramStart"/>
      <w:r w:rsidRPr="000F0603">
        <w:t xml:space="preserve">Reactor </w:t>
      </w:r>
      <w:r w:rsidR="002544F7">
        <w:t>i</w:t>
      </w:r>
      <w:r w:rsidR="002544F7" w:rsidRPr="000F0603">
        <w:t>sland</w:t>
      </w:r>
      <w:proofErr w:type="gramEnd"/>
      <w:r w:rsidR="002544F7" w:rsidRPr="000F0603">
        <w:t xml:space="preserve"> </w:t>
      </w:r>
      <w:r w:rsidRPr="000F0603">
        <w:t>plan view</w:t>
      </w:r>
    </w:p>
    <w:p w14:paraId="0C62A65E" w14:textId="0E8ECDD7" w:rsidR="007B280E" w:rsidRPr="000F0603" w:rsidRDefault="007B280E" w:rsidP="007B280E">
      <w:pPr>
        <w:spacing w:after="0"/>
      </w:pPr>
      <w:r w:rsidRPr="000F0603">
        <w:t>Figure 3:</w:t>
      </w:r>
      <w:r w:rsidRPr="000F0603">
        <w:tab/>
        <w:t xml:space="preserve">Cross-section of </w:t>
      </w:r>
      <w:r w:rsidR="002544F7">
        <w:t>r</w:t>
      </w:r>
      <w:r w:rsidR="002544F7" w:rsidRPr="000F0603">
        <w:t xml:space="preserve">eactor </w:t>
      </w:r>
      <w:r w:rsidR="002544F7">
        <w:t>i</w:t>
      </w:r>
      <w:r w:rsidR="002544F7" w:rsidRPr="000F0603">
        <w:t xml:space="preserve">sland </w:t>
      </w:r>
      <w:r w:rsidRPr="000F0603">
        <w:t>base isolation system</w:t>
      </w:r>
    </w:p>
    <w:p w14:paraId="3F951E38" w14:textId="77777777" w:rsidR="007B280E" w:rsidRPr="000F0603" w:rsidRDefault="007B280E" w:rsidP="007B280E">
      <w:pPr>
        <w:spacing w:after="0"/>
      </w:pPr>
      <w:r w:rsidRPr="000F0603">
        <w:t>Figure 4:</w:t>
      </w:r>
      <w:r w:rsidRPr="000F0603">
        <w:tab/>
        <w:t>Containment vessel schematic</w:t>
      </w:r>
    </w:p>
    <w:p w14:paraId="56B51B6A" w14:textId="0FCD36E6" w:rsidR="007B280E" w:rsidRPr="000F0603" w:rsidRDefault="007B280E" w:rsidP="007B280E">
      <w:pPr>
        <w:spacing w:after="0"/>
      </w:pPr>
      <w:r w:rsidRPr="000F0603">
        <w:t>Figure 5:</w:t>
      </w:r>
      <w:r w:rsidRPr="000F0603">
        <w:tab/>
        <w:t xml:space="preserve">Reactor Coolant System </w:t>
      </w:r>
      <w:r w:rsidR="001C3B87">
        <w:t xml:space="preserve">(RCS) </w:t>
      </w:r>
      <w:r w:rsidRPr="000F0603">
        <w:t>layout</w:t>
      </w:r>
    </w:p>
    <w:p w14:paraId="7CE99FE0" w14:textId="0D8B0E2D" w:rsidR="007B280E" w:rsidRPr="000F0603" w:rsidRDefault="007B280E" w:rsidP="007B280E">
      <w:pPr>
        <w:spacing w:after="0"/>
      </w:pPr>
      <w:r w:rsidRPr="000F0603">
        <w:t>Figure 6:</w:t>
      </w:r>
      <w:r w:rsidRPr="000F0603">
        <w:tab/>
        <w:t xml:space="preserve">Passive Decay Heat Removal </w:t>
      </w:r>
      <w:r w:rsidR="001C3B87">
        <w:t xml:space="preserve">(PDHR) </w:t>
      </w:r>
      <w:r w:rsidRPr="000F0603">
        <w:t>system schematic</w:t>
      </w:r>
    </w:p>
    <w:p w14:paraId="29A74392" w14:textId="7AB58495" w:rsidR="007B280E" w:rsidRPr="000F0603" w:rsidRDefault="007B280E" w:rsidP="007B280E">
      <w:pPr>
        <w:spacing w:after="0"/>
      </w:pPr>
      <w:r w:rsidRPr="000F0603">
        <w:t>Figure 7:</w:t>
      </w:r>
      <w:r w:rsidRPr="000F0603">
        <w:tab/>
        <w:t xml:space="preserve">Emergency Core Cooling System </w:t>
      </w:r>
      <w:r w:rsidR="001C3B87">
        <w:t xml:space="preserve">(ECCS) </w:t>
      </w:r>
      <w:r w:rsidRPr="000F0603">
        <w:t>schematic</w:t>
      </w:r>
    </w:p>
    <w:p w14:paraId="10D800CC" w14:textId="588840DF" w:rsidR="007B280E" w:rsidRPr="000F0603" w:rsidRDefault="007B280E" w:rsidP="007B280E">
      <w:pPr>
        <w:spacing w:after="0"/>
      </w:pPr>
      <w:r w:rsidRPr="000F0603">
        <w:t>Figure 8:</w:t>
      </w:r>
      <w:r w:rsidRPr="000F0603">
        <w:tab/>
        <w:t xml:space="preserve">Reactor Vessel Cavity Injection System </w:t>
      </w:r>
      <w:r w:rsidR="001C3B87">
        <w:t xml:space="preserve">(RVCIS) </w:t>
      </w:r>
      <w:r w:rsidRPr="000F0603">
        <w:t>schematic</w:t>
      </w:r>
    </w:p>
    <w:p w14:paraId="49A353E5" w14:textId="512A8199" w:rsidR="007B280E" w:rsidRPr="000F0603" w:rsidRDefault="007B280E" w:rsidP="007B280E">
      <w:pPr>
        <w:spacing w:after="0"/>
      </w:pPr>
      <w:r w:rsidRPr="000F0603">
        <w:t>Figure 9:</w:t>
      </w:r>
      <w:r w:rsidRPr="000F0603">
        <w:tab/>
        <w:t xml:space="preserve">Claim, Argument Evidence </w:t>
      </w:r>
      <w:r w:rsidR="001C3B87">
        <w:t xml:space="preserve">(CAE) </w:t>
      </w:r>
      <w:r w:rsidRPr="000F0603">
        <w:t>structure within the E3S hierarchy</w:t>
      </w:r>
    </w:p>
    <w:p w14:paraId="19D66477" w14:textId="218699DA" w:rsidR="007B280E" w:rsidRPr="000F0603" w:rsidRDefault="007B280E" w:rsidP="007B280E">
      <w:pPr>
        <w:spacing w:after="0"/>
      </w:pPr>
      <w:r w:rsidRPr="000F0603">
        <w:t>Figure 10:</w:t>
      </w:r>
      <w:r w:rsidRPr="000F0603">
        <w:tab/>
        <w:t>Integrated Management System</w:t>
      </w:r>
      <w:r w:rsidR="001C3B87">
        <w:t xml:space="preserve"> (IMS)</w:t>
      </w:r>
      <w:r w:rsidRPr="000F0603">
        <w:t xml:space="preserve"> hierarchy</w:t>
      </w:r>
    </w:p>
    <w:p w14:paraId="50D8EEC3" w14:textId="74E54D41" w:rsidR="007B280E" w:rsidRPr="000F0603" w:rsidRDefault="007B280E" w:rsidP="007B280E">
      <w:pPr>
        <w:spacing w:after="0"/>
        <w:ind w:left="1418" w:hanging="1418"/>
      </w:pPr>
      <w:r w:rsidRPr="000F0603">
        <w:t>Figure 11:</w:t>
      </w:r>
      <w:r w:rsidRPr="000F0603">
        <w:tab/>
        <w:t xml:space="preserve">Rolls-Royce SMR Limited </w:t>
      </w:r>
      <w:r w:rsidR="00CF56B4">
        <w:t>d</w:t>
      </w:r>
      <w:r w:rsidR="00CF56B4" w:rsidRPr="000F0603">
        <w:t xml:space="preserve">efinition </w:t>
      </w:r>
      <w:r w:rsidR="00CF56B4">
        <w:t>r</w:t>
      </w:r>
      <w:r w:rsidR="00CF56B4" w:rsidRPr="000F0603">
        <w:t xml:space="preserve">eview </w:t>
      </w:r>
      <w:r w:rsidRPr="000F0603">
        <w:t>gates and engineering milestones</w:t>
      </w:r>
    </w:p>
    <w:p w14:paraId="0CAD6143" w14:textId="71ACA5CC" w:rsidR="007B280E" w:rsidRDefault="007B280E" w:rsidP="00C55588">
      <w:pPr>
        <w:pStyle w:val="Bulletlist1"/>
        <w:numPr>
          <w:ilvl w:val="0"/>
          <w:numId w:val="0"/>
        </w:numPr>
        <w:sectPr w:rsidR="007B280E" w:rsidSect="00B82646">
          <w:pgSz w:w="11906" w:h="16838" w:code="9"/>
          <w:pgMar w:top="1440" w:right="1080" w:bottom="1440" w:left="1080" w:header="397" w:footer="397" w:gutter="0"/>
          <w:cols w:space="312"/>
          <w:docGrid w:linePitch="360"/>
        </w:sectPr>
      </w:pPr>
    </w:p>
    <w:p w14:paraId="4A9F4FE3" w14:textId="57CFDD69" w:rsidR="0038766B" w:rsidRPr="00C86D4A" w:rsidRDefault="0038766B">
      <w:pPr>
        <w:pStyle w:val="Heading1"/>
        <w:ind w:left="851" w:hanging="851"/>
        <w:rPr>
          <w:color w:val="22413A"/>
        </w:rPr>
      </w:pPr>
      <w:bookmarkStart w:id="18" w:name="_Toc129081745"/>
      <w:bookmarkStart w:id="19" w:name="_Toc109727647"/>
      <w:r w:rsidRPr="00C86D4A">
        <w:rPr>
          <w:color w:val="22413A"/>
        </w:rPr>
        <w:lastRenderedPageBreak/>
        <w:t>P</w:t>
      </w:r>
      <w:r w:rsidR="00F8020E">
        <w:rPr>
          <w:color w:val="22413A"/>
        </w:rPr>
        <w:t>urpose</w:t>
      </w:r>
      <w:bookmarkEnd w:id="18"/>
    </w:p>
    <w:p w14:paraId="0E930D39" w14:textId="54E3FE54" w:rsidR="00BA136A" w:rsidRPr="00AF4EBD" w:rsidRDefault="00BA136A">
      <w:pPr>
        <w:pStyle w:val="NumList1"/>
      </w:pPr>
      <w:r w:rsidRPr="000F0603">
        <w:t>Following a request from the Department of Business, Energy and Industrial Strategy (BEIS</w:t>
      </w:r>
      <w:r w:rsidRPr="009A084E">
        <w:t>), in April 2022, the Office for Nuclear Regulation (ONR), the</w:t>
      </w:r>
      <w:r w:rsidRPr="00AF4EBD">
        <w:t xml:space="preserve"> Environment Agency and Natural Resources Wales (NRW) began </w:t>
      </w:r>
      <w:r w:rsidR="00DD42F5">
        <w:t>Step</w:t>
      </w:r>
      <w:r w:rsidRPr="00AF4EBD">
        <w:t xml:space="preserve"> 1 of the Generic Design Assessment (GDA) for Rolls-Royce SMR Limited's reactor design.</w:t>
      </w:r>
    </w:p>
    <w:p w14:paraId="3A6EF59C" w14:textId="522707F1" w:rsidR="00BA136A" w:rsidRDefault="00BA136A">
      <w:pPr>
        <w:pStyle w:val="NumList1"/>
      </w:pPr>
      <w:r>
        <w:t xml:space="preserve">During the last 12 months we have undertaken those activities identified for </w:t>
      </w:r>
      <w:r w:rsidR="00DD42F5">
        <w:t>Step</w:t>
      </w:r>
      <w:r>
        <w:t xml:space="preserve"> 1 within our GDA guidance document, </w:t>
      </w:r>
      <w:r w:rsidR="002163EB">
        <w:t>Guidance to Requesting Parties</w:t>
      </w:r>
      <w:r>
        <w:t xml:space="preserve"> (ref.</w:t>
      </w:r>
      <w:sdt>
        <w:sdtPr>
          <w:id w:val="475419931"/>
          <w:citation/>
        </w:sdtPr>
        <w:sdtEndPr/>
        <w:sdtContent>
          <w:r>
            <w:fldChar w:fldCharType="begin"/>
          </w:r>
          <w:r>
            <w:instrText xml:space="preserve">CITATION GtoRPs \l 2057 </w:instrText>
          </w:r>
          <w:r>
            <w:fldChar w:fldCharType="separate"/>
          </w:r>
          <w:r w:rsidR="00AB0D39">
            <w:t xml:space="preserve"> </w:t>
          </w:r>
          <w:r w:rsidR="00AB0D39" w:rsidRPr="00AB0D39">
            <w:t>[1]</w:t>
          </w:r>
          <w:r>
            <w:fldChar w:fldCharType="end"/>
          </w:r>
        </w:sdtContent>
      </w:sdt>
      <w:r>
        <w:t>). These are mainly associated with initiation of the project and preparation for technical assessment in later steps.</w:t>
      </w:r>
    </w:p>
    <w:p w14:paraId="4DD13A76" w14:textId="77777777" w:rsidR="00BA136A" w:rsidRDefault="00BA136A">
      <w:pPr>
        <w:pStyle w:val="NumList1"/>
      </w:pPr>
      <w:r>
        <w:t>This report has been produced:</w:t>
      </w:r>
    </w:p>
    <w:p w14:paraId="6EBCA412" w14:textId="5F775A2F" w:rsidR="00BA136A" w:rsidRPr="00C55588" w:rsidRDefault="00BA136A" w:rsidP="00925DD5">
      <w:pPr>
        <w:pStyle w:val="Bulletlist2"/>
      </w:pPr>
      <w:bookmarkStart w:id="20" w:name="_Hlk129009058"/>
      <w:r w:rsidRPr="00C55588">
        <w:t xml:space="preserve">To document the completion of and outcomes from </w:t>
      </w:r>
      <w:r w:rsidR="00DD42F5" w:rsidRPr="00C55588">
        <w:t>Step</w:t>
      </w:r>
      <w:r w:rsidRPr="00C55588">
        <w:t xml:space="preserve"> 1;</w:t>
      </w:r>
    </w:p>
    <w:p w14:paraId="55EF3342" w14:textId="77777777" w:rsidR="00BA136A" w:rsidRPr="00C55588" w:rsidRDefault="00BA136A" w:rsidP="00925DD5">
      <w:pPr>
        <w:pStyle w:val="Bulletlist2"/>
      </w:pPr>
      <w:r w:rsidRPr="00C55588">
        <w:t>To summarise the activities undertaken by both Rolls-Royce SMR Limited and ONR during the step;</w:t>
      </w:r>
    </w:p>
    <w:p w14:paraId="548E5A65" w14:textId="00CB9CE9" w:rsidR="00BA136A" w:rsidRPr="00C55588" w:rsidRDefault="00BA136A" w:rsidP="00925DD5">
      <w:pPr>
        <w:pStyle w:val="Bulletlist2"/>
      </w:pPr>
      <w:r w:rsidRPr="00C55588">
        <w:t xml:space="preserve">To summarise ONR’s judgements, in particular regarding whether the objectives for </w:t>
      </w:r>
      <w:r w:rsidR="00DD42F5" w:rsidRPr="00C55588">
        <w:t>Step</w:t>
      </w:r>
      <w:r w:rsidRPr="00C55588">
        <w:t xml:space="preserve"> 1 have been met; and</w:t>
      </w:r>
    </w:p>
    <w:p w14:paraId="742EB259" w14:textId="1E4F5656" w:rsidR="00BA136A" w:rsidRPr="00C55588" w:rsidRDefault="00BA136A" w:rsidP="00925DD5">
      <w:pPr>
        <w:pStyle w:val="Bulletlist2"/>
      </w:pPr>
      <w:r w:rsidRPr="00C55588">
        <w:t xml:space="preserve">To document the basis for the decision on whether to proceed to </w:t>
      </w:r>
      <w:r w:rsidR="00DD42F5" w:rsidRPr="00C55588">
        <w:t>Step</w:t>
      </w:r>
      <w:r w:rsidRPr="00C55588">
        <w:t xml:space="preserve"> 2</w:t>
      </w:r>
      <w:r w:rsidR="00BC3B3E" w:rsidRPr="00C55588">
        <w:t>,</w:t>
      </w:r>
      <w:r w:rsidRPr="00C55588">
        <w:t xml:space="preserve"> or not.</w:t>
      </w:r>
    </w:p>
    <w:bookmarkEnd w:id="20"/>
    <w:p w14:paraId="457B4737" w14:textId="77777777" w:rsidR="00BA136A" w:rsidRDefault="00BA136A" w:rsidP="00BA136A">
      <w:pPr>
        <w:pStyle w:val="NumList1"/>
        <w:numPr>
          <w:ilvl w:val="0"/>
          <w:numId w:val="0"/>
        </w:numPr>
        <w:ind w:left="851" w:hanging="851"/>
      </w:pPr>
    </w:p>
    <w:p w14:paraId="591D1602" w14:textId="77777777" w:rsidR="00590C5D" w:rsidRPr="0038766B" w:rsidRDefault="00590C5D" w:rsidP="00AC2E98">
      <w:pPr>
        <w:pStyle w:val="NumList1"/>
        <w:numPr>
          <w:ilvl w:val="0"/>
          <w:numId w:val="0"/>
        </w:numPr>
        <w:ind w:left="851"/>
      </w:pPr>
    </w:p>
    <w:p w14:paraId="7FDC8670" w14:textId="77777777" w:rsidR="00BA136A" w:rsidRDefault="00BA136A">
      <w:pPr>
        <w:spacing w:after="0" w:line="240" w:lineRule="auto"/>
        <w:rPr>
          <w:color w:val="22413A"/>
          <w:sz w:val="48"/>
        </w:rPr>
      </w:pPr>
      <w:r>
        <w:rPr>
          <w:color w:val="22413A"/>
        </w:rPr>
        <w:br w:type="page"/>
      </w:r>
    </w:p>
    <w:p w14:paraId="13C362CC" w14:textId="23333DF4" w:rsidR="0038766B" w:rsidRPr="00C86D4A" w:rsidRDefault="00590C5D">
      <w:pPr>
        <w:pStyle w:val="Heading1"/>
        <w:ind w:left="851" w:hanging="851"/>
        <w:rPr>
          <w:color w:val="22413A"/>
        </w:rPr>
      </w:pPr>
      <w:bookmarkStart w:id="21" w:name="_Toc129081746"/>
      <w:r w:rsidRPr="00C86D4A">
        <w:rPr>
          <w:color w:val="22413A"/>
        </w:rPr>
        <w:lastRenderedPageBreak/>
        <w:t>Background</w:t>
      </w:r>
      <w:bookmarkEnd w:id="21"/>
    </w:p>
    <w:p w14:paraId="2B5B20B4" w14:textId="7EE4E009" w:rsidR="004E0161" w:rsidRPr="00C558E5" w:rsidRDefault="004E0161" w:rsidP="00C558E5">
      <w:pPr>
        <w:pStyle w:val="Heading2"/>
      </w:pPr>
      <w:bookmarkStart w:id="22" w:name="_Toc129080850"/>
      <w:bookmarkStart w:id="23" w:name="_Toc129080940"/>
      <w:bookmarkStart w:id="24" w:name="_Toc129081747"/>
      <w:r w:rsidRPr="00C558E5">
        <w:t>Generic Design Assessment</w:t>
      </w:r>
      <w:bookmarkEnd w:id="22"/>
      <w:bookmarkEnd w:id="23"/>
      <w:bookmarkEnd w:id="24"/>
    </w:p>
    <w:p w14:paraId="62025063" w14:textId="4AC519E5" w:rsidR="004E0161" w:rsidRPr="007029A2" w:rsidRDefault="004E0161">
      <w:pPr>
        <w:pStyle w:val="NumList1"/>
      </w:pPr>
      <w:r w:rsidRPr="007029A2">
        <w:t xml:space="preserve">ONR </w:t>
      </w:r>
      <w:r w:rsidR="00D56B4F">
        <w:t>is</w:t>
      </w:r>
      <w:r w:rsidR="00D56B4F" w:rsidRPr="007D0E11">
        <w:t xml:space="preserve"> </w:t>
      </w:r>
      <w:r w:rsidRPr="007D0E11">
        <w:t>the UK’s independent nuclear regulator, with the legal authority to regulate nuclear safety, civil nuclear security and safeguards, and conventional health and safety at the 35 licensed nuclear sites in Great Britain (GB).</w:t>
      </w:r>
      <w:r w:rsidRPr="007029A2">
        <w:t xml:space="preserve"> </w:t>
      </w:r>
      <w:r w:rsidRPr="00181DBC">
        <w:t>We also regulate the transport of civil nuclear and radioactive materials by road, rail and inland waterways.</w:t>
      </w:r>
      <w:r>
        <w:rPr>
          <w:b/>
          <w:caps/>
        </w:rPr>
        <w:t xml:space="preserve"> </w:t>
      </w:r>
      <w:r w:rsidRPr="007029A2">
        <w:t xml:space="preserve">ONR’s mission </w:t>
      </w:r>
      <w:r w:rsidRPr="00505D71">
        <w:t>is to protect society by securing safe nuclear operations</w:t>
      </w:r>
      <w:r w:rsidRPr="007029A2">
        <w:t>.</w:t>
      </w:r>
    </w:p>
    <w:p w14:paraId="0DD2CC3F" w14:textId="6C93A11D" w:rsidR="004E0161" w:rsidRDefault="004E0161">
      <w:pPr>
        <w:pStyle w:val="NumList1"/>
      </w:pPr>
      <w:r>
        <w:t xml:space="preserve">The environment protection aspects of the generic design are assessed </w:t>
      </w:r>
      <w:r w:rsidR="00183155">
        <w:t xml:space="preserve">and reported separately </w:t>
      </w:r>
      <w:r w:rsidR="00A6516E">
        <w:t xml:space="preserve">(ref. </w:t>
      </w:r>
      <w:sdt>
        <w:sdtPr>
          <w:id w:val="-743256144"/>
          <w:citation/>
        </w:sdtPr>
        <w:sdtEndPr/>
        <w:sdtContent>
          <w:r w:rsidR="002C7222">
            <w:fldChar w:fldCharType="begin"/>
          </w:r>
          <w:r w:rsidR="002C7222">
            <w:instrText xml:space="preserve"> CITATION EAreport \l 2057 </w:instrText>
          </w:r>
          <w:r w:rsidR="002C7222">
            <w:fldChar w:fldCharType="separate"/>
          </w:r>
          <w:r w:rsidR="00AB0D39" w:rsidRPr="00AB0D39">
            <w:t>[2]</w:t>
          </w:r>
          <w:r w:rsidR="002C7222">
            <w:fldChar w:fldCharType="end"/>
          </w:r>
        </w:sdtContent>
      </w:sdt>
      <w:r w:rsidR="00A6516E">
        <w:t xml:space="preserve">) </w:t>
      </w:r>
      <w:r>
        <w:t xml:space="preserve">by the environment agencies (the Environment Agency and NRW) whom we work </w:t>
      </w:r>
      <w:r w:rsidR="001628CA">
        <w:t xml:space="preserve">with </w:t>
      </w:r>
      <w:r>
        <w:t xml:space="preserve">closely during GDA. There is separate guidance which provides an overview of the processes followed by </w:t>
      </w:r>
      <w:r w:rsidR="00D101FF">
        <w:t xml:space="preserve">the </w:t>
      </w:r>
      <w:r>
        <w:t xml:space="preserve">regulators and how those processes are integrated (ref. </w:t>
      </w:r>
      <w:sdt>
        <w:sdtPr>
          <w:id w:val="1317068681"/>
          <w:citation/>
        </w:sdtPr>
        <w:sdtEndPr/>
        <w:sdtContent>
          <w:r>
            <w:fldChar w:fldCharType="begin"/>
          </w:r>
          <w:r>
            <w:instrText xml:space="preserve">CITATION jointGDAguide \l 2057 </w:instrText>
          </w:r>
          <w:r>
            <w:fldChar w:fldCharType="separate"/>
          </w:r>
          <w:r w:rsidR="00AB0D39" w:rsidRPr="00AB0D39">
            <w:t>[3]</w:t>
          </w:r>
          <w:r>
            <w:fldChar w:fldCharType="end"/>
          </w:r>
        </w:sdtContent>
      </w:sdt>
      <w:r>
        <w:t xml:space="preserve">). The Environment Agency has also published separate guidance on the process it follows (ref. </w:t>
      </w:r>
      <w:sdt>
        <w:sdtPr>
          <w:id w:val="-1436202753"/>
          <w:citation/>
        </w:sdtPr>
        <w:sdtEndPr/>
        <w:sdtContent>
          <w:r>
            <w:fldChar w:fldCharType="begin"/>
          </w:r>
          <w:r>
            <w:instrText xml:space="preserve">CITATION EAGtoRP \l 2057 </w:instrText>
          </w:r>
          <w:r>
            <w:fldChar w:fldCharType="separate"/>
          </w:r>
          <w:r w:rsidR="00AB0D39" w:rsidRPr="00AB0D39">
            <w:t>[4]</w:t>
          </w:r>
          <w:r>
            <w:fldChar w:fldCharType="end"/>
          </w:r>
        </w:sdtContent>
      </w:sdt>
      <w:r>
        <w:t>).</w:t>
      </w:r>
    </w:p>
    <w:p w14:paraId="6AF23E0A" w14:textId="59E6C97D" w:rsidR="004E0161" w:rsidRDefault="004E0161">
      <w:pPr>
        <w:pStyle w:val="NumList1"/>
      </w:pPr>
      <w:r w:rsidRPr="00724934">
        <w:t xml:space="preserve">The GDA process was developed in response to the </w:t>
      </w:r>
      <w:r>
        <w:t>g</w:t>
      </w:r>
      <w:r w:rsidRPr="00724934">
        <w:t>overnment's 2006 Energy Review; in particular lessons learn</w:t>
      </w:r>
      <w:r w:rsidR="006C3244">
        <w:t>t</w:t>
      </w:r>
      <w:r w:rsidRPr="00724934">
        <w:t xml:space="preserve"> from experience with new Nuclear Power Plants (NPPs) indicated that the use of a standardised design, where the design and safety case are well developed much earlier in the project, would facilitate a reduction in the time for regulatory assessment as well as </w:t>
      </w:r>
      <w:r>
        <w:t>minimise</w:t>
      </w:r>
      <w:r w:rsidRPr="00724934">
        <w:t xml:space="preserve"> any potential </w:t>
      </w:r>
      <w:r w:rsidRPr="006B0FF8">
        <w:t>regulatory uncertainty for a future site licensee wishing to build such a design. Although GDA is not a mandatory process, because of its inherent benefits it is expected that it will usually be requested for new NPPs intended for construction in GB.</w:t>
      </w:r>
    </w:p>
    <w:p w14:paraId="6A42E577" w14:textId="77777777" w:rsidR="004E0161" w:rsidRDefault="004E0161">
      <w:pPr>
        <w:pStyle w:val="NumList1"/>
      </w:pPr>
      <w:r>
        <w:t xml:space="preserve">The objective for GDA is to provide confidence that the proposed design is capable of being constructed, operated and decommissioned in accordance with the standards of safety, security, safeguards and environmental protection required in GB. For the </w:t>
      </w:r>
      <w:r w:rsidRPr="00C36FE0">
        <w:t>Requesting Party (RP), the organisation(s) who requested the GDA,</w:t>
      </w:r>
      <w:r>
        <w:t xml:space="preserve"> this offers a reduction in uncertainty and project risk regarding the design and safety, security, safeguards and environmental cases so as to be an enabler to future licensing, permitting, construction and regulatory activities.</w:t>
      </w:r>
    </w:p>
    <w:p w14:paraId="2369EC5C" w14:textId="39271A07" w:rsidR="004E0161" w:rsidRDefault="004E0161">
      <w:pPr>
        <w:pStyle w:val="NumList1"/>
      </w:pPr>
      <w:r>
        <w:t>To fulfil this objective</w:t>
      </w:r>
      <w:r w:rsidR="001361E3">
        <w:t>,</w:t>
      </w:r>
      <w:r>
        <w:t xml:space="preserve"> GDA progresses in steps, with the regulatory assessments becoming increasingly detailed. </w:t>
      </w:r>
      <w:r w:rsidRPr="00E40F71">
        <w:t xml:space="preserve">The assessment </w:t>
      </w:r>
      <w:r>
        <w:t>considers</w:t>
      </w:r>
      <w:r w:rsidRPr="00E40F71">
        <w:t xml:space="preserve"> the majority of ONR’s purposes, using inspectors from the full range of technical </w:t>
      </w:r>
      <w:r>
        <w:t>topics (for example, fault studies, civil engineering or chemistry), a</w:t>
      </w:r>
      <w:r w:rsidRPr="00E40F71">
        <w:t xml:space="preserve">s </w:t>
      </w:r>
      <w:r>
        <w:t xml:space="preserve">defined in </w:t>
      </w:r>
      <w:r w:rsidR="002163EB">
        <w:t>Guidance to Requesting Parties</w:t>
      </w:r>
      <w:r>
        <w:t xml:space="preserve"> (ref. </w:t>
      </w:r>
      <w:sdt>
        <w:sdtPr>
          <w:id w:val="133918348"/>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r w:rsidRPr="00E40F71">
        <w:t>.</w:t>
      </w:r>
    </w:p>
    <w:p w14:paraId="48FDD4B7" w14:textId="77777777" w:rsidR="00C55588" w:rsidRDefault="00C55588">
      <w:pPr>
        <w:spacing w:after="0" w:line="240" w:lineRule="auto"/>
        <w:rPr>
          <w:rFonts w:asciiTheme="minorHAnsi" w:eastAsiaTheme="minorHAnsi" w:hAnsiTheme="minorHAnsi" w:cstheme="minorBidi"/>
          <w:noProof/>
          <w:lang w:bidi="ar-SA"/>
        </w:rPr>
      </w:pPr>
      <w:r>
        <w:br w:type="page"/>
      </w:r>
    </w:p>
    <w:p w14:paraId="319D4F01" w14:textId="150A58D0" w:rsidR="004E0161" w:rsidRDefault="004E0161">
      <w:pPr>
        <w:pStyle w:val="NumList1"/>
      </w:pPr>
      <w:r>
        <w:lastRenderedPageBreak/>
        <w:t xml:space="preserve">The GDA process has </w:t>
      </w:r>
      <w:r w:rsidR="00E613B9">
        <w:t>three</w:t>
      </w:r>
      <w:r>
        <w:t xml:space="preserve"> steps, noting that earlier GDAs had </w:t>
      </w:r>
      <w:r w:rsidR="00E613B9">
        <w:t xml:space="preserve">four </w:t>
      </w:r>
      <w:r>
        <w:t>steps; a change that resulted from lesson</w:t>
      </w:r>
      <w:r w:rsidR="00D56B4F">
        <w:t>s</w:t>
      </w:r>
      <w:r>
        <w:t xml:space="preserve"> </w:t>
      </w:r>
      <w:r w:rsidR="006C3244">
        <w:t xml:space="preserve">learnt </w:t>
      </w:r>
      <w:r>
        <w:t xml:space="preserve">and efficiency improvements implemented in 2019. The overall intent is that: </w:t>
      </w:r>
    </w:p>
    <w:p w14:paraId="7AEC9B12" w14:textId="4A835C3D" w:rsidR="004E0161" w:rsidRPr="00C55588" w:rsidRDefault="004E0161" w:rsidP="00925DD5">
      <w:pPr>
        <w:pStyle w:val="Bulletlist2"/>
      </w:pPr>
      <w:r w:rsidRPr="00C55588">
        <w:t xml:space="preserve">Step 1 is the initiation step where matters such as the scope and timescales are agreed, and ONR’s knowledge of the design and the RP’s safety, security and safeguards cases increases. Further details on </w:t>
      </w:r>
      <w:r w:rsidR="00DD42F5" w:rsidRPr="00C55588">
        <w:t>Step</w:t>
      </w:r>
      <w:r w:rsidRPr="00C55588">
        <w:t xml:space="preserve"> 1 are provided in Section 2.2.; </w:t>
      </w:r>
    </w:p>
    <w:p w14:paraId="62060D34" w14:textId="77777777" w:rsidR="004E0161" w:rsidRPr="00C55588" w:rsidRDefault="004E0161" w:rsidP="00925DD5">
      <w:pPr>
        <w:pStyle w:val="Bulletlist2"/>
      </w:pPr>
      <w:r w:rsidRPr="00C55588">
        <w:t xml:space="preserve">Step 2 is the fundamental assessment of the generic design and safety, security and safeguards cases, to identify any potential ‘showstoppers’ that may preclude deployment of the design; and </w:t>
      </w:r>
    </w:p>
    <w:p w14:paraId="1D3573E9" w14:textId="77777777" w:rsidR="004E0161" w:rsidRPr="00C55588" w:rsidRDefault="004E0161" w:rsidP="00925DD5">
      <w:pPr>
        <w:pStyle w:val="Bulletlist2"/>
      </w:pPr>
      <w:r w:rsidRPr="00C55588">
        <w:t>Step 3 is the detailed assessment of the generic safety, security and safeguards cases on a sampling basis.</w:t>
      </w:r>
    </w:p>
    <w:p w14:paraId="26AC7A54" w14:textId="7C7DA57D" w:rsidR="004E0161" w:rsidRDefault="004E0161">
      <w:pPr>
        <w:pStyle w:val="NumList1"/>
      </w:pPr>
      <w:r>
        <w:t xml:space="preserve">The Rolls-Royce SMR Limited design is the seventh design to begin a GDA. </w:t>
      </w:r>
      <w:r w:rsidRPr="006B0FF8">
        <w:t xml:space="preserve">The first round of GDA started in 2007 when ONR and the Environment Agency began assessment of four designs, although two of these first-round designs were withdrawn by the </w:t>
      </w:r>
      <w:r>
        <w:t xml:space="preserve">RP </w:t>
      </w:r>
      <w:r w:rsidRPr="006B0FF8">
        <w:t>part-way through the assessment process. The remaining two designs, the EDF and AREVA UK EPR™ and the Westinghouse AP1000® designs, subsequently completed GDA in 2012 and 2017 respectively (noting the latter included a pause of several years). In 2013</w:t>
      </w:r>
      <w:r w:rsidR="00E8682A">
        <w:t>,</w:t>
      </w:r>
      <w:r w:rsidRPr="006B0FF8">
        <w:t xml:space="preserve"> the Hitachi-GE UK ABWR entered the GDA process, and this was completed in 2017. Also in 2017, the CGN/EDF/GNI UK HPR1000 started a GDA which was completed in 202</w:t>
      </w:r>
      <w:r>
        <w:t>2</w:t>
      </w:r>
      <w:r w:rsidRPr="006B0FF8">
        <w:t>.</w:t>
      </w:r>
      <w:r>
        <w:t xml:space="preserve"> Full details of completed GDA projects are available on the joint regulators’ website (ref. </w:t>
      </w:r>
      <w:sdt>
        <w:sdtPr>
          <w:id w:val="-732006354"/>
          <w:citation/>
        </w:sdtPr>
        <w:sdtEndPr/>
        <w:sdtContent>
          <w:r>
            <w:fldChar w:fldCharType="begin"/>
          </w:r>
          <w:r>
            <w:instrText xml:space="preserve">CITATION jointWebPgs \l 2057 </w:instrText>
          </w:r>
          <w:r>
            <w:fldChar w:fldCharType="separate"/>
          </w:r>
          <w:r w:rsidR="00AB0D39" w:rsidRPr="00AB0D39">
            <w:t>[5]</w:t>
          </w:r>
          <w:r>
            <w:fldChar w:fldCharType="end"/>
          </w:r>
        </w:sdtContent>
      </w:sdt>
      <w:r>
        <w:t>).</w:t>
      </w:r>
    </w:p>
    <w:p w14:paraId="54D3F31D" w14:textId="77777777" w:rsidR="00C55588" w:rsidRDefault="00C55588">
      <w:pPr>
        <w:spacing w:after="0" w:line="240" w:lineRule="auto"/>
        <w:rPr>
          <w:color w:val="000000" w:themeColor="text1"/>
          <w:sz w:val="36"/>
        </w:rPr>
      </w:pPr>
      <w:bookmarkStart w:id="25" w:name="_Toc129080851"/>
      <w:bookmarkStart w:id="26" w:name="_Toc129080941"/>
      <w:bookmarkStart w:id="27" w:name="_Toc129081748"/>
      <w:r>
        <w:br w:type="page"/>
      </w:r>
    </w:p>
    <w:p w14:paraId="41DDA356" w14:textId="4CD65050" w:rsidR="004E0161" w:rsidRPr="00153614" w:rsidRDefault="004E0161" w:rsidP="00C558E5">
      <w:pPr>
        <w:pStyle w:val="Heading2"/>
      </w:pPr>
      <w:r w:rsidRPr="00153614">
        <w:lastRenderedPageBreak/>
        <w:t>O</w:t>
      </w:r>
      <w:r w:rsidR="00CE1CF8">
        <w:t>bj</w:t>
      </w:r>
      <w:r w:rsidRPr="00153614">
        <w:t xml:space="preserve">ectives for </w:t>
      </w:r>
      <w:r w:rsidR="00DD42F5">
        <w:t>Step</w:t>
      </w:r>
      <w:r w:rsidRPr="00153614">
        <w:t xml:space="preserve"> 1</w:t>
      </w:r>
      <w:bookmarkEnd w:id="25"/>
      <w:bookmarkEnd w:id="26"/>
      <w:bookmarkEnd w:id="27"/>
    </w:p>
    <w:p w14:paraId="6ECFE445" w14:textId="31457166" w:rsidR="004E0161" w:rsidRDefault="004E0161">
      <w:pPr>
        <w:pStyle w:val="NumList1"/>
      </w:pPr>
      <w:r>
        <w:t xml:space="preserve">Step 1 is the project initiation part of the design assessment process. This involves the RP establishing its project management and technical teams, its arrangements for undertaking a GDA and preparing and submitting submissions during </w:t>
      </w:r>
      <w:r w:rsidR="00DD42F5">
        <w:t>Step</w:t>
      </w:r>
      <w:r>
        <w:t xml:space="preserve"> 1 and for the commencement of </w:t>
      </w:r>
      <w:r w:rsidR="00DD42F5">
        <w:t>Step</w:t>
      </w:r>
      <w:r>
        <w:t xml:space="preserve"> 2. It also involves discussions with the RP to ensure a full understanding of the requirements and processes that will be applied.</w:t>
      </w:r>
    </w:p>
    <w:p w14:paraId="38751697" w14:textId="501C160B" w:rsidR="004E0161" w:rsidRDefault="004E0161">
      <w:pPr>
        <w:pStyle w:val="NumList1"/>
      </w:pPr>
      <w:r>
        <w:t xml:space="preserve">Therefore, the objectives for </w:t>
      </w:r>
      <w:r w:rsidR="00DD42F5">
        <w:t>Step</w:t>
      </w:r>
      <w:r>
        <w:t xml:space="preserve"> 1 are for ONR and the RP to agree:</w:t>
      </w:r>
    </w:p>
    <w:p w14:paraId="7EF06B81" w14:textId="77777777" w:rsidR="004E0161" w:rsidRDefault="004E0161" w:rsidP="00925DD5">
      <w:pPr>
        <w:pStyle w:val="Bulletlist2"/>
      </w:pPr>
      <w:bookmarkStart w:id="28" w:name="_Hlk129009094"/>
      <w:r>
        <w:t>The GDA scope;</w:t>
      </w:r>
    </w:p>
    <w:p w14:paraId="68592D18" w14:textId="77777777" w:rsidR="004E0161" w:rsidRDefault="004E0161" w:rsidP="00925DD5">
      <w:pPr>
        <w:pStyle w:val="Bulletlist2"/>
      </w:pPr>
      <w:r>
        <w:t>The documentary basis for the generic safety and security cases that will be submitted for assessment throughout GDA;</w:t>
      </w:r>
    </w:p>
    <w:p w14:paraId="4023EE06" w14:textId="77777777" w:rsidR="004E0161" w:rsidRDefault="004E0161" w:rsidP="00925DD5">
      <w:pPr>
        <w:pStyle w:val="Bulletlist2"/>
      </w:pPr>
      <w:r>
        <w:t>The gaps that have been identified by the RP in meeting regulatory expectations and the resolution plans for how these may be resolved;</w:t>
      </w:r>
    </w:p>
    <w:p w14:paraId="3D6F4322" w14:textId="77777777" w:rsidR="004E0161" w:rsidRDefault="004E0161" w:rsidP="00925DD5">
      <w:pPr>
        <w:pStyle w:val="Bulletlist2"/>
      </w:pPr>
      <w:r>
        <w:t>The RP’s arrangements necessary to undertake the GDA; and</w:t>
      </w:r>
    </w:p>
    <w:p w14:paraId="706F38DB" w14:textId="77777777" w:rsidR="004E0161" w:rsidRDefault="004E0161" w:rsidP="00925DD5">
      <w:pPr>
        <w:pStyle w:val="Bulletlist2"/>
      </w:pPr>
      <w:r>
        <w:t>The schedule and associated programme for subsequent steps.</w:t>
      </w:r>
    </w:p>
    <w:bookmarkEnd w:id="28"/>
    <w:p w14:paraId="75E50AAA" w14:textId="6897B09E" w:rsidR="004E0161" w:rsidRDefault="004E0161">
      <w:pPr>
        <w:pStyle w:val="NumList1"/>
      </w:pPr>
      <w:r>
        <w:t xml:space="preserve">Appendix 2 of </w:t>
      </w:r>
      <w:r w:rsidR="002163EB">
        <w:t>Guidance to Requesting Parties</w:t>
      </w:r>
      <w:r>
        <w:t xml:space="preserve"> (ref. </w:t>
      </w:r>
      <w:sdt>
        <w:sdtPr>
          <w:id w:val="-65575564"/>
          <w:citation/>
        </w:sdtPr>
        <w:sdtEndPr/>
        <w:sdtContent>
          <w:r>
            <w:fldChar w:fldCharType="begin"/>
          </w:r>
          <w:r>
            <w:instrText xml:space="preserve"> CITATION GtoRPs \l 2057 </w:instrText>
          </w:r>
          <w:r>
            <w:fldChar w:fldCharType="separate"/>
          </w:r>
          <w:r w:rsidR="00AB0D39" w:rsidRPr="00AB0D39">
            <w:t>[1]</w:t>
          </w:r>
          <w:r>
            <w:fldChar w:fldCharType="end"/>
          </w:r>
        </w:sdtContent>
      </w:sdt>
      <w:r>
        <w:t xml:space="preserve">) provides further details of what the RP is required to do and what ONR will do during </w:t>
      </w:r>
      <w:r w:rsidR="00DD42F5">
        <w:t>Step</w:t>
      </w:r>
      <w:r>
        <w:t xml:space="preserve"> 1. Where we have made a judgement against a requirement placed on the RP from this appendix</w:t>
      </w:r>
      <w:r w:rsidR="00A657E9">
        <w:t>,</w:t>
      </w:r>
      <w:r>
        <w:t xml:space="preserve"> these are specifically cited in this report.</w:t>
      </w:r>
    </w:p>
    <w:p w14:paraId="6ED7052E" w14:textId="77777777" w:rsidR="004E0161" w:rsidRDefault="004E0161">
      <w:pPr>
        <w:pStyle w:val="NumList1"/>
      </w:pPr>
      <w:r>
        <w:t>A number of the requirements on the RP are to submit information to ONR. These cover matters which are necessary for undertaking GDA (such as project management controls, cost recovery and demonstration of adequate resources) along with matters of a more technical or regulatory nature. They are targeted at ensuring that both the RP and ONR are prepared for the more detailed assessments to be undertaken in later steps.</w:t>
      </w:r>
    </w:p>
    <w:p w14:paraId="49EEA56E" w14:textId="0C4AFDE0" w:rsidR="004E0161" w:rsidRDefault="004E0161">
      <w:pPr>
        <w:pStyle w:val="NumList1"/>
      </w:pPr>
      <w:r>
        <w:t xml:space="preserve">During </w:t>
      </w:r>
      <w:r w:rsidR="00DD42F5">
        <w:t>Step</w:t>
      </w:r>
      <w:r>
        <w:t xml:space="preserve"> 1 our assessment of the RP’s submissions has been limited. The purpose of our assessment was to form a judgement on whether the requirements in Appendix 2 of </w:t>
      </w:r>
      <w:r w:rsidR="002163EB">
        <w:t>Guidance to Requesting Parties</w:t>
      </w:r>
      <w:r>
        <w:t xml:space="preserve"> (ref. </w:t>
      </w:r>
      <w:sdt>
        <w:sdtPr>
          <w:id w:val="-880390732"/>
          <w:citation/>
        </w:sdtPr>
        <w:sdtEndPr/>
        <w:sdtContent>
          <w:r>
            <w:fldChar w:fldCharType="begin"/>
          </w:r>
          <w:r>
            <w:instrText xml:space="preserve"> CITATION GtoRPs \l 2057 </w:instrText>
          </w:r>
          <w:r>
            <w:fldChar w:fldCharType="separate"/>
          </w:r>
          <w:r w:rsidR="00AB0D39" w:rsidRPr="00AB0D39">
            <w:t>[1]</w:t>
          </w:r>
          <w:r>
            <w:fldChar w:fldCharType="end"/>
          </w:r>
        </w:sdtContent>
      </w:sdt>
      <w:r>
        <w:t>) have been met and to provide us with confidence going forwards with the GDA. Whil</w:t>
      </w:r>
      <w:r w:rsidR="00724BAC">
        <w:t>e</w:t>
      </w:r>
      <w:r>
        <w:t xml:space="preserve"> the submissions were often technical we did not fully consider the detailed adequacy of the content, nor how it has been applied to the generic Rolls-Royce SMR design or safety, security and safeguards cases, which will be the focus for later steps. We did provide feedback to the RP and highlight any obvious omissions or gaps in meeting regulatory expectations.</w:t>
      </w:r>
    </w:p>
    <w:p w14:paraId="2D19E096" w14:textId="77777777" w:rsidR="00C55588" w:rsidRDefault="00C55588">
      <w:pPr>
        <w:spacing w:after="0" w:line="240" w:lineRule="auto"/>
        <w:rPr>
          <w:color w:val="000000" w:themeColor="text1"/>
          <w:sz w:val="36"/>
        </w:rPr>
      </w:pPr>
      <w:bookmarkStart w:id="29" w:name="_Toc129080852"/>
      <w:bookmarkStart w:id="30" w:name="_Toc129080942"/>
      <w:bookmarkStart w:id="31" w:name="_Toc129081749"/>
      <w:r>
        <w:br w:type="page"/>
      </w:r>
    </w:p>
    <w:p w14:paraId="634D4034" w14:textId="3E71C185" w:rsidR="004E0161" w:rsidRPr="00153614" w:rsidRDefault="004E0161" w:rsidP="00C558E5">
      <w:pPr>
        <w:pStyle w:val="Heading2"/>
      </w:pPr>
      <w:r w:rsidRPr="00153614">
        <w:lastRenderedPageBreak/>
        <w:t>Requesting Party</w:t>
      </w:r>
      <w:bookmarkEnd w:id="29"/>
      <w:bookmarkEnd w:id="30"/>
      <w:bookmarkEnd w:id="31"/>
    </w:p>
    <w:p w14:paraId="25A50387" w14:textId="5733BD05" w:rsidR="004E0161" w:rsidRDefault="004E0161">
      <w:pPr>
        <w:pStyle w:val="NumList1"/>
      </w:pPr>
      <w:r>
        <w:t>For the purposes of the GDA, Roll</w:t>
      </w:r>
      <w:r w:rsidR="002E3170">
        <w:t>s</w:t>
      </w:r>
      <w:r>
        <w:t>-Royce SMR Limited is the RP, and therefore the point of contact for the regulators.</w:t>
      </w:r>
    </w:p>
    <w:p w14:paraId="46851674" w14:textId="486E5BA5" w:rsidR="004E0161" w:rsidRDefault="004E0161">
      <w:pPr>
        <w:pStyle w:val="NumList1"/>
      </w:pPr>
      <w:r>
        <w:t xml:space="preserve">Rolls-Royce SMR Limited is a recently formed company which was formally established on 5 November 2021. It was created as an independent company to draw upon the many decades of experience </w:t>
      </w:r>
      <w:r w:rsidR="00691F4E">
        <w:t xml:space="preserve">of </w:t>
      </w:r>
      <w:r>
        <w:t>nuclear design and engineering in the parent body to deliver the generic Roll</w:t>
      </w:r>
      <w:r w:rsidR="002E3170">
        <w:t>s</w:t>
      </w:r>
      <w:r>
        <w:t xml:space="preserve">-Royce SMR design. It is backed by the UK government, international investors, and </w:t>
      </w:r>
      <w:r w:rsidR="004F567D">
        <w:t>Constellation</w:t>
      </w:r>
      <w:r w:rsidR="005A19BC">
        <w:t xml:space="preserve"> </w:t>
      </w:r>
      <w:r>
        <w:t xml:space="preserve"> </w:t>
      </w:r>
      <w:r w:rsidR="0079135D">
        <w:t xml:space="preserve">who are </w:t>
      </w:r>
      <w:r w:rsidR="00FE541D">
        <w:t xml:space="preserve">the largest US </w:t>
      </w:r>
      <w:r>
        <w:t>nuclear operator. The majority shareholding remains with Rolls-Royce plc.</w:t>
      </w:r>
    </w:p>
    <w:p w14:paraId="7ABB33C2" w14:textId="77777777" w:rsidR="004E0161" w:rsidRDefault="004E0161">
      <w:pPr>
        <w:pStyle w:val="NumList1"/>
      </w:pPr>
      <w:r>
        <w:t>Rolls-Royce SMR Limited is the designer, responsible for undertaking all aspects of the design, analysis and engineering and production of the safety, security, safeguards and environmental submissions which justify the design.</w:t>
      </w:r>
    </w:p>
    <w:p w14:paraId="7ABD8E96" w14:textId="77777777" w:rsidR="004E0161" w:rsidRPr="007A40EA" w:rsidRDefault="004E0161">
      <w:pPr>
        <w:pStyle w:val="NumList1"/>
      </w:pPr>
      <w:r>
        <w:t xml:space="preserve">Further details of the RP’s capacity, capability and organisation to support GDA are given in </w:t>
      </w:r>
      <w:r w:rsidRPr="0021378E">
        <w:t>Section 4.5.</w:t>
      </w:r>
    </w:p>
    <w:p w14:paraId="55140D19" w14:textId="7268C5F3" w:rsidR="004E0161" w:rsidRPr="00153614" w:rsidRDefault="004E0161" w:rsidP="00C558E5">
      <w:pPr>
        <w:pStyle w:val="Heading2"/>
      </w:pPr>
      <w:bookmarkStart w:id="32" w:name="_Toc129080853"/>
      <w:bookmarkStart w:id="33" w:name="_Toc129080943"/>
      <w:bookmarkStart w:id="34" w:name="_Toc129081750"/>
      <w:r w:rsidRPr="00153614">
        <w:t xml:space="preserve">Rolls-Royce SMR </w:t>
      </w:r>
      <w:r w:rsidR="00F51D00">
        <w:t>d</w:t>
      </w:r>
      <w:r w:rsidRPr="00153614">
        <w:t>esign</w:t>
      </w:r>
      <w:bookmarkEnd w:id="32"/>
      <w:bookmarkEnd w:id="33"/>
      <w:bookmarkEnd w:id="34"/>
    </w:p>
    <w:p w14:paraId="7D47549D" w14:textId="7A48F203" w:rsidR="004E0161" w:rsidRPr="00153614" w:rsidRDefault="004E0161" w:rsidP="00C558E5">
      <w:pPr>
        <w:pStyle w:val="Heading3"/>
      </w:pPr>
      <w:bookmarkStart w:id="35" w:name="_Toc129080854"/>
      <w:bookmarkStart w:id="36" w:name="_Toc129080944"/>
      <w:bookmarkStart w:id="37" w:name="_Toc129081751"/>
      <w:r w:rsidRPr="00153614">
        <w:t xml:space="preserve">Design </w:t>
      </w:r>
      <w:r w:rsidR="00F51D00">
        <w:t>s</w:t>
      </w:r>
      <w:r w:rsidRPr="00153614">
        <w:t>tatus</w:t>
      </w:r>
      <w:bookmarkEnd w:id="35"/>
      <w:bookmarkEnd w:id="36"/>
      <w:bookmarkEnd w:id="37"/>
    </w:p>
    <w:p w14:paraId="348617C0" w14:textId="74FD8C4E" w:rsidR="004E0161" w:rsidRDefault="004E0161">
      <w:pPr>
        <w:pStyle w:val="NumList1"/>
      </w:pPr>
      <w:r>
        <w:t xml:space="preserve">The generic Rolls-Royce SMR design is being developed as a complete NPP solution based on what the RP claims is </w:t>
      </w:r>
      <w:r w:rsidR="004B1D23">
        <w:t xml:space="preserve">an </w:t>
      </w:r>
      <w:r>
        <w:t xml:space="preserve">optimised and enhanced use of proven technologies. The </w:t>
      </w:r>
      <w:r w:rsidR="00B72580">
        <w:t xml:space="preserve">RP has stated that the </w:t>
      </w:r>
      <w:r>
        <w:t>design adopt</w:t>
      </w:r>
      <w:r w:rsidR="00B72580">
        <w:t>s</w:t>
      </w:r>
      <w:r>
        <w:t xml:space="preserve"> innovations where these are claimed to add value, focused on providing cost and build assurance whil</w:t>
      </w:r>
      <w:r w:rsidR="001F3C16">
        <w:t>e</w:t>
      </w:r>
      <w:r>
        <w:t xml:space="preserve"> maintaining safety, security, safeguards and environmental standards. </w:t>
      </w:r>
      <w:r w:rsidR="00B72580">
        <w:t xml:space="preserve">It claims this is </w:t>
      </w:r>
      <w:r>
        <w:t xml:space="preserve">achieved </w:t>
      </w:r>
      <w:r w:rsidR="00B72580">
        <w:t xml:space="preserve">by </w:t>
      </w:r>
      <w:r>
        <w:t>using modularised build techniques and off-site manufacturing under factory conditions, both of which are not new approaches but have never been applied to this extent in the nuclear industry.</w:t>
      </w:r>
    </w:p>
    <w:p w14:paraId="1749FF63" w14:textId="44F23768" w:rsidR="004E0161" w:rsidRDefault="004E0161">
      <w:pPr>
        <w:pStyle w:val="NumList1"/>
      </w:pPr>
      <w:r>
        <w:t>Rolls-Royce SMR Limited is the first RP to enter GDA with a design that is not built or under construction worldwide. This means that there is no “</w:t>
      </w:r>
      <w:r w:rsidR="00A02EAF">
        <w:t>reference d</w:t>
      </w:r>
      <w:r>
        <w:t xml:space="preserve">esign” for the purposes of GDA, and the </w:t>
      </w:r>
      <w:r w:rsidR="00A02EAF">
        <w:t xml:space="preserve">generic </w:t>
      </w:r>
      <w:r>
        <w:t xml:space="preserve">design will continue to be developed in parallel </w:t>
      </w:r>
      <w:r w:rsidR="0091378D">
        <w:t>with our</w:t>
      </w:r>
      <w:r>
        <w:t xml:space="preserve"> regulatory assessments. Our assessment of the Rolls-Royce SMR will also be the first time that the design has been considered by regulatory bodies.</w:t>
      </w:r>
    </w:p>
    <w:p w14:paraId="0CD73C41" w14:textId="29DAF186" w:rsidR="004E0161" w:rsidRPr="0021378E" w:rsidRDefault="004E0161">
      <w:pPr>
        <w:pStyle w:val="NumList1"/>
      </w:pPr>
      <w:r>
        <w:t>Whil</w:t>
      </w:r>
      <w:r w:rsidR="000E45C9">
        <w:t>e</w:t>
      </w:r>
      <w:r>
        <w:t xml:space="preserve"> this represents an opportunity to ensure the design meets UK expectations from the outset, this does emphasise the need to have confidence in the RP’s controls and processes regarding design activities. Our work during </w:t>
      </w:r>
      <w:r w:rsidR="00DD42F5">
        <w:t>Step</w:t>
      </w:r>
      <w:r>
        <w:t xml:space="preserve"> 1 did start to examine these </w:t>
      </w:r>
      <w:r w:rsidRPr="0021378E">
        <w:t>aspects; see Section 4.</w:t>
      </w:r>
    </w:p>
    <w:p w14:paraId="5768C5F3" w14:textId="77777777" w:rsidR="00C55588" w:rsidRDefault="00C55588">
      <w:pPr>
        <w:spacing w:after="0" w:line="240" w:lineRule="auto"/>
        <w:rPr>
          <w:rFonts w:asciiTheme="minorHAnsi" w:eastAsiaTheme="minorHAnsi" w:hAnsiTheme="minorHAnsi" w:cstheme="minorBidi"/>
          <w:noProof/>
          <w:lang w:bidi="ar-SA"/>
        </w:rPr>
      </w:pPr>
      <w:r>
        <w:br w:type="page"/>
      </w:r>
    </w:p>
    <w:p w14:paraId="382F4170" w14:textId="54C9A917" w:rsidR="004E0161" w:rsidRPr="0021378E" w:rsidRDefault="004E0161">
      <w:pPr>
        <w:pStyle w:val="NumList1"/>
      </w:pPr>
      <w:r w:rsidRPr="0021378E">
        <w:lastRenderedPageBreak/>
        <w:t>Development of the design began in the autumn of 2015</w:t>
      </w:r>
      <w:r w:rsidR="00B85705">
        <w:t xml:space="preserve"> when</w:t>
      </w:r>
      <w:r w:rsidRPr="0021378E">
        <w:t xml:space="preserve"> the main foundations for the design were chosen, including the choice to use existing Pressurised Water Reactor (PWR) technology with modular and factory construction techniques. The RP developed a set of key design objectives for the project, based upon functional and commercial need</w:t>
      </w:r>
      <w:r w:rsidR="002B19B3">
        <w:t>s</w:t>
      </w:r>
      <w:r w:rsidRPr="0021378E">
        <w:t>, including a number related to safety, security or environmental performance which have subsequently been used to inform decision making and further evolution of the design.</w:t>
      </w:r>
    </w:p>
    <w:p w14:paraId="07EE2588" w14:textId="787E4EC8" w:rsidR="004E0161" w:rsidRPr="0021378E" w:rsidRDefault="004E0161">
      <w:pPr>
        <w:pStyle w:val="NumList1"/>
      </w:pPr>
      <w:r w:rsidRPr="0021378E">
        <w:t xml:space="preserve">The RP </w:t>
      </w:r>
      <w:r w:rsidR="00B72580">
        <w:t>has st</w:t>
      </w:r>
      <w:r w:rsidR="00D2128D">
        <w:t>a</w:t>
      </w:r>
      <w:r w:rsidR="00B72580">
        <w:t xml:space="preserve">ted that it is </w:t>
      </w:r>
      <w:r w:rsidRPr="0021378E">
        <w:t>us</w:t>
      </w:r>
      <w:r w:rsidR="00B72580">
        <w:t>ing</w:t>
      </w:r>
      <w:r w:rsidRPr="0021378E">
        <w:t xml:space="preserve"> a combined systems engineering and safety assessment approach for its design activities. This is underpinned by a governance framework for the design to ensure that the solution is optimised to meet all key requirements</w:t>
      </w:r>
      <w:r w:rsidR="00A357C9">
        <w:t xml:space="preserve"> for safety, security and safeguards</w:t>
      </w:r>
      <w:r w:rsidRPr="0021378E">
        <w:t xml:space="preserve">. </w:t>
      </w:r>
      <w:r w:rsidR="00BE1E15">
        <w:t>For example, t</w:t>
      </w:r>
      <w:r w:rsidRPr="0021378E">
        <w:t>his includes safety requirements that support demonstration that risks are acceptable and reduced to As Low As Reasonably Practicable (ALARP), and equivalents for security and safeguards. Further details of the RP’s design processes and design maturity are given in Section 4.3.</w:t>
      </w:r>
    </w:p>
    <w:p w14:paraId="56227C97" w14:textId="5BD162FC" w:rsidR="004E0161" w:rsidRPr="00153614" w:rsidRDefault="004E0161" w:rsidP="00C558E5">
      <w:pPr>
        <w:pStyle w:val="Heading3"/>
      </w:pPr>
      <w:bookmarkStart w:id="38" w:name="_Toc129080855"/>
      <w:bookmarkStart w:id="39" w:name="_Toc129080945"/>
      <w:bookmarkStart w:id="40" w:name="_Toc129081752"/>
      <w:r w:rsidRPr="00153614">
        <w:t xml:space="preserve">Design </w:t>
      </w:r>
      <w:r w:rsidR="00F51D00">
        <w:t>o</w:t>
      </w:r>
      <w:r w:rsidRPr="00153614">
        <w:t>verview</w:t>
      </w:r>
      <w:bookmarkEnd w:id="38"/>
      <w:bookmarkEnd w:id="39"/>
      <w:bookmarkEnd w:id="40"/>
    </w:p>
    <w:p w14:paraId="041290D0" w14:textId="046B15BB" w:rsidR="004E0161" w:rsidRDefault="004E0161">
      <w:pPr>
        <w:pStyle w:val="NumList1"/>
      </w:pPr>
      <w:r>
        <w:t xml:space="preserve">The Rolls-Royce SMR design has been developed by the RP based upon </w:t>
      </w:r>
      <w:r w:rsidRPr="00EA7A88">
        <w:t xml:space="preserve">well-established PWR technology, in use all over the world, but </w:t>
      </w:r>
      <w:r>
        <w:t xml:space="preserve">the modular </w:t>
      </w:r>
      <w:r w:rsidRPr="00EA7A88">
        <w:t xml:space="preserve">approach </w:t>
      </w:r>
      <w:r>
        <w:t xml:space="preserve">adopted in the design </w:t>
      </w:r>
      <w:r w:rsidRPr="00EA7A88">
        <w:t xml:space="preserve">will see the </w:t>
      </w:r>
      <w:r>
        <w:t xml:space="preserve">majority of </w:t>
      </w:r>
      <w:r w:rsidR="00F37648">
        <w:t>the power station</w:t>
      </w:r>
      <w:r w:rsidR="00F37648" w:rsidRPr="00EA7A88">
        <w:t xml:space="preserve"> </w:t>
      </w:r>
      <w:r w:rsidRPr="00EA7A88">
        <w:t>built in factory conditions and assembled on site.</w:t>
      </w:r>
      <w:r>
        <w:t xml:space="preserve"> In addition to commercial drivers, the RP claims that this approach will have benefits due to the more controlled environment for manufacture and commissioning.</w:t>
      </w:r>
    </w:p>
    <w:p w14:paraId="574A3AE0" w14:textId="77777777" w:rsidR="004E0161" w:rsidRDefault="004E0161">
      <w:pPr>
        <w:pStyle w:val="NumList1"/>
      </w:pPr>
      <w:r>
        <w:t xml:space="preserve">The generic Rolls-Royce SMR design is a three loop PWR with a target electrical power output of 470 MWe (from a </w:t>
      </w:r>
      <w:r w:rsidRPr="00527AAA">
        <w:t xml:space="preserve">thermal power </w:t>
      </w:r>
      <w:r>
        <w:t>of 1,</w:t>
      </w:r>
      <w:r w:rsidRPr="00527AAA">
        <w:t>358 MWth</w:t>
      </w:r>
      <w:r>
        <w:t>) and a design life of 60 years for non-replaceable components.</w:t>
      </w:r>
    </w:p>
    <w:p w14:paraId="42582AD8" w14:textId="77777777" w:rsidR="00C55588" w:rsidRDefault="00C55588">
      <w:pPr>
        <w:spacing w:after="0" w:line="240" w:lineRule="auto"/>
        <w:rPr>
          <w:b/>
          <w:bCs/>
          <w:color w:val="000000" w:themeColor="text1"/>
          <w:szCs w:val="24"/>
        </w:rPr>
      </w:pPr>
      <w:r>
        <w:rPr>
          <w:szCs w:val="24"/>
        </w:rPr>
        <w:br w:type="page"/>
      </w:r>
    </w:p>
    <w:p w14:paraId="7DB93872" w14:textId="697ED903" w:rsidR="004E0161" w:rsidRPr="00953500" w:rsidRDefault="004E0161" w:rsidP="00C558E5">
      <w:pPr>
        <w:pStyle w:val="Heading4"/>
        <w:numPr>
          <w:ilvl w:val="0"/>
          <w:numId w:val="0"/>
        </w:numPr>
        <w:ind w:left="851"/>
        <w:rPr>
          <w:szCs w:val="24"/>
        </w:rPr>
      </w:pPr>
      <w:r w:rsidRPr="00953500">
        <w:rPr>
          <w:szCs w:val="24"/>
        </w:rPr>
        <w:lastRenderedPageBreak/>
        <w:t>Layout</w:t>
      </w:r>
    </w:p>
    <w:p w14:paraId="45B776D5" w14:textId="3400F631" w:rsidR="004E0161" w:rsidRPr="0021378E" w:rsidRDefault="004E0161">
      <w:pPr>
        <w:pStyle w:val="NumList1"/>
      </w:pPr>
      <w:r>
        <w:t xml:space="preserve">The generic site layout is shown in </w:t>
      </w:r>
      <w:r w:rsidRPr="0021378E">
        <w:t>Figure 1, noting that this diagram excludes the architectural shell which covers the reactor</w:t>
      </w:r>
      <w:r w:rsidR="001E2231">
        <w:t xml:space="preserve">, </w:t>
      </w:r>
      <w:r w:rsidRPr="0021378E">
        <w:t>turbine</w:t>
      </w:r>
      <w:r w:rsidR="001E2231">
        <w:t xml:space="preserve"> and cooling water</w:t>
      </w:r>
      <w:r w:rsidRPr="0021378E">
        <w:t xml:space="preserve"> islands, and the earth berm which surrounds the plant.</w:t>
      </w:r>
      <w:bookmarkStart w:id="41" w:name="_Hlk121747470"/>
      <w:r w:rsidRPr="0021378E">
        <w:t xml:space="preserve"> The total site footprint has been optimised to approximately 49,000m</w:t>
      </w:r>
      <w:r w:rsidRPr="0021378E">
        <w:rPr>
          <w:vertAlign w:val="superscript"/>
        </w:rPr>
        <w:t>2</w:t>
      </w:r>
      <w:r w:rsidRPr="0021378E">
        <w:t>.</w:t>
      </w:r>
    </w:p>
    <w:p w14:paraId="2A56A851" w14:textId="6300D59C" w:rsidR="004E0161" w:rsidRPr="0021378E" w:rsidRDefault="00D7725D" w:rsidP="004E0161">
      <w:pPr>
        <w:pStyle w:val="TSNumberedParagraph1"/>
        <w:numPr>
          <w:ilvl w:val="0"/>
          <w:numId w:val="0"/>
        </w:numPr>
        <w:jc w:val="center"/>
      </w:pPr>
      <w:r>
        <w:rPr>
          <w:noProof/>
        </w:rPr>
        <w:drawing>
          <wp:inline distT="0" distB="0" distL="0" distR="0" wp14:anchorId="4F156281" wp14:editId="54B4185E">
            <wp:extent cx="6189345" cy="2683789"/>
            <wp:effectExtent l="19050" t="19050" r="20955" b="21590"/>
            <wp:docPr id="12" name="Picture 12" descr="Figure 1: Rolls-Royce SM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 Rolls-Royce SMR layou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6848" cy="2700051"/>
                    </a:xfrm>
                    <a:prstGeom prst="rect">
                      <a:avLst/>
                    </a:prstGeom>
                    <a:noFill/>
                    <a:ln w="19050">
                      <a:solidFill>
                        <a:schemeClr val="tx1"/>
                      </a:solidFill>
                    </a:ln>
                  </pic:spPr>
                </pic:pic>
              </a:graphicData>
            </a:graphic>
          </wp:inline>
        </w:drawing>
      </w:r>
    </w:p>
    <w:p w14:paraId="5983E438" w14:textId="40B00E92" w:rsidR="004E0161" w:rsidRPr="00E50A93" w:rsidRDefault="004E0161" w:rsidP="00CE1CF8">
      <w:pPr>
        <w:pStyle w:val="TSNumberedParagraph1"/>
        <w:numPr>
          <w:ilvl w:val="0"/>
          <w:numId w:val="0"/>
        </w:numPr>
        <w:ind w:left="851"/>
        <w:rPr>
          <w:sz w:val="22"/>
          <w:szCs w:val="22"/>
        </w:rPr>
      </w:pPr>
      <w:bookmarkStart w:id="42" w:name="_Toc129080857"/>
      <w:bookmarkStart w:id="43" w:name="_Toc129080947"/>
      <w:bookmarkStart w:id="44" w:name="_Toc129081754"/>
      <w:r w:rsidRPr="0021378E">
        <w:rPr>
          <w:b/>
          <w:bCs/>
          <w:sz w:val="22"/>
          <w:szCs w:val="22"/>
        </w:rPr>
        <w:t>Figure 1: Rolls-Roy</w:t>
      </w:r>
      <w:r w:rsidRPr="00E50A93">
        <w:rPr>
          <w:b/>
          <w:bCs/>
          <w:sz w:val="22"/>
          <w:szCs w:val="22"/>
        </w:rPr>
        <w:t xml:space="preserve">ce SMR layout </w:t>
      </w:r>
      <w:r w:rsidRPr="00E50A93">
        <w:rPr>
          <w:sz w:val="22"/>
          <w:szCs w:val="22"/>
        </w:rPr>
        <w:t>(ref.</w:t>
      </w:r>
      <w:sdt>
        <w:sdtPr>
          <w:rPr>
            <w:sz w:val="22"/>
            <w:szCs w:val="22"/>
          </w:rPr>
          <w:id w:val="1516884946"/>
          <w:citation/>
        </w:sdtPr>
        <w:sdtEndPr/>
        <w:sdtContent>
          <w:r w:rsidRPr="00E50A93">
            <w:rPr>
              <w:sz w:val="22"/>
              <w:szCs w:val="22"/>
            </w:rPr>
            <w:fldChar w:fldCharType="begin"/>
          </w:r>
          <w:r w:rsidRPr="00E50A93">
            <w:rPr>
              <w:sz w:val="22"/>
              <w:szCs w:val="22"/>
            </w:rPr>
            <w:instrText xml:space="preserve"> CITATION PSR \l 2057 </w:instrText>
          </w:r>
          <w:r w:rsidRPr="00E50A93">
            <w:rPr>
              <w:sz w:val="22"/>
              <w:szCs w:val="22"/>
            </w:rPr>
            <w:fldChar w:fldCharType="separate"/>
          </w:r>
          <w:r w:rsidR="00AB0D39">
            <w:rPr>
              <w:noProof/>
              <w:sz w:val="22"/>
              <w:szCs w:val="22"/>
            </w:rPr>
            <w:t xml:space="preserve"> </w:t>
          </w:r>
          <w:r w:rsidR="00AB0D39" w:rsidRPr="00AB0D39">
            <w:rPr>
              <w:noProof/>
              <w:sz w:val="22"/>
              <w:szCs w:val="22"/>
            </w:rPr>
            <w:t>[6]</w:t>
          </w:r>
          <w:r w:rsidRPr="00E50A93">
            <w:rPr>
              <w:sz w:val="22"/>
              <w:szCs w:val="22"/>
            </w:rPr>
            <w:fldChar w:fldCharType="end"/>
          </w:r>
        </w:sdtContent>
      </w:sdt>
      <w:bookmarkEnd w:id="42"/>
      <w:bookmarkEnd w:id="43"/>
      <w:bookmarkEnd w:id="44"/>
      <w:r w:rsidR="001C00A1">
        <w:rPr>
          <w:sz w:val="22"/>
          <w:szCs w:val="22"/>
        </w:rPr>
        <w:t>)</w:t>
      </w:r>
    </w:p>
    <w:bookmarkEnd w:id="41"/>
    <w:p w14:paraId="33D72C69" w14:textId="77777777" w:rsidR="004E0161" w:rsidRDefault="004E0161">
      <w:pPr>
        <w:pStyle w:val="NumList1"/>
      </w:pPr>
      <w:r>
        <w:t>The design layout features a number of areas or ‘islands’ and includes:</w:t>
      </w:r>
    </w:p>
    <w:p w14:paraId="60CF797B" w14:textId="23F17F3C" w:rsidR="004E0161" w:rsidRDefault="007E020D" w:rsidP="00925DD5">
      <w:pPr>
        <w:pStyle w:val="Bulletlist2"/>
      </w:pPr>
      <w:r>
        <w:t xml:space="preserve">The </w:t>
      </w:r>
      <w:r w:rsidR="005C58E7">
        <w:t>r</w:t>
      </w:r>
      <w:r w:rsidR="004E0161">
        <w:t>eactor island includes the Structures, Systems and Components (SSCs) that form the reactor, transfer and storage of new and used fuel, and any associated nuclear auxiliary systems. The purpose of the reactor island is to use the heat from a controlled nuclear fission reaction to generate steam, which is then passed to the Turbine Island.</w:t>
      </w:r>
    </w:p>
    <w:p w14:paraId="12744C83" w14:textId="02AAD494" w:rsidR="004E0161" w:rsidRDefault="005C58E7" w:rsidP="00925DD5">
      <w:pPr>
        <w:pStyle w:val="Bulletlist2"/>
      </w:pPr>
      <w:r>
        <w:t>The t</w:t>
      </w:r>
      <w:r w:rsidR="004E0161">
        <w:t xml:space="preserve">urbine island provides the link between the reactor island where steam is generated, and the electrical connections where generated electricity is provided to the power grid. The main equipment in </w:t>
      </w:r>
      <w:r>
        <w:t xml:space="preserve">the </w:t>
      </w:r>
      <w:r w:rsidR="004E0161">
        <w:t>turbine island is the steam turbine and generator arrangement, where the mechanical energy of steam is converted into electrical energy.</w:t>
      </w:r>
    </w:p>
    <w:p w14:paraId="12A7F57D" w14:textId="6EA9D295" w:rsidR="004E0161" w:rsidRDefault="005C58E7" w:rsidP="00925DD5">
      <w:pPr>
        <w:pStyle w:val="Bulletlist2"/>
      </w:pPr>
      <w:r>
        <w:t>The c</w:t>
      </w:r>
      <w:r w:rsidR="004E0161">
        <w:t>ooling water island provides the primary means of removing heat from the power station, passing it to the ultimate heat sink. This includes the various cooling water systems needed for operating the plant.</w:t>
      </w:r>
    </w:p>
    <w:p w14:paraId="50818337" w14:textId="04008D67" w:rsidR="004E0161" w:rsidRDefault="00EB0D33" w:rsidP="00925DD5">
      <w:pPr>
        <w:pStyle w:val="Bulletlist2"/>
      </w:pPr>
      <w:r>
        <w:t>The b</w:t>
      </w:r>
      <w:r w:rsidR="004E0161">
        <w:t>alance of plant provides a range of ancillary functions to enable the other systems across the power station to achieve their functions, such as the supply of demineralised water and chemicals. This includes the water supply, disposal, treatment system, auxiliary systems, storage systems and ancillary systems.</w:t>
      </w:r>
    </w:p>
    <w:p w14:paraId="1393C7C6" w14:textId="243D68C9" w:rsidR="004E0161" w:rsidRDefault="004E0161">
      <w:pPr>
        <w:pStyle w:val="NumList1"/>
      </w:pPr>
      <w:r>
        <w:lastRenderedPageBreak/>
        <w:t>A range of electrical</w:t>
      </w:r>
      <w:r w:rsidR="00B47A80">
        <w:t xml:space="preserve"> and</w:t>
      </w:r>
      <w:r>
        <w:t xml:space="preserve"> Control and Instrumentation (C&amp;I) systems span the design including systems relating to grid connection and intra-site electrical distribution, including emergency power supplies. It also includes nuclear and non-nuclear C&amp;I systems, covering control, monitor</w:t>
      </w:r>
      <w:r w:rsidR="007F4E92">
        <w:t>ing</w:t>
      </w:r>
      <w:r>
        <w:t xml:space="preserve"> and protection functions.</w:t>
      </w:r>
    </w:p>
    <w:p w14:paraId="12F33786" w14:textId="77777777" w:rsidR="00CE1CF8" w:rsidRDefault="004E0161" w:rsidP="00056937">
      <w:pPr>
        <w:pStyle w:val="NumList1"/>
      </w:pPr>
      <w:r>
        <w:t xml:space="preserve">The generic design for GDA utilises cooling towers at a coastal site to provide the main heat sink for the plant during normal operations.  </w:t>
      </w:r>
    </w:p>
    <w:p w14:paraId="371F9759" w14:textId="191D452B" w:rsidR="004E0161" w:rsidRPr="00CE1CF8" w:rsidRDefault="004E0161" w:rsidP="009A5F11">
      <w:pPr>
        <w:pStyle w:val="NumList1"/>
        <w:numPr>
          <w:ilvl w:val="0"/>
          <w:numId w:val="0"/>
        </w:numPr>
        <w:ind w:left="851"/>
        <w:rPr>
          <w:b/>
          <w:bCs/>
        </w:rPr>
      </w:pPr>
      <w:r w:rsidRPr="00CE1CF8">
        <w:rPr>
          <w:b/>
          <w:bCs/>
        </w:rPr>
        <w:t>Structures</w:t>
      </w:r>
    </w:p>
    <w:p w14:paraId="51FE0939" w14:textId="3703E9DF" w:rsidR="004E0161" w:rsidRPr="0021378E" w:rsidRDefault="004E0161">
      <w:pPr>
        <w:pStyle w:val="NumList1"/>
      </w:pPr>
      <w:r>
        <w:t xml:space="preserve">The main nuclear significant structures are associated with the </w:t>
      </w:r>
      <w:r w:rsidR="003E0A46">
        <w:t>reactor island</w:t>
      </w:r>
      <w:r>
        <w:t xml:space="preserve">. These include the containment building, fuel and control building, radioactive waste building, access building and auxiliary building. A plan view through the </w:t>
      </w:r>
      <w:r w:rsidR="003E0A46">
        <w:t>reactor island</w:t>
      </w:r>
      <w:r>
        <w:t xml:space="preserve"> is shown </w:t>
      </w:r>
      <w:r w:rsidRPr="0021378E">
        <w:t>in Figure 2.</w:t>
      </w:r>
    </w:p>
    <w:p w14:paraId="19B4AC05" w14:textId="15C7F985" w:rsidR="004E0161" w:rsidRPr="0021378E" w:rsidRDefault="00A77EBC" w:rsidP="004E0161">
      <w:pPr>
        <w:pStyle w:val="TSNumberedParagraph1"/>
        <w:numPr>
          <w:ilvl w:val="0"/>
          <w:numId w:val="0"/>
        </w:numPr>
        <w:jc w:val="center"/>
      </w:pPr>
      <w:r>
        <w:rPr>
          <w:noProof/>
        </w:rPr>
        <w:drawing>
          <wp:inline distT="0" distB="0" distL="0" distR="0" wp14:anchorId="66A4395C" wp14:editId="1C3E823C">
            <wp:extent cx="4335599" cy="3194463"/>
            <wp:effectExtent l="19050" t="19050" r="27305" b="25400"/>
            <wp:docPr id="14" name="Picture 14" descr="Figure 2: Reactor island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 Reactor island plan 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7281" cy="3210438"/>
                    </a:xfrm>
                    <a:prstGeom prst="rect">
                      <a:avLst/>
                    </a:prstGeom>
                    <a:noFill/>
                    <a:ln w="19050">
                      <a:solidFill>
                        <a:schemeClr val="tx1"/>
                      </a:solidFill>
                    </a:ln>
                  </pic:spPr>
                </pic:pic>
              </a:graphicData>
            </a:graphic>
          </wp:inline>
        </w:drawing>
      </w:r>
    </w:p>
    <w:p w14:paraId="43380D43" w14:textId="3D3ABC96" w:rsidR="004E0161" w:rsidRPr="0021378E" w:rsidRDefault="004E0161" w:rsidP="00CE1CF8">
      <w:pPr>
        <w:pStyle w:val="NumList1"/>
        <w:numPr>
          <w:ilvl w:val="0"/>
          <w:numId w:val="0"/>
        </w:numPr>
        <w:ind w:left="851"/>
        <w:rPr>
          <w:b/>
          <w:bCs/>
        </w:rPr>
      </w:pPr>
      <w:r w:rsidRPr="0021378E">
        <w:rPr>
          <w:b/>
          <w:bCs/>
        </w:rPr>
        <w:t xml:space="preserve">Figure 2: Reactor </w:t>
      </w:r>
      <w:r w:rsidR="00EB0D33">
        <w:rPr>
          <w:b/>
          <w:bCs/>
        </w:rPr>
        <w:t>i</w:t>
      </w:r>
      <w:r w:rsidR="00EB0D33" w:rsidRPr="0021378E">
        <w:rPr>
          <w:b/>
          <w:bCs/>
        </w:rPr>
        <w:t xml:space="preserve">sland </w:t>
      </w:r>
      <w:r w:rsidRPr="0021378E">
        <w:rPr>
          <w:b/>
          <w:bCs/>
        </w:rPr>
        <w:t>plan view</w:t>
      </w:r>
      <w:r w:rsidRPr="0021378E">
        <w:t xml:space="preserve"> (ref.</w:t>
      </w:r>
      <w:sdt>
        <w:sdtPr>
          <w:id w:val="-1251802913"/>
          <w:citation/>
        </w:sdtPr>
        <w:sdtEndPr/>
        <w:sdtContent>
          <w:r w:rsidRPr="0021378E">
            <w:fldChar w:fldCharType="begin"/>
          </w:r>
          <w:r w:rsidRPr="0021378E">
            <w:instrText xml:space="preserve"> CITATION PSR \l 2057 </w:instrText>
          </w:r>
          <w:r w:rsidRPr="0021378E">
            <w:fldChar w:fldCharType="separate"/>
          </w:r>
          <w:r w:rsidR="00AB0D39">
            <w:t xml:space="preserve"> </w:t>
          </w:r>
          <w:r w:rsidR="00AB0D39" w:rsidRPr="00AB0D39">
            <w:t>[6]</w:t>
          </w:r>
          <w:r w:rsidRPr="0021378E">
            <w:fldChar w:fldCharType="end"/>
          </w:r>
        </w:sdtContent>
      </w:sdt>
      <w:r w:rsidRPr="0021378E">
        <w:t>)</w:t>
      </w:r>
    </w:p>
    <w:p w14:paraId="5861AE30" w14:textId="118027D2" w:rsidR="004E0161" w:rsidRPr="0021378E" w:rsidRDefault="004E0161">
      <w:pPr>
        <w:pStyle w:val="NumList1"/>
      </w:pPr>
      <w:r w:rsidRPr="0021378E">
        <w:t>A hazard shield</w:t>
      </w:r>
      <w:r>
        <w:t xml:space="preserve">, consisting of a reinforced concrete wall and roof, is included in the Rolls-Royce SMR design to provide protection against a radioactive release due to external hazards. The bounding case for the hazard shield is based on an aircraft impact hazard, aiming to ensure confinement of fuel, prevention of criticality, protection of reactor shutdown and cooling systems and protection of monitoring systems. The hazard shield covers the </w:t>
      </w:r>
      <w:r w:rsidR="00763057">
        <w:t xml:space="preserve">containment building </w:t>
      </w:r>
      <w:r>
        <w:t xml:space="preserve">and the </w:t>
      </w:r>
      <w:r w:rsidR="00763057">
        <w:t xml:space="preserve">fuel </w:t>
      </w:r>
      <w:r>
        <w:t xml:space="preserve">and </w:t>
      </w:r>
      <w:r w:rsidR="00763057">
        <w:t xml:space="preserve">control building </w:t>
      </w:r>
      <w:r>
        <w:t xml:space="preserve">to ensure all </w:t>
      </w:r>
      <w:r w:rsidR="00763057">
        <w:t xml:space="preserve">class </w:t>
      </w:r>
      <w:r>
        <w:t xml:space="preserve">1 SSCs needed for these functions are protected (indicated by the thicker black </w:t>
      </w:r>
      <w:r w:rsidRPr="0021378E">
        <w:t>outline in Figure 2).</w:t>
      </w:r>
    </w:p>
    <w:p w14:paraId="7409224F" w14:textId="77777777" w:rsidR="00C55588" w:rsidRDefault="00C55588">
      <w:pPr>
        <w:spacing w:after="0" w:line="240" w:lineRule="auto"/>
        <w:rPr>
          <w:rFonts w:asciiTheme="minorHAnsi" w:eastAsiaTheme="minorHAnsi" w:hAnsiTheme="minorHAnsi" w:cstheme="minorBidi"/>
          <w:noProof/>
          <w:lang w:bidi="ar-SA"/>
        </w:rPr>
      </w:pPr>
      <w:r>
        <w:br w:type="page"/>
      </w:r>
    </w:p>
    <w:p w14:paraId="36644207" w14:textId="43FA4A81" w:rsidR="004E0161" w:rsidRDefault="004E0161">
      <w:pPr>
        <w:pStyle w:val="NumList1"/>
      </w:pPr>
      <w:r>
        <w:lastRenderedPageBreak/>
        <w:t xml:space="preserve">The generic Rolls-Royce SMR design also includes aseismic bearings for a base isolation system within </w:t>
      </w:r>
      <w:r w:rsidR="00352385">
        <w:t xml:space="preserve">the </w:t>
      </w:r>
      <w:r w:rsidR="003E0A46">
        <w:t>reactor island</w:t>
      </w:r>
      <w:r>
        <w:t xml:space="preserve">. The main benefit of this system is </w:t>
      </w:r>
      <w:r w:rsidR="004F0A77">
        <w:t xml:space="preserve">that it </w:t>
      </w:r>
      <w:r w:rsidR="003B3C0D">
        <w:t>i</w:t>
      </w:r>
      <w:r w:rsidR="004F0A77">
        <w:t xml:space="preserve">s </w:t>
      </w:r>
      <w:r>
        <w:t xml:space="preserve">claimed to allow the superstructure to be standardised, along with the equipment in the power station, regardless of site-specific seismicity. The base isolation system is comprised of three main components: the raft foundation, the concrete pedestals and aseismic bearings and the basemat. This is shown </w:t>
      </w:r>
      <w:r w:rsidRPr="0021378E">
        <w:t>in Figure 3. The arrangement allows for the decoupling between the ground and the superstructure, with a gap (labelled as moat) around the perimeter to allow for</w:t>
      </w:r>
      <w:r>
        <w:t xml:space="preserve"> horizontal displacements. This is claimed to protect the supported structure from the damaging effects of horizontal earthquake shaking in a seismic event. The base isolation applies to both the </w:t>
      </w:r>
      <w:r w:rsidR="00660D7D">
        <w:t xml:space="preserve">containment </w:t>
      </w:r>
      <w:r>
        <w:t xml:space="preserve">and </w:t>
      </w:r>
      <w:r w:rsidR="00660D7D">
        <w:t xml:space="preserve">fuel </w:t>
      </w:r>
      <w:r>
        <w:t xml:space="preserve">and </w:t>
      </w:r>
      <w:r w:rsidR="00660D7D">
        <w:t>control buildings</w:t>
      </w:r>
      <w:r>
        <w:t xml:space="preserve">, which house the </w:t>
      </w:r>
      <w:r w:rsidR="00660D7D">
        <w:t xml:space="preserve">class </w:t>
      </w:r>
      <w:r>
        <w:t>1 and 2 SSCs needed for post-earthquake functionality.</w:t>
      </w:r>
    </w:p>
    <w:p w14:paraId="3F45D12C" w14:textId="110B5A55" w:rsidR="004E0161" w:rsidRDefault="001808C7" w:rsidP="004E0161">
      <w:pPr>
        <w:pStyle w:val="TSNumberedParagraph1"/>
        <w:numPr>
          <w:ilvl w:val="0"/>
          <w:numId w:val="0"/>
        </w:numPr>
        <w:jc w:val="center"/>
      </w:pPr>
      <w:r>
        <w:rPr>
          <w:noProof/>
        </w:rPr>
        <w:drawing>
          <wp:inline distT="0" distB="0" distL="0" distR="0" wp14:anchorId="7216E650" wp14:editId="253D52C6">
            <wp:extent cx="5046798" cy="4037610"/>
            <wp:effectExtent l="19050" t="19050" r="20955" b="20320"/>
            <wp:docPr id="17" name="Picture 17" descr="Figure 3: Cross-section of reactor island base isol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3: Cross-section of reactor island base isolation syste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0428" cy="4048515"/>
                    </a:xfrm>
                    <a:prstGeom prst="rect">
                      <a:avLst/>
                    </a:prstGeom>
                    <a:noFill/>
                    <a:ln w="12700">
                      <a:solidFill>
                        <a:schemeClr val="tx1"/>
                      </a:solidFill>
                    </a:ln>
                  </pic:spPr>
                </pic:pic>
              </a:graphicData>
            </a:graphic>
          </wp:inline>
        </w:drawing>
      </w:r>
    </w:p>
    <w:p w14:paraId="74765B86" w14:textId="38C1F2C3" w:rsidR="004E0161" w:rsidRPr="0021378E" w:rsidRDefault="004E0161" w:rsidP="00CE1CF8">
      <w:pPr>
        <w:pStyle w:val="TSNumberedParagraph1"/>
        <w:numPr>
          <w:ilvl w:val="0"/>
          <w:numId w:val="0"/>
        </w:numPr>
        <w:ind w:left="851"/>
        <w:rPr>
          <w:b/>
          <w:bCs/>
          <w:sz w:val="22"/>
          <w:szCs w:val="22"/>
        </w:rPr>
      </w:pPr>
      <w:bookmarkStart w:id="45" w:name="_Toc129080860"/>
      <w:bookmarkStart w:id="46" w:name="_Toc129080950"/>
      <w:bookmarkStart w:id="47" w:name="_Toc129081757"/>
      <w:r w:rsidRPr="0021378E">
        <w:rPr>
          <w:b/>
          <w:bCs/>
          <w:sz w:val="22"/>
          <w:szCs w:val="22"/>
        </w:rPr>
        <w:t xml:space="preserve">Figure 3: Cross-section of </w:t>
      </w:r>
      <w:r w:rsidR="00660D7D">
        <w:rPr>
          <w:b/>
          <w:bCs/>
          <w:sz w:val="22"/>
          <w:szCs w:val="22"/>
        </w:rPr>
        <w:t>r</w:t>
      </w:r>
      <w:r w:rsidRPr="0021378E">
        <w:rPr>
          <w:b/>
          <w:bCs/>
          <w:sz w:val="22"/>
          <w:szCs w:val="22"/>
        </w:rPr>
        <w:t xml:space="preserve">eactor </w:t>
      </w:r>
      <w:r w:rsidR="00660D7D">
        <w:rPr>
          <w:b/>
          <w:bCs/>
          <w:sz w:val="22"/>
          <w:szCs w:val="22"/>
        </w:rPr>
        <w:t>i</w:t>
      </w:r>
      <w:r w:rsidRPr="0021378E">
        <w:rPr>
          <w:b/>
          <w:bCs/>
          <w:sz w:val="22"/>
          <w:szCs w:val="22"/>
        </w:rPr>
        <w:t xml:space="preserve">sland base isolation system </w:t>
      </w:r>
      <w:r w:rsidRPr="0021378E">
        <w:rPr>
          <w:sz w:val="22"/>
          <w:szCs w:val="22"/>
        </w:rPr>
        <w:t xml:space="preserve">(ref. </w:t>
      </w:r>
      <w:sdt>
        <w:sdtPr>
          <w:rPr>
            <w:sz w:val="22"/>
            <w:szCs w:val="22"/>
          </w:rPr>
          <w:id w:val="1884667650"/>
          <w:citation/>
        </w:sdtPr>
        <w:sdtEndPr/>
        <w:sdtContent>
          <w:r w:rsidRPr="0021378E">
            <w:rPr>
              <w:sz w:val="22"/>
              <w:szCs w:val="22"/>
            </w:rPr>
            <w:fldChar w:fldCharType="begin"/>
          </w:r>
          <w:r w:rsidRPr="0021378E">
            <w:rPr>
              <w:sz w:val="22"/>
              <w:szCs w:val="22"/>
            </w:rPr>
            <w:instrText xml:space="preserve"> CITATION PSR \l 2057 </w:instrText>
          </w:r>
          <w:r w:rsidRPr="0021378E">
            <w:rPr>
              <w:sz w:val="22"/>
              <w:szCs w:val="22"/>
            </w:rPr>
            <w:fldChar w:fldCharType="separate"/>
          </w:r>
          <w:r w:rsidR="00AB0D39" w:rsidRPr="00AB0D39">
            <w:rPr>
              <w:noProof/>
              <w:sz w:val="22"/>
              <w:szCs w:val="22"/>
            </w:rPr>
            <w:t>[6]</w:t>
          </w:r>
          <w:r w:rsidRPr="0021378E">
            <w:rPr>
              <w:sz w:val="22"/>
              <w:szCs w:val="22"/>
            </w:rPr>
            <w:fldChar w:fldCharType="end"/>
          </w:r>
        </w:sdtContent>
      </w:sdt>
      <w:r w:rsidRPr="0021378E">
        <w:rPr>
          <w:sz w:val="22"/>
          <w:szCs w:val="22"/>
        </w:rPr>
        <w:t>)</w:t>
      </w:r>
      <w:bookmarkEnd w:id="45"/>
      <w:bookmarkEnd w:id="46"/>
      <w:bookmarkEnd w:id="47"/>
    </w:p>
    <w:p w14:paraId="5736C295" w14:textId="77777777" w:rsidR="00C55588" w:rsidRDefault="00C55588">
      <w:pPr>
        <w:spacing w:after="0" w:line="240" w:lineRule="auto"/>
        <w:rPr>
          <w:rFonts w:asciiTheme="minorHAnsi" w:eastAsiaTheme="minorHAnsi" w:hAnsiTheme="minorHAnsi" w:cstheme="minorBidi"/>
          <w:noProof/>
          <w:lang w:bidi="ar-SA"/>
        </w:rPr>
      </w:pPr>
      <w:r>
        <w:br w:type="page"/>
      </w:r>
    </w:p>
    <w:p w14:paraId="7BA21C03" w14:textId="1D761CAC" w:rsidR="004E0161" w:rsidRPr="0021378E" w:rsidRDefault="004E0161">
      <w:pPr>
        <w:pStyle w:val="NumList1"/>
      </w:pPr>
      <w:r w:rsidRPr="0021378E">
        <w:lastRenderedPageBreak/>
        <w:t xml:space="preserve">The </w:t>
      </w:r>
      <w:r w:rsidR="00A948E0">
        <w:t>c</w:t>
      </w:r>
      <w:r w:rsidR="00A948E0" w:rsidRPr="0021378E">
        <w:t xml:space="preserve">ontainment </w:t>
      </w:r>
      <w:r w:rsidR="00A948E0">
        <w:t>b</w:t>
      </w:r>
      <w:r w:rsidR="00A948E0" w:rsidRPr="0021378E">
        <w:t xml:space="preserve">uilding </w:t>
      </w:r>
      <w:r w:rsidRPr="0021378E">
        <w:t xml:space="preserve">holds a containment vessel that encloses the reactor, providing confinement of radiation sources and preventing release to the environment in accident conditions. The containment vessel is a large steel pressure vessel, designed and substantiated to </w:t>
      </w:r>
      <w:r w:rsidR="00A948E0">
        <w:t>American Society of Me</w:t>
      </w:r>
      <w:r w:rsidR="003B3C0D">
        <w:t>c</w:t>
      </w:r>
      <w:r w:rsidR="00A948E0">
        <w:t>hanical Engineers (</w:t>
      </w:r>
      <w:r w:rsidRPr="0021378E">
        <w:t>ASME</w:t>
      </w:r>
      <w:r w:rsidR="00A948E0">
        <w:t>)</w:t>
      </w:r>
      <w:r w:rsidRPr="0021378E">
        <w:t xml:space="preserve"> III specifications, which contains the components of the Reactor Coolant System (RCS). The vessel is cylindrical and includes a top and bottom dome. The bottom dome is embedded into concrete and supported upon the aseismic bearing. The vessel is approximately 3</w:t>
      </w:r>
      <w:r w:rsidR="004E475E">
        <w:t>2</w:t>
      </w:r>
      <w:r w:rsidRPr="0021378E">
        <w:t xml:space="preserve"> m in diameter, 37 m </w:t>
      </w:r>
      <w:r w:rsidR="003A739E">
        <w:t xml:space="preserve">in height </w:t>
      </w:r>
      <w:r w:rsidR="00751DA3">
        <w:t xml:space="preserve">with </w:t>
      </w:r>
      <w:r w:rsidRPr="0021378E">
        <w:t xml:space="preserve">an internal free air volume of </w:t>
      </w:r>
      <w:r w:rsidR="003A739E">
        <w:t>around 18,000</w:t>
      </w:r>
      <w:r w:rsidRPr="0021378E">
        <w:t xml:space="preserve"> m</w:t>
      </w:r>
      <w:r w:rsidRPr="0021378E">
        <w:rPr>
          <w:vertAlign w:val="superscript"/>
        </w:rPr>
        <w:t>3</w:t>
      </w:r>
      <w:r w:rsidRPr="0021378E">
        <w:t>. The containment vessel is shown in Figure 4.</w:t>
      </w:r>
    </w:p>
    <w:p w14:paraId="15199481" w14:textId="1516A2AA" w:rsidR="004E0161" w:rsidRDefault="00C00E6C" w:rsidP="004E0161">
      <w:pPr>
        <w:pStyle w:val="TSNumberedParagraph1"/>
        <w:numPr>
          <w:ilvl w:val="0"/>
          <w:numId w:val="0"/>
        </w:numPr>
        <w:jc w:val="center"/>
      </w:pPr>
      <w:r>
        <w:rPr>
          <w:noProof/>
        </w:rPr>
        <w:drawing>
          <wp:inline distT="0" distB="0" distL="0" distR="0" wp14:anchorId="52FC2A77" wp14:editId="77997C1F">
            <wp:extent cx="3087370" cy="3942715"/>
            <wp:effectExtent l="19050" t="19050" r="17780" b="19685"/>
            <wp:docPr id="18" name="Picture 18" descr="Figure 4: Containment vessel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4: Containment vessel schemat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7370" cy="3942715"/>
                    </a:xfrm>
                    <a:prstGeom prst="rect">
                      <a:avLst/>
                    </a:prstGeom>
                    <a:noFill/>
                    <a:ln w="15875">
                      <a:solidFill>
                        <a:schemeClr val="tx1"/>
                      </a:solidFill>
                    </a:ln>
                  </pic:spPr>
                </pic:pic>
              </a:graphicData>
            </a:graphic>
          </wp:inline>
        </w:drawing>
      </w:r>
    </w:p>
    <w:p w14:paraId="1162E49E" w14:textId="7C054BD2" w:rsidR="004E0161" w:rsidRPr="0021378E" w:rsidRDefault="004E0161" w:rsidP="00CE1CF8">
      <w:pPr>
        <w:pStyle w:val="TSNumberedParagraph1"/>
        <w:numPr>
          <w:ilvl w:val="0"/>
          <w:numId w:val="0"/>
        </w:numPr>
        <w:ind w:left="851"/>
        <w:rPr>
          <w:b/>
          <w:bCs/>
          <w:sz w:val="22"/>
          <w:szCs w:val="22"/>
        </w:rPr>
      </w:pPr>
      <w:bookmarkStart w:id="48" w:name="_Toc129080862"/>
      <w:bookmarkStart w:id="49" w:name="_Toc129080952"/>
      <w:bookmarkStart w:id="50" w:name="_Toc129081759"/>
      <w:r w:rsidRPr="0021378E">
        <w:rPr>
          <w:b/>
          <w:bCs/>
          <w:sz w:val="22"/>
          <w:szCs w:val="22"/>
        </w:rPr>
        <w:t xml:space="preserve">Figure 4: Containment vessel schematic </w:t>
      </w:r>
      <w:r w:rsidRPr="0021378E">
        <w:rPr>
          <w:sz w:val="22"/>
          <w:szCs w:val="22"/>
        </w:rPr>
        <w:t xml:space="preserve">(ref. </w:t>
      </w:r>
      <w:sdt>
        <w:sdtPr>
          <w:rPr>
            <w:sz w:val="22"/>
            <w:szCs w:val="22"/>
          </w:rPr>
          <w:id w:val="-150149670"/>
          <w:citation/>
        </w:sdtPr>
        <w:sdtEndPr/>
        <w:sdtContent>
          <w:r w:rsidRPr="0021378E">
            <w:rPr>
              <w:sz w:val="22"/>
              <w:szCs w:val="22"/>
            </w:rPr>
            <w:fldChar w:fldCharType="begin"/>
          </w:r>
          <w:r w:rsidRPr="0021378E">
            <w:rPr>
              <w:sz w:val="22"/>
              <w:szCs w:val="22"/>
            </w:rPr>
            <w:instrText xml:space="preserve"> CITATION PSR \l 2057 </w:instrText>
          </w:r>
          <w:r w:rsidRPr="0021378E">
            <w:rPr>
              <w:sz w:val="22"/>
              <w:szCs w:val="22"/>
            </w:rPr>
            <w:fldChar w:fldCharType="separate"/>
          </w:r>
          <w:r w:rsidR="00AB0D39" w:rsidRPr="00AB0D39">
            <w:rPr>
              <w:noProof/>
              <w:sz w:val="22"/>
              <w:szCs w:val="22"/>
            </w:rPr>
            <w:t>[6]</w:t>
          </w:r>
          <w:r w:rsidRPr="0021378E">
            <w:rPr>
              <w:sz w:val="22"/>
              <w:szCs w:val="22"/>
            </w:rPr>
            <w:fldChar w:fldCharType="end"/>
          </w:r>
        </w:sdtContent>
      </w:sdt>
      <w:r w:rsidRPr="0021378E">
        <w:rPr>
          <w:sz w:val="22"/>
          <w:szCs w:val="22"/>
        </w:rPr>
        <w:t>)</w:t>
      </w:r>
      <w:bookmarkEnd w:id="48"/>
      <w:bookmarkEnd w:id="49"/>
      <w:bookmarkEnd w:id="50"/>
    </w:p>
    <w:p w14:paraId="55DF7B41" w14:textId="77777777" w:rsidR="00C55588" w:rsidRDefault="00C55588">
      <w:pPr>
        <w:spacing w:after="0" w:line="240" w:lineRule="auto"/>
        <w:rPr>
          <w:rFonts w:asciiTheme="minorHAnsi" w:eastAsiaTheme="minorHAnsi" w:hAnsiTheme="minorHAnsi" w:cstheme="minorBidi"/>
          <w:b/>
          <w:bCs/>
          <w:noProof/>
          <w:lang w:bidi="ar-SA"/>
        </w:rPr>
      </w:pPr>
      <w:r>
        <w:rPr>
          <w:b/>
          <w:bCs/>
        </w:rPr>
        <w:br w:type="page"/>
      </w:r>
    </w:p>
    <w:p w14:paraId="19E94D61" w14:textId="6AD3AEA2" w:rsidR="004E0161" w:rsidRPr="00CE1CF8" w:rsidRDefault="004E0161" w:rsidP="00CE1CF8">
      <w:pPr>
        <w:pStyle w:val="NumList1"/>
        <w:numPr>
          <w:ilvl w:val="0"/>
          <w:numId w:val="0"/>
        </w:numPr>
        <w:ind w:left="851"/>
        <w:rPr>
          <w:b/>
          <w:bCs/>
        </w:rPr>
      </w:pPr>
      <w:r w:rsidRPr="00CE1CF8">
        <w:rPr>
          <w:b/>
          <w:bCs/>
        </w:rPr>
        <w:lastRenderedPageBreak/>
        <w:t>Reactor</w:t>
      </w:r>
    </w:p>
    <w:p w14:paraId="264A3CC2" w14:textId="0A1BF4F9" w:rsidR="004E0161" w:rsidRPr="0021378E" w:rsidRDefault="004E0161">
      <w:pPr>
        <w:pStyle w:val="NumList1"/>
      </w:pPr>
      <w:r w:rsidRPr="0021378E">
        <w:t xml:space="preserve">The RCS is shown in Figure 5. The RCS is in a three-loop close-coupled configuration, arranged to facilitate natural circulation when pumped flow is unavailable. </w:t>
      </w:r>
    </w:p>
    <w:p w14:paraId="0909B300" w14:textId="77777777" w:rsidR="004E0161" w:rsidRDefault="004E0161">
      <w:pPr>
        <w:pStyle w:val="NumList1"/>
      </w:pPr>
      <w:r>
        <w:t>Each loop consists of primary pipes going into and out of the Reactor Pressure Vessel (RPV) (referred to as cold and hot leg respectively), one seal-less reactor coolant pump in the cold leg, and one vertical u-tube Steam Generator (SG). One of the loops contains the pressuriser connected to the hot leg, whose function is to maintain high pressure within the primary reactor circuit and avoid boiling of the coolant. The operational pressure of the primary circuit is 15.5 MPa abs.</w:t>
      </w:r>
    </w:p>
    <w:p w14:paraId="5424B647" w14:textId="5027A8DF" w:rsidR="004E0161" w:rsidRDefault="00A157A1" w:rsidP="004E0161">
      <w:pPr>
        <w:pStyle w:val="TSNumberedParagraph1"/>
        <w:numPr>
          <w:ilvl w:val="0"/>
          <w:numId w:val="0"/>
        </w:numPr>
        <w:jc w:val="center"/>
      </w:pPr>
      <w:r>
        <w:rPr>
          <w:noProof/>
        </w:rPr>
        <w:drawing>
          <wp:inline distT="0" distB="0" distL="0" distR="0" wp14:anchorId="2E0DD9DE" wp14:editId="6080D89F">
            <wp:extent cx="3707467" cy="4612327"/>
            <wp:effectExtent l="19050" t="19050" r="26670" b="17145"/>
            <wp:docPr id="19" name="Picture 19" descr="Figure 5: Reactor Coolant System (RCS)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5: Reactor Coolant System (RCS) layou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0905" cy="4616604"/>
                    </a:xfrm>
                    <a:prstGeom prst="rect">
                      <a:avLst/>
                    </a:prstGeom>
                    <a:noFill/>
                    <a:ln w="19050">
                      <a:solidFill>
                        <a:schemeClr val="tx1"/>
                      </a:solidFill>
                    </a:ln>
                  </pic:spPr>
                </pic:pic>
              </a:graphicData>
            </a:graphic>
          </wp:inline>
        </w:drawing>
      </w:r>
    </w:p>
    <w:p w14:paraId="1F71B33D" w14:textId="2BEE4F78" w:rsidR="004E0161" w:rsidRPr="00E50A93" w:rsidRDefault="004E0161" w:rsidP="00CE1CF8">
      <w:pPr>
        <w:pStyle w:val="TSNumberedParagraph1"/>
        <w:numPr>
          <w:ilvl w:val="0"/>
          <w:numId w:val="0"/>
        </w:numPr>
        <w:ind w:left="851"/>
        <w:rPr>
          <w:b/>
          <w:bCs/>
          <w:sz w:val="22"/>
          <w:szCs w:val="22"/>
        </w:rPr>
      </w:pPr>
      <w:bookmarkStart w:id="51" w:name="_Toc129080864"/>
      <w:bookmarkStart w:id="52" w:name="_Toc129080954"/>
      <w:bookmarkStart w:id="53" w:name="_Toc129081761"/>
      <w:r w:rsidRPr="0021378E">
        <w:rPr>
          <w:b/>
          <w:bCs/>
          <w:sz w:val="22"/>
          <w:szCs w:val="22"/>
        </w:rPr>
        <w:t xml:space="preserve">Figure 5: Reactor Coolant System </w:t>
      </w:r>
      <w:r w:rsidR="00CF56B4">
        <w:rPr>
          <w:b/>
          <w:bCs/>
          <w:sz w:val="22"/>
          <w:szCs w:val="22"/>
        </w:rPr>
        <w:t xml:space="preserve">(RCS) </w:t>
      </w:r>
      <w:r w:rsidRPr="0021378E">
        <w:rPr>
          <w:b/>
          <w:bCs/>
          <w:sz w:val="22"/>
          <w:szCs w:val="22"/>
        </w:rPr>
        <w:t xml:space="preserve">layout </w:t>
      </w:r>
      <w:r w:rsidRPr="0021378E">
        <w:rPr>
          <w:sz w:val="22"/>
          <w:szCs w:val="22"/>
        </w:rPr>
        <w:t xml:space="preserve">(ref. </w:t>
      </w:r>
      <w:sdt>
        <w:sdtPr>
          <w:rPr>
            <w:sz w:val="22"/>
            <w:szCs w:val="22"/>
          </w:rPr>
          <w:id w:val="-843624662"/>
          <w:citation/>
        </w:sdtPr>
        <w:sdtEndPr/>
        <w:sdtContent>
          <w:r w:rsidRPr="0021378E">
            <w:rPr>
              <w:sz w:val="22"/>
              <w:szCs w:val="22"/>
            </w:rPr>
            <w:fldChar w:fldCharType="begin"/>
          </w:r>
          <w:r w:rsidRPr="0021378E">
            <w:rPr>
              <w:sz w:val="22"/>
              <w:szCs w:val="22"/>
            </w:rPr>
            <w:instrText xml:space="preserve"> CITATION PSR \l 2057 </w:instrText>
          </w:r>
          <w:r w:rsidRPr="0021378E">
            <w:rPr>
              <w:sz w:val="22"/>
              <w:szCs w:val="22"/>
            </w:rPr>
            <w:fldChar w:fldCharType="separate"/>
          </w:r>
          <w:r w:rsidR="00AB0D39" w:rsidRPr="00AB0D39">
            <w:rPr>
              <w:noProof/>
              <w:sz w:val="22"/>
              <w:szCs w:val="22"/>
            </w:rPr>
            <w:t>[6]</w:t>
          </w:r>
          <w:r w:rsidRPr="0021378E">
            <w:rPr>
              <w:sz w:val="22"/>
              <w:szCs w:val="22"/>
            </w:rPr>
            <w:fldChar w:fldCharType="end"/>
          </w:r>
        </w:sdtContent>
      </w:sdt>
      <w:r w:rsidRPr="0021378E">
        <w:rPr>
          <w:sz w:val="22"/>
          <w:szCs w:val="22"/>
        </w:rPr>
        <w:t>)</w:t>
      </w:r>
      <w:bookmarkEnd w:id="51"/>
      <w:bookmarkEnd w:id="52"/>
      <w:bookmarkEnd w:id="53"/>
    </w:p>
    <w:p w14:paraId="7E7C055B" w14:textId="77777777" w:rsidR="00C55588" w:rsidRDefault="00C55588">
      <w:pPr>
        <w:spacing w:after="0" w:line="240" w:lineRule="auto"/>
        <w:rPr>
          <w:rFonts w:asciiTheme="minorHAnsi" w:eastAsiaTheme="minorHAnsi" w:hAnsiTheme="minorHAnsi" w:cstheme="minorBidi"/>
          <w:noProof/>
          <w:lang w:bidi="ar-SA"/>
        </w:rPr>
      </w:pPr>
      <w:r>
        <w:br w:type="page"/>
      </w:r>
    </w:p>
    <w:p w14:paraId="67F5DEC9" w14:textId="798856EF" w:rsidR="004E0161" w:rsidRDefault="004E0161">
      <w:pPr>
        <w:pStyle w:val="NumList1"/>
      </w:pPr>
      <w:r>
        <w:lastRenderedPageBreak/>
        <w:t>At the centre of the RCS is the Reactor Pressure Vessel (RPV). The RPV is a cylindrical steel vessel designed to withstand the high temperatures, pressures and radiation of the reactor. The RPV houses the reactor core, in-core instrumentation and the reactor internals. The reactor core is made up of 121 fuel assemblies and 113 control rod assemblies. Each fuel assembly is arranged in a 17x17 array of fuel rods consisting of a metallic zirconium alloy cladding housing the nuclear fuel, which is in the form of small ceramic pellets, which contain up to 4.95% enriched uranium dioxide fuel. The hemispherical upper head of the RPV is removable to allow refuelling of the reactor every 18 months.</w:t>
      </w:r>
    </w:p>
    <w:p w14:paraId="5E70A4A0" w14:textId="6D919D97" w:rsidR="004E0161" w:rsidRDefault="004E0161">
      <w:pPr>
        <w:pStyle w:val="NumList1"/>
      </w:pPr>
      <w:r>
        <w:t>Water is used as the primary coolant, to extract the heat from the reactor, and as a moderator to maintain the nuclear reaction in the core. Hot water from the core outlet passes into the SGs, where it flows through thousands of heat exchange tubes which transfer the heat to the secondary coolant on the outside of the tubes, which is allowed to boil and produce steam. It is this steam produced in the secondary side of the SGs that drives a turbine that ultimately, via a generator</w:t>
      </w:r>
      <w:r w:rsidR="009E2C04">
        <w:t>,</w:t>
      </w:r>
      <w:r>
        <w:t xml:space="preserve"> produces electricity. The primary coolant leaving the SGs, which is now at lower temperature, is then pumped back into the reactor via the cold legs. The flowrate of the primary coolant is such that </w:t>
      </w:r>
      <w:r w:rsidR="009E2C04">
        <w:t xml:space="preserve">the </w:t>
      </w:r>
      <w:r>
        <w:t>flow through each loop takes only a few seconds.</w:t>
      </w:r>
    </w:p>
    <w:p w14:paraId="226885A3" w14:textId="77777777" w:rsidR="004E0161" w:rsidRDefault="004E0161">
      <w:pPr>
        <w:pStyle w:val="NumList1"/>
      </w:pPr>
      <w:r>
        <w:t>Unlike other commercial PWRs, the generic Rolls-Royce SMR design is designed to operate without soluble boron during normal operations. Rolls-Royce SMR Limited claim that, in addition to simplification of the design, this provides safety benefits including full shutdown margin delivered by the control rods and elimination of boron dilution faults.</w:t>
      </w:r>
    </w:p>
    <w:p w14:paraId="1EDB8D31" w14:textId="4F638AE6" w:rsidR="004E0161" w:rsidRPr="00153614" w:rsidRDefault="004E0161" w:rsidP="00CE1CF8">
      <w:pPr>
        <w:pStyle w:val="TSNumberedParagraph1"/>
        <w:numPr>
          <w:ilvl w:val="0"/>
          <w:numId w:val="0"/>
        </w:numPr>
        <w:ind w:left="851"/>
        <w:rPr>
          <w:b/>
          <w:bCs/>
        </w:rPr>
      </w:pPr>
      <w:bookmarkStart w:id="54" w:name="_Toc129080865"/>
      <w:bookmarkStart w:id="55" w:name="_Toc129080955"/>
      <w:bookmarkStart w:id="56" w:name="_Toc129081762"/>
      <w:r w:rsidRPr="00153614">
        <w:rPr>
          <w:b/>
          <w:bCs/>
        </w:rPr>
        <w:t xml:space="preserve">Safety </w:t>
      </w:r>
      <w:r w:rsidR="00F51D00">
        <w:rPr>
          <w:b/>
          <w:bCs/>
        </w:rPr>
        <w:t>s</w:t>
      </w:r>
      <w:r w:rsidRPr="00153614">
        <w:rPr>
          <w:b/>
          <w:bCs/>
        </w:rPr>
        <w:t>ystems</w:t>
      </w:r>
      <w:bookmarkEnd w:id="54"/>
      <w:bookmarkEnd w:id="55"/>
      <w:bookmarkEnd w:id="56"/>
    </w:p>
    <w:p w14:paraId="67C45582" w14:textId="6A88C59D" w:rsidR="004E0161" w:rsidRDefault="004E0161">
      <w:pPr>
        <w:pStyle w:val="NumList1"/>
      </w:pPr>
      <w:r>
        <w:t xml:space="preserve">A range of safety measures are present in the Rolls-Royce SMR design to provide cooling, control criticality and contain radioactivity under fault conditions. Reflecting the RP’s design philosophy which prioritises use of passive safety features, active components and supporting electrical supply are claimed not to be significantly risk important. As such, hazards which render active systems unavailable such as complete loss of electrical supplies (station blackout) </w:t>
      </w:r>
      <w:r w:rsidR="00B24902">
        <w:t xml:space="preserve">are claimed to </w:t>
      </w:r>
      <w:r>
        <w:t xml:space="preserve">present very low risk. Similarly, failures of operator actions in delivery of safety functions are identified as not significantly important. As a result, a period of 72 hours is predicted before </w:t>
      </w:r>
      <w:r w:rsidR="00B35273">
        <w:t>off</w:t>
      </w:r>
      <w:r w:rsidR="00905F59">
        <w:t>site support</w:t>
      </w:r>
      <w:r>
        <w:t xml:space="preserve"> is required. </w:t>
      </w:r>
    </w:p>
    <w:p w14:paraId="72114BB8" w14:textId="089898BC" w:rsidR="004E0161" w:rsidRPr="0021378E" w:rsidRDefault="004E0161">
      <w:pPr>
        <w:pStyle w:val="NumList1"/>
      </w:pPr>
      <w:r>
        <w:t xml:space="preserve">The Rolls-Royce SMR employs both active and passive decay heat removal systems. Condenser decay heat removal utilises the SGs and the normal duty steam condenser to cool the RCS. Passive Decay Heat Removal (PDHR) is a dedicated safety system that utilises the SGs and the Local Ultimate Heatsink System (LUHS) to cool the RCS. In the PDHR system decay heat is transferred to the LUHS water tanks via dedicated submerged heat exchangers. Boiling of the LUHS water to atmosphere provides the ultimate heat sink via passive means which rely on natural circulation. This is shown in </w:t>
      </w:r>
      <w:r w:rsidRPr="0021378E">
        <w:t>Figure 6.</w:t>
      </w:r>
    </w:p>
    <w:p w14:paraId="1C92B67A" w14:textId="28860AA6" w:rsidR="004E0161" w:rsidRDefault="00934283" w:rsidP="004E0161">
      <w:pPr>
        <w:pStyle w:val="TSNumberedParagraph1"/>
        <w:numPr>
          <w:ilvl w:val="0"/>
          <w:numId w:val="0"/>
        </w:numPr>
        <w:jc w:val="center"/>
      </w:pPr>
      <w:r>
        <w:rPr>
          <w:noProof/>
        </w:rPr>
        <w:lastRenderedPageBreak/>
        <w:drawing>
          <wp:inline distT="0" distB="0" distL="0" distR="0" wp14:anchorId="213C0D6C" wp14:editId="29658215">
            <wp:extent cx="4042311" cy="3691455"/>
            <wp:effectExtent l="19050" t="19050" r="15875" b="23495"/>
            <wp:docPr id="20" name="Picture 20" descr="Figure 6: Passive Decay Heat Removal (PDHR) system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6: Passive Decay Heat Removal (PDHR) system schemati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4657" cy="3730125"/>
                    </a:xfrm>
                    <a:prstGeom prst="rect">
                      <a:avLst/>
                    </a:prstGeom>
                    <a:noFill/>
                    <a:ln w="19050">
                      <a:solidFill>
                        <a:schemeClr val="tx1"/>
                      </a:solidFill>
                    </a:ln>
                  </pic:spPr>
                </pic:pic>
              </a:graphicData>
            </a:graphic>
          </wp:inline>
        </w:drawing>
      </w:r>
    </w:p>
    <w:p w14:paraId="436F17B3" w14:textId="2FE6B8EB" w:rsidR="004E0161" w:rsidRPr="0021378E" w:rsidRDefault="004E0161" w:rsidP="00CE1CF8">
      <w:pPr>
        <w:pStyle w:val="TSNumberedParagraph1"/>
        <w:numPr>
          <w:ilvl w:val="0"/>
          <w:numId w:val="0"/>
        </w:numPr>
        <w:ind w:left="851"/>
        <w:rPr>
          <w:b/>
          <w:bCs/>
          <w:sz w:val="22"/>
          <w:szCs w:val="22"/>
        </w:rPr>
      </w:pPr>
      <w:bookmarkStart w:id="57" w:name="_Toc129080867"/>
      <w:bookmarkStart w:id="58" w:name="_Toc129080957"/>
      <w:bookmarkStart w:id="59" w:name="_Toc129081764"/>
      <w:r w:rsidRPr="0021378E">
        <w:rPr>
          <w:b/>
          <w:bCs/>
          <w:sz w:val="22"/>
          <w:szCs w:val="22"/>
        </w:rPr>
        <w:t xml:space="preserve">Figure 6: Passive Decay Heat Removal </w:t>
      </w:r>
      <w:r w:rsidR="00CF56B4">
        <w:rPr>
          <w:b/>
          <w:bCs/>
          <w:sz w:val="22"/>
          <w:szCs w:val="22"/>
        </w:rPr>
        <w:t xml:space="preserve">(PDHR) </w:t>
      </w:r>
      <w:r w:rsidRPr="0021378E">
        <w:rPr>
          <w:b/>
          <w:bCs/>
          <w:sz w:val="22"/>
          <w:szCs w:val="22"/>
        </w:rPr>
        <w:t xml:space="preserve">system schematic </w:t>
      </w:r>
      <w:r w:rsidRPr="0021378E">
        <w:rPr>
          <w:sz w:val="22"/>
          <w:szCs w:val="22"/>
        </w:rPr>
        <w:t xml:space="preserve">(ref. </w:t>
      </w:r>
      <w:sdt>
        <w:sdtPr>
          <w:rPr>
            <w:sz w:val="22"/>
            <w:szCs w:val="22"/>
          </w:rPr>
          <w:id w:val="1967692618"/>
          <w:citation/>
        </w:sdtPr>
        <w:sdtEndPr/>
        <w:sdtContent>
          <w:r w:rsidRPr="0021378E">
            <w:rPr>
              <w:sz w:val="22"/>
              <w:szCs w:val="22"/>
            </w:rPr>
            <w:fldChar w:fldCharType="begin"/>
          </w:r>
          <w:r w:rsidRPr="0021378E">
            <w:rPr>
              <w:sz w:val="22"/>
              <w:szCs w:val="22"/>
            </w:rPr>
            <w:instrText xml:space="preserve"> CITATION PSR \l 2057 </w:instrText>
          </w:r>
          <w:r w:rsidRPr="0021378E">
            <w:rPr>
              <w:sz w:val="22"/>
              <w:szCs w:val="22"/>
            </w:rPr>
            <w:fldChar w:fldCharType="separate"/>
          </w:r>
          <w:r w:rsidR="00AB0D39" w:rsidRPr="00AB0D39">
            <w:rPr>
              <w:noProof/>
              <w:sz w:val="22"/>
              <w:szCs w:val="22"/>
            </w:rPr>
            <w:t>[6]</w:t>
          </w:r>
          <w:r w:rsidRPr="0021378E">
            <w:rPr>
              <w:sz w:val="22"/>
              <w:szCs w:val="22"/>
            </w:rPr>
            <w:fldChar w:fldCharType="end"/>
          </w:r>
        </w:sdtContent>
      </w:sdt>
      <w:r w:rsidRPr="0021378E">
        <w:rPr>
          <w:sz w:val="22"/>
          <w:szCs w:val="22"/>
        </w:rPr>
        <w:t>)</w:t>
      </w:r>
      <w:bookmarkEnd w:id="57"/>
      <w:bookmarkEnd w:id="58"/>
      <w:bookmarkEnd w:id="59"/>
    </w:p>
    <w:p w14:paraId="17ECFC68" w14:textId="77777777" w:rsidR="004E0161" w:rsidRPr="0021378E" w:rsidRDefault="004E0161">
      <w:pPr>
        <w:pStyle w:val="NumList1"/>
      </w:pPr>
      <w:r w:rsidRPr="0021378E">
        <w:t>In circumstances where the SGs are unavailable for decay heat removal, for example in Loss of Coolant Accidents (LOCA), the Emergency Core Cooling System (ECCS) provides a passive, redundant, diverse and segregated protective safety measure. This system provides core cooling in a sequence which involves blowdown of the RCS to the containment through dedicated relief valves, water injection from three accumulator tanks, gravity injection from the refuelling pool and auxiliary LOCA pool and passive circulation from water accumulated within the containment sumps. This is shown in Figure 7.</w:t>
      </w:r>
    </w:p>
    <w:p w14:paraId="799BD51B" w14:textId="254B55AF" w:rsidR="004E0161" w:rsidRPr="0021378E" w:rsidRDefault="00C81A33" w:rsidP="004E0161">
      <w:pPr>
        <w:pStyle w:val="TSNumberedParagraph1"/>
        <w:numPr>
          <w:ilvl w:val="0"/>
          <w:numId w:val="0"/>
        </w:numPr>
        <w:jc w:val="center"/>
      </w:pPr>
      <w:r>
        <w:rPr>
          <w:noProof/>
        </w:rPr>
        <w:drawing>
          <wp:inline distT="0" distB="0" distL="0" distR="0" wp14:anchorId="0EEFFCA2" wp14:editId="2433A071">
            <wp:extent cx="5710053" cy="2681018"/>
            <wp:effectExtent l="19050" t="19050" r="24130" b="24130"/>
            <wp:docPr id="21" name="Picture 21" descr="Figure 7: Emergency Core Cooling System (ECCS)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7: Emergency Core Cooling System (ECCS) schemati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649" cy="2687871"/>
                    </a:xfrm>
                    <a:prstGeom prst="rect">
                      <a:avLst/>
                    </a:prstGeom>
                    <a:noFill/>
                    <a:ln w="19050">
                      <a:solidFill>
                        <a:schemeClr val="tx1"/>
                      </a:solidFill>
                    </a:ln>
                  </pic:spPr>
                </pic:pic>
              </a:graphicData>
            </a:graphic>
          </wp:inline>
        </w:drawing>
      </w:r>
    </w:p>
    <w:p w14:paraId="6A4B56E8" w14:textId="09E451E6" w:rsidR="004E0161" w:rsidRPr="00E50A93" w:rsidRDefault="004E0161" w:rsidP="00CE1CF8">
      <w:pPr>
        <w:pStyle w:val="TSNumberedParagraph1"/>
        <w:numPr>
          <w:ilvl w:val="0"/>
          <w:numId w:val="0"/>
        </w:numPr>
        <w:ind w:left="851"/>
        <w:rPr>
          <w:b/>
          <w:bCs/>
          <w:sz w:val="22"/>
          <w:szCs w:val="22"/>
        </w:rPr>
      </w:pPr>
      <w:bookmarkStart w:id="60" w:name="_Toc129080869"/>
      <w:bookmarkStart w:id="61" w:name="_Toc129080959"/>
      <w:bookmarkStart w:id="62" w:name="_Toc129081766"/>
      <w:r w:rsidRPr="0021378E">
        <w:rPr>
          <w:b/>
          <w:bCs/>
          <w:sz w:val="22"/>
          <w:szCs w:val="22"/>
        </w:rPr>
        <w:t xml:space="preserve">Figure 7: Emergency Core Cooling System </w:t>
      </w:r>
      <w:r w:rsidR="00CF56B4">
        <w:rPr>
          <w:b/>
          <w:bCs/>
          <w:sz w:val="22"/>
          <w:szCs w:val="22"/>
        </w:rPr>
        <w:t xml:space="preserve">(ECCS) </w:t>
      </w:r>
      <w:r w:rsidRPr="0021378E">
        <w:rPr>
          <w:b/>
          <w:bCs/>
          <w:sz w:val="22"/>
          <w:szCs w:val="22"/>
        </w:rPr>
        <w:t xml:space="preserve">schematic </w:t>
      </w:r>
      <w:r w:rsidRPr="0021378E">
        <w:rPr>
          <w:sz w:val="22"/>
          <w:szCs w:val="22"/>
        </w:rPr>
        <w:t xml:space="preserve">(ref. </w:t>
      </w:r>
      <w:sdt>
        <w:sdtPr>
          <w:rPr>
            <w:sz w:val="22"/>
            <w:szCs w:val="22"/>
          </w:rPr>
          <w:id w:val="-637732152"/>
          <w:citation/>
        </w:sdtPr>
        <w:sdtEndPr/>
        <w:sdtContent>
          <w:r w:rsidRPr="0021378E">
            <w:rPr>
              <w:sz w:val="22"/>
              <w:szCs w:val="22"/>
            </w:rPr>
            <w:fldChar w:fldCharType="begin"/>
          </w:r>
          <w:r w:rsidRPr="0021378E">
            <w:rPr>
              <w:sz w:val="22"/>
              <w:szCs w:val="22"/>
            </w:rPr>
            <w:instrText xml:space="preserve"> CITATION PSR \l 2057 </w:instrText>
          </w:r>
          <w:r w:rsidRPr="0021378E">
            <w:rPr>
              <w:sz w:val="22"/>
              <w:szCs w:val="22"/>
            </w:rPr>
            <w:fldChar w:fldCharType="separate"/>
          </w:r>
          <w:r w:rsidR="00AB0D39" w:rsidRPr="00AB0D39">
            <w:rPr>
              <w:noProof/>
              <w:sz w:val="22"/>
              <w:szCs w:val="22"/>
            </w:rPr>
            <w:t>[6]</w:t>
          </w:r>
          <w:r w:rsidRPr="0021378E">
            <w:rPr>
              <w:sz w:val="22"/>
              <w:szCs w:val="22"/>
            </w:rPr>
            <w:fldChar w:fldCharType="end"/>
          </w:r>
        </w:sdtContent>
      </w:sdt>
      <w:r w:rsidRPr="0021378E">
        <w:rPr>
          <w:sz w:val="22"/>
          <w:szCs w:val="22"/>
        </w:rPr>
        <w:t>)</w:t>
      </w:r>
      <w:bookmarkEnd w:id="60"/>
      <w:bookmarkEnd w:id="61"/>
      <w:bookmarkEnd w:id="62"/>
    </w:p>
    <w:p w14:paraId="6751E3E9" w14:textId="77777777" w:rsidR="004E0161" w:rsidRDefault="004E0161">
      <w:pPr>
        <w:pStyle w:val="NumList1"/>
      </w:pPr>
      <w:r>
        <w:lastRenderedPageBreak/>
        <w:t>Additional protection is available from the High Pressure Injection System (HPIS) for smaller leaks, which uses pumped flow to introduce water into the RCS.</w:t>
      </w:r>
    </w:p>
    <w:p w14:paraId="4BA1557C" w14:textId="797B78E5" w:rsidR="004E0161" w:rsidRDefault="004E0161">
      <w:pPr>
        <w:pStyle w:val="NumList1"/>
      </w:pPr>
      <w:r>
        <w:t xml:space="preserve">Shutdown of the reactor in faults can be achieved using both the scram function and Emergency Boron Injection (EBI) system. The </w:t>
      </w:r>
      <w:r w:rsidR="00E22CE5">
        <w:t xml:space="preserve">scram </w:t>
      </w:r>
      <w:r>
        <w:t xml:space="preserve">function isolates power to the Control Rod Drive Mechanisms (CRDM), causing the control rods to be rapidly inserted. The alternative shutdown function is provided by the EBI system which delivers boron solution to the RCS. The EBI system operates at low pressure and is therefore dependent on the HPIS pumps. These systems are triggered from independent and diverse control and instrumentation systems. </w:t>
      </w:r>
    </w:p>
    <w:p w14:paraId="075948D9" w14:textId="77777777" w:rsidR="004E0161" w:rsidRPr="0021378E" w:rsidRDefault="004E0161">
      <w:pPr>
        <w:pStyle w:val="NumList1"/>
      </w:pPr>
      <w:r>
        <w:t xml:space="preserve">As described previously, a steel containment is provided to mitigate the release of fission products to the environment in the unlikely event of core damage. The containment also incorporates features to minimise and mitigate postulated severe accident phenomena. These include passive hydrogen re-combiners to prevent hydrogen explosions and containment vessel overpressure protection via filtered containment venting. The design also includes a Reactor Vessel Cavity Injection System (RVCIS) which has been designed to achieve In-Vessel Retention (IVR) of molten core material in a severe accident. This is achieved by externally cooling the RPV lower head by gravity flooding the reactor cavity pit with water, and allowing this to boil, condense and return to the pit. Steam released into the containment throughout the transient is cooled by the LUHS Passive Containment Cooling </w:t>
      </w:r>
      <w:r w:rsidRPr="0021378E">
        <w:t>(PCC) system heat exchangers. This is shown in Figure 8.</w:t>
      </w:r>
    </w:p>
    <w:p w14:paraId="074C554C" w14:textId="465C25BB" w:rsidR="004E0161" w:rsidRDefault="004F0869" w:rsidP="004E0161">
      <w:pPr>
        <w:pStyle w:val="TSNumberedParagraph1"/>
        <w:numPr>
          <w:ilvl w:val="0"/>
          <w:numId w:val="0"/>
        </w:numPr>
        <w:jc w:val="center"/>
      </w:pPr>
      <w:r>
        <w:rPr>
          <w:noProof/>
        </w:rPr>
        <w:lastRenderedPageBreak/>
        <w:drawing>
          <wp:inline distT="0" distB="0" distL="0" distR="0" wp14:anchorId="7FF2F8FE" wp14:editId="64BC341B">
            <wp:extent cx="4358005" cy="5094605"/>
            <wp:effectExtent l="19050" t="19050" r="23495" b="10795"/>
            <wp:docPr id="23" name="Picture 23" descr="Figure 8: Reactor Vessel Cavity Injection System (RCVIS)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8: Reactor Vessel Cavity Injection System (RCVIS) schem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8005" cy="5094605"/>
                    </a:xfrm>
                    <a:prstGeom prst="rect">
                      <a:avLst/>
                    </a:prstGeom>
                    <a:noFill/>
                    <a:ln w="15875">
                      <a:solidFill>
                        <a:schemeClr val="tx1"/>
                      </a:solidFill>
                    </a:ln>
                  </pic:spPr>
                </pic:pic>
              </a:graphicData>
            </a:graphic>
          </wp:inline>
        </w:drawing>
      </w:r>
    </w:p>
    <w:p w14:paraId="1670FB63" w14:textId="27A930B7" w:rsidR="004E0161" w:rsidRPr="00E50A93" w:rsidRDefault="004E0161" w:rsidP="00CE1CF8">
      <w:pPr>
        <w:pStyle w:val="TSNumberedParagraph1"/>
        <w:numPr>
          <w:ilvl w:val="0"/>
          <w:numId w:val="0"/>
        </w:numPr>
        <w:ind w:left="851"/>
        <w:rPr>
          <w:b/>
          <w:bCs/>
          <w:sz w:val="22"/>
          <w:szCs w:val="22"/>
        </w:rPr>
      </w:pPr>
      <w:bookmarkStart w:id="63" w:name="_Toc129080961"/>
      <w:bookmarkStart w:id="64" w:name="_Toc129081768"/>
      <w:r w:rsidRPr="0021378E">
        <w:rPr>
          <w:b/>
          <w:bCs/>
          <w:sz w:val="22"/>
          <w:szCs w:val="22"/>
        </w:rPr>
        <w:t xml:space="preserve">Figure 8: Reactor Vessel Cavity Injection System </w:t>
      </w:r>
      <w:r w:rsidR="00CF56B4">
        <w:rPr>
          <w:b/>
          <w:bCs/>
          <w:sz w:val="22"/>
          <w:szCs w:val="22"/>
        </w:rPr>
        <w:t xml:space="preserve">(RCVIS) </w:t>
      </w:r>
      <w:r w:rsidRPr="0021378E">
        <w:rPr>
          <w:b/>
          <w:bCs/>
          <w:sz w:val="22"/>
          <w:szCs w:val="22"/>
        </w:rPr>
        <w:t xml:space="preserve">schematic </w:t>
      </w:r>
      <w:r w:rsidRPr="0021378E">
        <w:rPr>
          <w:sz w:val="22"/>
          <w:szCs w:val="22"/>
        </w:rPr>
        <w:t xml:space="preserve">(ref. </w:t>
      </w:r>
      <w:sdt>
        <w:sdtPr>
          <w:rPr>
            <w:sz w:val="22"/>
            <w:szCs w:val="22"/>
          </w:rPr>
          <w:id w:val="-1403524505"/>
          <w:citation/>
        </w:sdtPr>
        <w:sdtEndPr/>
        <w:sdtContent>
          <w:r w:rsidRPr="0021378E">
            <w:rPr>
              <w:sz w:val="22"/>
              <w:szCs w:val="22"/>
            </w:rPr>
            <w:fldChar w:fldCharType="begin"/>
          </w:r>
          <w:r w:rsidRPr="0021378E">
            <w:rPr>
              <w:sz w:val="22"/>
              <w:szCs w:val="22"/>
            </w:rPr>
            <w:instrText xml:space="preserve"> CITATION PSR \l 2057 </w:instrText>
          </w:r>
          <w:r w:rsidRPr="0021378E">
            <w:rPr>
              <w:sz w:val="22"/>
              <w:szCs w:val="22"/>
            </w:rPr>
            <w:fldChar w:fldCharType="separate"/>
          </w:r>
          <w:r w:rsidR="00AB0D39" w:rsidRPr="00AB0D39">
            <w:rPr>
              <w:noProof/>
              <w:sz w:val="22"/>
              <w:szCs w:val="22"/>
            </w:rPr>
            <w:t>[6]</w:t>
          </w:r>
          <w:r w:rsidRPr="0021378E">
            <w:rPr>
              <w:sz w:val="22"/>
              <w:szCs w:val="22"/>
            </w:rPr>
            <w:fldChar w:fldCharType="end"/>
          </w:r>
        </w:sdtContent>
      </w:sdt>
      <w:r w:rsidRPr="0021378E">
        <w:rPr>
          <w:sz w:val="22"/>
          <w:szCs w:val="22"/>
        </w:rPr>
        <w:t>)</w:t>
      </w:r>
      <w:bookmarkEnd w:id="63"/>
      <w:bookmarkEnd w:id="64"/>
    </w:p>
    <w:p w14:paraId="0768AFFA" w14:textId="10D9E02E" w:rsidR="004E0161" w:rsidRPr="00336736" w:rsidRDefault="004E0161">
      <w:pPr>
        <w:pStyle w:val="NumList1"/>
      </w:pPr>
      <w:r>
        <w:t xml:space="preserve">The RP claims that the behaviour of the plant during abnormal operating conditions has been analysed and assessed using industry validated codes to demonstrate sufficient margin against plant damage for all postulated faults. A Probabilistic Safety </w:t>
      </w:r>
      <w:r w:rsidR="000E63FA">
        <w:t xml:space="preserve">Analysis </w:t>
      </w:r>
      <w:r>
        <w:t>(PSA) indicates an overall Core Damage Frequency (CDF) of &lt;10</w:t>
      </w:r>
      <w:r w:rsidRPr="0001767F">
        <w:rPr>
          <w:vertAlign w:val="superscript"/>
        </w:rPr>
        <w:t>-7</w:t>
      </w:r>
      <w:r>
        <w:t xml:space="preserve"> per year of power operation. PSA results identify that the Rolls-Royce SMR presents a balanced design with no single initiating event making a disproportionate CDF contribution.</w:t>
      </w:r>
    </w:p>
    <w:p w14:paraId="5633C756" w14:textId="1AEB6763" w:rsidR="004E0161" w:rsidRPr="00153614" w:rsidRDefault="004E0161" w:rsidP="003A78A9">
      <w:pPr>
        <w:pStyle w:val="Heading3"/>
      </w:pPr>
      <w:bookmarkStart w:id="65" w:name="_Toc129080962"/>
      <w:bookmarkStart w:id="66" w:name="_Toc129081769"/>
      <w:r w:rsidRPr="00CE1CF8">
        <w:t xml:space="preserve">ONR’s Familiarity </w:t>
      </w:r>
      <w:r w:rsidRPr="00153614">
        <w:t xml:space="preserve">with the </w:t>
      </w:r>
      <w:r w:rsidR="00F51D00">
        <w:t>t</w:t>
      </w:r>
      <w:r w:rsidRPr="00153614">
        <w:t xml:space="preserve">echnology </w:t>
      </w:r>
      <w:r w:rsidR="00F51D00">
        <w:t>u</w:t>
      </w:r>
      <w:r w:rsidRPr="00153614">
        <w:t xml:space="preserve">sed in </w:t>
      </w:r>
      <w:r w:rsidR="00CE1CF8">
        <w:t xml:space="preserve">the </w:t>
      </w:r>
      <w:r w:rsidRPr="00153614">
        <w:t>R</w:t>
      </w:r>
      <w:r w:rsidR="00CE1CF8">
        <w:t>olls</w:t>
      </w:r>
      <w:r w:rsidRPr="00153614">
        <w:t>-R</w:t>
      </w:r>
      <w:r w:rsidR="00CE1CF8">
        <w:t>oyce</w:t>
      </w:r>
      <w:r w:rsidRPr="00153614">
        <w:t xml:space="preserve"> SMR </w:t>
      </w:r>
      <w:r w:rsidR="00F51D00">
        <w:t>d</w:t>
      </w:r>
      <w:r w:rsidR="00CE1CF8">
        <w:t>esign</w:t>
      </w:r>
      <w:bookmarkEnd w:id="65"/>
      <w:bookmarkEnd w:id="66"/>
    </w:p>
    <w:p w14:paraId="1B730CF4" w14:textId="117A0946" w:rsidR="004E0161" w:rsidRDefault="004E0161">
      <w:pPr>
        <w:pStyle w:val="NumList1"/>
      </w:pPr>
      <w:r>
        <w:t xml:space="preserve">ONR has extensive experience assessing and regulating PWR designs and is therefore familiar with the technologies presented. Our assessment moving forwards, while considering all aspects of the design, will pay attention to </w:t>
      </w:r>
      <w:r w:rsidR="00677B7D">
        <w:t>areas of novelty</w:t>
      </w:r>
      <w:r w:rsidR="00545B72">
        <w:t xml:space="preserve">, </w:t>
      </w:r>
      <w:r w:rsidR="00D844E3">
        <w:t xml:space="preserve">have </w:t>
      </w:r>
      <w:r w:rsidR="00545B72">
        <w:t xml:space="preserve">high significance or </w:t>
      </w:r>
      <w:r>
        <w:t>that are unique to the Rolls-Royce SMR</w:t>
      </w:r>
      <w:r w:rsidR="00D844E3">
        <w:t xml:space="preserve">, </w:t>
      </w:r>
      <w:r>
        <w:t xml:space="preserve"> and how their effectiveness is demonstrated by the RP.</w:t>
      </w:r>
    </w:p>
    <w:p w14:paraId="27C4B6E5" w14:textId="2DBF7875" w:rsidR="004E0161" w:rsidRPr="00153614" w:rsidRDefault="004E0161" w:rsidP="00C558E5">
      <w:pPr>
        <w:pStyle w:val="Heading2"/>
      </w:pPr>
      <w:bookmarkStart w:id="67" w:name="_Toc129080963"/>
      <w:bookmarkStart w:id="68" w:name="_Toc129081770"/>
      <w:r w:rsidRPr="00153614">
        <w:lastRenderedPageBreak/>
        <w:t xml:space="preserve">Safety, </w:t>
      </w:r>
      <w:proofErr w:type="gramStart"/>
      <w:r w:rsidR="00F51D00">
        <w:t>s</w:t>
      </w:r>
      <w:r w:rsidRPr="00153614">
        <w:t>ecurity</w:t>
      </w:r>
      <w:proofErr w:type="gramEnd"/>
      <w:r w:rsidRPr="00153614">
        <w:t xml:space="preserve"> and </w:t>
      </w:r>
      <w:r w:rsidR="00F51D00">
        <w:t>s</w:t>
      </w:r>
      <w:r w:rsidRPr="00153614">
        <w:t>afeguards case</w:t>
      </w:r>
      <w:bookmarkEnd w:id="67"/>
      <w:bookmarkEnd w:id="68"/>
      <w:r w:rsidR="00C966B8">
        <w:t>s</w:t>
      </w:r>
      <w:r w:rsidRPr="00153614">
        <w:t xml:space="preserve"> </w:t>
      </w:r>
    </w:p>
    <w:p w14:paraId="40A94941" w14:textId="7D030E03" w:rsidR="004E0161" w:rsidRPr="0021378E" w:rsidRDefault="004E0161">
      <w:pPr>
        <w:pStyle w:val="NumList1"/>
      </w:pPr>
      <w:r>
        <w:t xml:space="preserve">The RP has submitted information on its strategy and intentions regarding the development of the </w:t>
      </w:r>
      <w:r w:rsidR="008F325E">
        <w:t>safety</w:t>
      </w:r>
      <w:r>
        <w:t xml:space="preserve">, </w:t>
      </w:r>
      <w:r w:rsidR="008F325E">
        <w:t xml:space="preserve">security </w:t>
      </w:r>
      <w:r>
        <w:t xml:space="preserve">and </w:t>
      </w:r>
      <w:r w:rsidR="008F325E">
        <w:t xml:space="preserve">safeguards </w:t>
      </w:r>
      <w:r>
        <w:t xml:space="preserve">cases. This was submitted to ONR during </w:t>
      </w:r>
      <w:r w:rsidR="00DD42F5">
        <w:t>Step</w:t>
      </w:r>
      <w:r>
        <w:t xml:space="preserve"> 1, and our views on this are detailed further in </w:t>
      </w:r>
      <w:r w:rsidRPr="0021378E">
        <w:t xml:space="preserve">Section 4.3, but some of the key points are summarised below. </w:t>
      </w:r>
    </w:p>
    <w:p w14:paraId="396C2931" w14:textId="77777777" w:rsidR="004E0161" w:rsidRPr="00153614" w:rsidRDefault="004E0161" w:rsidP="00C558E5">
      <w:pPr>
        <w:pStyle w:val="Heading3"/>
      </w:pPr>
      <w:bookmarkStart w:id="69" w:name="_Toc129080964"/>
      <w:bookmarkStart w:id="70" w:name="_Toc129081771"/>
      <w:r w:rsidRPr="00153614">
        <w:t>Approach</w:t>
      </w:r>
      <w:bookmarkEnd w:id="69"/>
      <w:bookmarkEnd w:id="70"/>
    </w:p>
    <w:p w14:paraId="057509D5" w14:textId="793D901C" w:rsidR="004E0161" w:rsidRDefault="004E0161">
      <w:pPr>
        <w:pStyle w:val="NumList1"/>
      </w:pPr>
      <w:r>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7606D95D" w14:textId="49CE684D" w:rsidR="004E0161" w:rsidRDefault="004E0161">
      <w:pPr>
        <w:pStyle w:val="NumList1"/>
      </w:pPr>
      <w:r>
        <w:t xml:space="preserve">This means that, </w:t>
      </w:r>
      <w:r w:rsidR="00E368DA">
        <w:t xml:space="preserve">although </w:t>
      </w:r>
      <w:r>
        <w:t>the case made for each of the E3S purposes (i.e. environment, safety, security and safeguards)</w:t>
      </w:r>
      <w:r w:rsidRPr="00F77787">
        <w:t xml:space="preserve"> </w:t>
      </w:r>
      <w:r>
        <w:t>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7FCDAC55" w14:textId="3DB6C551" w:rsidR="004E0161" w:rsidRDefault="004E0161">
      <w:pPr>
        <w:pStyle w:val="NumList1"/>
      </w:pPr>
      <w:r>
        <w:t xml:space="preserve">The </w:t>
      </w:r>
      <w:r w:rsidRPr="00F77787">
        <w:t xml:space="preserve">combined systems engineering and safety assessment approach </w:t>
      </w:r>
      <w:r>
        <w:t xml:space="preserve">used by Rolls-Royce SMR Limited means that E3S aspects are key inputs to </w:t>
      </w:r>
      <w:r w:rsidR="00A05CC9">
        <w:t xml:space="preserve">its </w:t>
      </w:r>
      <w:r w:rsidR="00AD758B">
        <w:t>definition r</w:t>
      </w:r>
      <w:r>
        <w:t>eview process</w:t>
      </w:r>
      <w:r w:rsidR="00A05CC9">
        <w:t xml:space="preserve"> </w:t>
      </w:r>
      <w:r w:rsidR="00810877">
        <w:t xml:space="preserve">which govern </w:t>
      </w:r>
      <w:r w:rsidR="008C1510">
        <w:t xml:space="preserve">its </w:t>
      </w:r>
      <w:r w:rsidR="00810877">
        <w:t xml:space="preserve">design activities </w:t>
      </w:r>
      <w:r w:rsidR="00A05CC9">
        <w:t xml:space="preserve">(see Section </w:t>
      </w:r>
      <w:r w:rsidR="00D53EAD">
        <w:t>4.3.1</w:t>
      </w:r>
      <w:r w:rsidR="00A05CC9">
        <w:t>)</w:t>
      </w:r>
      <w:r>
        <w:t>. Specific guidance exists regarding ALARP, Best Available Techniques (BAT) and Secure by Design (SbD) as inputs to the process. The E3S team also work to support the engineers in the design activities, outside the formal engineering milestones process. These activities are aimed at producing an integrated design and E3S case.</w:t>
      </w:r>
    </w:p>
    <w:p w14:paraId="10593A49" w14:textId="508D4E8A" w:rsidR="004E0161" w:rsidRPr="00153614" w:rsidRDefault="004E0161" w:rsidP="00C558E5">
      <w:pPr>
        <w:pStyle w:val="Heading3"/>
      </w:pPr>
      <w:bookmarkStart w:id="71" w:name="_Toc129080965"/>
      <w:bookmarkStart w:id="72" w:name="_Toc129081772"/>
      <w:r w:rsidRPr="00153614">
        <w:t xml:space="preserve">Structure, </w:t>
      </w:r>
      <w:proofErr w:type="gramStart"/>
      <w:r w:rsidR="00F51D00">
        <w:t>s</w:t>
      </w:r>
      <w:r w:rsidRPr="00153614">
        <w:t>cope</w:t>
      </w:r>
      <w:proofErr w:type="gramEnd"/>
      <w:r w:rsidRPr="00153614">
        <w:t xml:space="preserve"> and </w:t>
      </w:r>
      <w:r w:rsidR="00F51D00">
        <w:t>c</w:t>
      </w:r>
      <w:r w:rsidRPr="00153614">
        <w:t>ontents</w:t>
      </w:r>
      <w:bookmarkEnd w:id="71"/>
      <w:bookmarkEnd w:id="72"/>
    </w:p>
    <w:p w14:paraId="4A1DAA4E" w14:textId="0987C2E9" w:rsidR="004E0161" w:rsidRPr="0021378E" w:rsidRDefault="004E0161">
      <w:pPr>
        <w:pStyle w:val="NumList1"/>
      </w:pPr>
      <w:r>
        <w:t xml:space="preserve">The E3S case is being developed using a </w:t>
      </w:r>
      <w:r w:rsidR="00EA3A54">
        <w:t xml:space="preserve">three </w:t>
      </w:r>
      <w:r>
        <w:t xml:space="preserve">tier hierarchy and incorporating a Claim, Argument and Evidence (CAE) structure with the highest-level claims being derived from the RP’s own E3S principles. The highest level of the </w:t>
      </w:r>
      <w:r w:rsidR="00F66BC5">
        <w:t xml:space="preserve">three </w:t>
      </w:r>
      <w:r>
        <w:t xml:space="preserve">tiers is the RP’s summary report, or head document, with the lower tiers </w:t>
      </w:r>
      <w:r w:rsidRPr="0021378E">
        <w:t>providing more detailed arguments and evidence. This is illustrated in Figure 9.</w:t>
      </w:r>
    </w:p>
    <w:p w14:paraId="07DE2E26" w14:textId="362AED0A" w:rsidR="004E0161" w:rsidRDefault="008C2CFC" w:rsidP="008C2CFC">
      <w:pPr>
        <w:pStyle w:val="TSNumberedParagraph1"/>
        <w:numPr>
          <w:ilvl w:val="0"/>
          <w:numId w:val="0"/>
        </w:numPr>
        <w:jc w:val="center"/>
      </w:pPr>
      <w:bookmarkStart w:id="73" w:name="_Hlk125981591"/>
      <w:r>
        <w:rPr>
          <w:noProof/>
        </w:rPr>
        <w:lastRenderedPageBreak/>
        <w:drawing>
          <wp:inline distT="0" distB="0" distL="0" distR="0" wp14:anchorId="694255F9" wp14:editId="4A7DFDF2">
            <wp:extent cx="6169731" cy="2018805"/>
            <wp:effectExtent l="19050" t="19050" r="21590" b="19685"/>
            <wp:docPr id="24" name="Picture 24" descr="Figure 9: Claim, Argument Evidence (CAE) structure within the E3S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9: Claim, Argument Evidence (CAE) structure within the E3S hierarch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6790" cy="2034203"/>
                    </a:xfrm>
                    <a:prstGeom prst="rect">
                      <a:avLst/>
                    </a:prstGeom>
                    <a:noFill/>
                    <a:ln w="19050">
                      <a:solidFill>
                        <a:schemeClr val="tx1"/>
                      </a:solidFill>
                    </a:ln>
                  </pic:spPr>
                </pic:pic>
              </a:graphicData>
            </a:graphic>
          </wp:inline>
        </w:drawing>
      </w:r>
    </w:p>
    <w:p w14:paraId="719D2205" w14:textId="0D1C1925" w:rsidR="004E0161" w:rsidRPr="00E50A93" w:rsidRDefault="004E0161" w:rsidP="00CE1CF8">
      <w:pPr>
        <w:pStyle w:val="TSNumberedParagraph1"/>
        <w:numPr>
          <w:ilvl w:val="0"/>
          <w:numId w:val="0"/>
        </w:numPr>
        <w:ind w:left="851"/>
        <w:rPr>
          <w:b/>
          <w:bCs/>
          <w:sz w:val="22"/>
          <w:szCs w:val="22"/>
        </w:rPr>
      </w:pPr>
      <w:bookmarkStart w:id="74" w:name="_Toc129080967"/>
      <w:bookmarkStart w:id="75" w:name="_Toc129081774"/>
      <w:r w:rsidRPr="0021378E">
        <w:rPr>
          <w:b/>
          <w:bCs/>
          <w:sz w:val="22"/>
          <w:szCs w:val="22"/>
        </w:rPr>
        <w:t xml:space="preserve">Figure 9: Claim, Argument Evidence </w:t>
      </w:r>
      <w:r w:rsidR="00CF56B4">
        <w:rPr>
          <w:b/>
          <w:bCs/>
          <w:sz w:val="22"/>
          <w:szCs w:val="22"/>
        </w:rPr>
        <w:t xml:space="preserve">(CAE) </w:t>
      </w:r>
      <w:r w:rsidRPr="0021378E">
        <w:rPr>
          <w:b/>
          <w:bCs/>
          <w:sz w:val="22"/>
          <w:szCs w:val="22"/>
        </w:rPr>
        <w:t xml:space="preserve">structure within the E3S hierarchy </w:t>
      </w:r>
      <w:r w:rsidRPr="0021378E">
        <w:rPr>
          <w:sz w:val="22"/>
          <w:szCs w:val="22"/>
        </w:rPr>
        <w:t xml:space="preserve">(ref. </w:t>
      </w:r>
      <w:sdt>
        <w:sdtPr>
          <w:rPr>
            <w:sz w:val="22"/>
            <w:szCs w:val="22"/>
          </w:rPr>
          <w:id w:val="591199133"/>
          <w:citation/>
        </w:sdtPr>
        <w:sdtEndPr/>
        <w:sdtContent>
          <w:r w:rsidRPr="0021378E">
            <w:rPr>
              <w:sz w:val="22"/>
              <w:szCs w:val="22"/>
            </w:rPr>
            <w:fldChar w:fldCharType="begin"/>
          </w:r>
          <w:r w:rsidRPr="0021378E">
            <w:rPr>
              <w:sz w:val="22"/>
              <w:szCs w:val="22"/>
            </w:rPr>
            <w:instrText xml:space="preserve"> CITATION PSR \l 2057 </w:instrText>
          </w:r>
          <w:r w:rsidRPr="0021378E">
            <w:rPr>
              <w:sz w:val="22"/>
              <w:szCs w:val="22"/>
            </w:rPr>
            <w:fldChar w:fldCharType="separate"/>
          </w:r>
          <w:r w:rsidR="00AB0D39" w:rsidRPr="00AB0D39">
            <w:rPr>
              <w:noProof/>
              <w:sz w:val="22"/>
              <w:szCs w:val="22"/>
            </w:rPr>
            <w:t>[6]</w:t>
          </w:r>
          <w:r w:rsidRPr="0021378E">
            <w:rPr>
              <w:sz w:val="22"/>
              <w:szCs w:val="22"/>
            </w:rPr>
            <w:fldChar w:fldCharType="end"/>
          </w:r>
        </w:sdtContent>
      </w:sdt>
      <w:r w:rsidRPr="0021378E">
        <w:rPr>
          <w:sz w:val="22"/>
          <w:szCs w:val="22"/>
        </w:rPr>
        <w:t>)</w:t>
      </w:r>
      <w:bookmarkEnd w:id="74"/>
      <w:bookmarkEnd w:id="75"/>
    </w:p>
    <w:bookmarkEnd w:id="73"/>
    <w:p w14:paraId="342F1F31" w14:textId="291A3322" w:rsidR="004E0161" w:rsidRDefault="004E0161">
      <w:pPr>
        <w:pStyle w:val="NumList1"/>
      </w:pPr>
      <w:r>
        <w:t xml:space="preserve">The structure of the E3S case largely aligns with the International Atomic Energy Agency (IAEA) guidance for safety cases, SSG-61 (ref. </w:t>
      </w:r>
      <w:sdt>
        <w:sdtPr>
          <w:id w:val="-163406369"/>
          <w:citation/>
        </w:sdtPr>
        <w:sdtEndPr/>
        <w:sdtContent>
          <w:r>
            <w:fldChar w:fldCharType="begin"/>
          </w:r>
          <w:r>
            <w:instrText xml:space="preserve"> CITATION IAE \l 2057 </w:instrText>
          </w:r>
          <w:r>
            <w:fldChar w:fldCharType="separate"/>
          </w:r>
          <w:r w:rsidR="00AB0D39" w:rsidRPr="00AB0D39">
            <w:t>[7]</w:t>
          </w:r>
          <w:r>
            <w:fldChar w:fldCharType="end"/>
          </w:r>
        </w:sdtContent>
      </w:sdt>
      <w:r>
        <w:t>), supplemented to include UK specific expectations and expanded to include the other E3S purposes. This leads to a</w:t>
      </w:r>
      <w:r w:rsidR="00F66BC5">
        <w:t>bout</w:t>
      </w:r>
      <w:r>
        <w:t xml:space="preserve"> 30 chapters. All of ONR’s technical topics, as defined in </w:t>
      </w:r>
      <w:r w:rsidR="002163EB">
        <w:t>Guidance to Requesting Parties</w:t>
      </w:r>
      <w:r>
        <w:t xml:space="preserve"> (ref. </w:t>
      </w:r>
      <w:sdt>
        <w:sdtPr>
          <w:id w:val="990051273"/>
          <w:citation/>
        </w:sdtPr>
        <w:sdtEndPr/>
        <w:sdtContent>
          <w:r>
            <w:fldChar w:fldCharType="begin"/>
          </w:r>
          <w:r>
            <w:instrText xml:space="preserve">CITATION GtoRPs \l 2057 </w:instrText>
          </w:r>
          <w:r>
            <w:fldChar w:fldCharType="separate"/>
          </w:r>
          <w:r w:rsidR="00AB0D39" w:rsidRPr="00AB0D39">
            <w:t>[1]</w:t>
          </w:r>
          <w:r>
            <w:fldChar w:fldCharType="end"/>
          </w:r>
        </w:sdtContent>
      </w:sdt>
      <w:r>
        <w:t>), are within the scope of the E3S case, albeit a number do not have specific individual chapters but are distributed throughout.</w:t>
      </w:r>
    </w:p>
    <w:p w14:paraId="0ECC5A91" w14:textId="77777777" w:rsidR="004E0161" w:rsidRDefault="004E0161">
      <w:pPr>
        <w:pStyle w:val="NumList1"/>
      </w:pPr>
      <w:r>
        <w:t>One artifact of the RP’s engineering process is the derivation and management of requirements which define what the design must deliver. The E3S requirements, comprising both safety functional (or equivalent for security, safeguards and environment) and non-functional requirements, are a sub-set of the requirements generated, and derive from the underpinning E3S analysis (or evidence). The requirements, and their substantiation, will therefore be a prominent feature of the E3S case and provide a ‘golden thread’ to the engineering substantiation.</w:t>
      </w:r>
    </w:p>
    <w:p w14:paraId="50BB3641" w14:textId="07ECFC6F" w:rsidR="004E0161" w:rsidRDefault="004E0161">
      <w:pPr>
        <w:pStyle w:val="NumList1"/>
      </w:pPr>
      <w:r>
        <w:t xml:space="preserve">Rolls-Royce SMR Limited </w:t>
      </w:r>
      <w:r w:rsidR="00F66BC5">
        <w:t xml:space="preserve">is </w:t>
      </w:r>
      <w:r>
        <w:t>deploying a number of digital tools to aid the production and control of the E3S case. These include the use of a requirements management platform (IBM DOORS) and an assurance case tool (Adelard’s Assurance and Safety Case Environment (</w:t>
      </w:r>
      <w:r w:rsidR="00C4709A">
        <w:t>ASCE</w:t>
      </w:r>
      <w:r>
        <w:t xml:space="preserve">)). Neither of these replace the case authors, but the RP expects that these tools will help to improve traceability, visibility, configuration management and collaboration, and will lead to a simplification or reduction of documentation. </w:t>
      </w:r>
    </w:p>
    <w:p w14:paraId="413FAFDF" w14:textId="77777777" w:rsidR="00B37C33" w:rsidRPr="00B37C33" w:rsidRDefault="00B37C33" w:rsidP="00AC2E98">
      <w:pPr>
        <w:pStyle w:val="NumList1"/>
        <w:numPr>
          <w:ilvl w:val="0"/>
          <w:numId w:val="0"/>
        </w:numPr>
        <w:ind w:left="851"/>
      </w:pPr>
    </w:p>
    <w:p w14:paraId="01775804" w14:textId="77777777" w:rsidR="00CE1CF8" w:rsidRDefault="00CE1CF8">
      <w:pPr>
        <w:spacing w:after="0" w:line="240" w:lineRule="auto"/>
        <w:rPr>
          <w:color w:val="22413A"/>
          <w:sz w:val="48"/>
        </w:rPr>
      </w:pPr>
      <w:r>
        <w:rPr>
          <w:color w:val="22413A"/>
        </w:rPr>
        <w:br w:type="page"/>
      </w:r>
    </w:p>
    <w:p w14:paraId="4A4B131A" w14:textId="0030901F" w:rsidR="0038766B" w:rsidRPr="00C86D4A" w:rsidRDefault="00B37C33">
      <w:pPr>
        <w:pStyle w:val="Heading1"/>
        <w:ind w:left="851" w:hanging="851"/>
        <w:rPr>
          <w:color w:val="22413A"/>
        </w:rPr>
      </w:pPr>
      <w:bookmarkStart w:id="76" w:name="_Toc129081775"/>
      <w:r w:rsidRPr="00C86D4A">
        <w:rPr>
          <w:color w:val="22413A"/>
        </w:rPr>
        <w:lastRenderedPageBreak/>
        <w:t xml:space="preserve">Work </w:t>
      </w:r>
      <w:r w:rsidR="00F51D00">
        <w:rPr>
          <w:color w:val="22413A"/>
        </w:rPr>
        <w:t>c</w:t>
      </w:r>
      <w:r w:rsidRPr="00C86D4A">
        <w:rPr>
          <w:color w:val="22413A"/>
        </w:rPr>
        <w:t xml:space="preserve">arried out by ONR in </w:t>
      </w:r>
      <w:r w:rsidR="00F51D00">
        <w:rPr>
          <w:color w:val="22413A"/>
        </w:rPr>
        <w:t>c</w:t>
      </w:r>
      <w:r w:rsidRPr="00C86D4A">
        <w:rPr>
          <w:color w:val="22413A"/>
        </w:rPr>
        <w:t xml:space="preserve">onsideration of this </w:t>
      </w:r>
      <w:r w:rsidR="00F51D00">
        <w:rPr>
          <w:color w:val="22413A"/>
        </w:rPr>
        <w:t>r</w:t>
      </w:r>
      <w:r w:rsidRPr="00C86D4A">
        <w:rPr>
          <w:color w:val="22413A"/>
        </w:rPr>
        <w:t>equest</w:t>
      </w:r>
      <w:bookmarkEnd w:id="76"/>
    </w:p>
    <w:p w14:paraId="499BD0E9" w14:textId="4FF421DA" w:rsidR="008126FF" w:rsidRDefault="008126FF">
      <w:pPr>
        <w:pStyle w:val="NumList1"/>
      </w:pPr>
      <w:r>
        <w:t xml:space="preserve">Guidance to requesting parties (ref. </w:t>
      </w:r>
      <w:sdt>
        <w:sdtPr>
          <w:id w:val="1303884277"/>
          <w:citation/>
        </w:sdtPr>
        <w:sdtEndPr/>
        <w:sdtContent>
          <w:r>
            <w:fldChar w:fldCharType="begin"/>
          </w:r>
          <w:r>
            <w:instrText xml:space="preserve"> CITATION GtoRPs \l 2057 </w:instrText>
          </w:r>
          <w:r>
            <w:fldChar w:fldCharType="separate"/>
          </w:r>
          <w:r w:rsidR="00AB0D39" w:rsidRPr="00AB0D39">
            <w:t>[1]</w:t>
          </w:r>
          <w:r>
            <w:fldChar w:fldCharType="end"/>
          </w:r>
        </w:sdtContent>
      </w:sdt>
      <w:r>
        <w:t xml:space="preserve">) details the activities that both ONR and the RP are expected to undertake. This provided the framework for ONR’s work during </w:t>
      </w:r>
      <w:r w:rsidR="00DD42F5">
        <w:t>Step</w:t>
      </w:r>
      <w:r>
        <w:t xml:space="preserve"> 1.</w:t>
      </w:r>
    </w:p>
    <w:p w14:paraId="79AA65CA" w14:textId="62E5AC15" w:rsidR="008126FF" w:rsidRPr="0058388F" w:rsidRDefault="008126FF">
      <w:pPr>
        <w:pStyle w:val="NumList1"/>
      </w:pPr>
      <w:r w:rsidRPr="0058388F">
        <w:t xml:space="preserve">To ensure that </w:t>
      </w:r>
      <w:r>
        <w:t xml:space="preserve">ONR’s activities were coordinated and delivered, we produced a delivery strategy (ref. </w:t>
      </w:r>
      <w:sdt>
        <w:sdtPr>
          <w:id w:val="1229963603"/>
          <w:citation/>
        </w:sdtPr>
        <w:sdtEndPr/>
        <w:sdtContent>
          <w:r>
            <w:fldChar w:fldCharType="begin"/>
          </w:r>
          <w:r w:rsidR="00374937">
            <w:instrText xml:space="preserve">CITATION ONR \l 2057 </w:instrText>
          </w:r>
          <w:r>
            <w:fldChar w:fldCharType="separate"/>
          </w:r>
          <w:r w:rsidR="00AB0D39" w:rsidRPr="00AB0D39">
            <w:t>[8]</w:t>
          </w:r>
          <w:r>
            <w:fldChar w:fldCharType="end"/>
          </w:r>
        </w:sdtContent>
      </w:sdt>
      <w:r>
        <w:t xml:space="preserve">) which outlines roles and responsibilities, key activities and assurance arrangements for the project. It also served as the assessment plan for </w:t>
      </w:r>
      <w:r w:rsidR="00DD42F5">
        <w:t>Step</w:t>
      </w:r>
      <w:r>
        <w:t xml:space="preserve"> 1. It is intended that this strategy will provide the overarching framework for ONR’s regulatory assessments during </w:t>
      </w:r>
      <w:r w:rsidR="00BD51AC">
        <w:t xml:space="preserve">this </w:t>
      </w:r>
      <w:r>
        <w:t xml:space="preserve">GDA, including how we will coordinate assessments across each of our technical topics. It will be kept live and updated as </w:t>
      </w:r>
      <w:r w:rsidR="002E3A70">
        <w:t xml:space="preserve">the </w:t>
      </w:r>
      <w:r>
        <w:t>GDA progresses.</w:t>
      </w:r>
    </w:p>
    <w:p w14:paraId="190FECD9" w14:textId="72423FFD" w:rsidR="008126FF" w:rsidRPr="00153614" w:rsidRDefault="008126FF" w:rsidP="00C558E5">
      <w:pPr>
        <w:pStyle w:val="Heading2"/>
      </w:pPr>
      <w:bookmarkStart w:id="77" w:name="_Toc129080969"/>
      <w:bookmarkStart w:id="78" w:name="_Toc129081776"/>
      <w:r w:rsidRPr="00153614">
        <w:t xml:space="preserve">Assessment of </w:t>
      </w:r>
      <w:r w:rsidR="00F51D00">
        <w:t>s</w:t>
      </w:r>
      <w:r w:rsidRPr="00153614">
        <w:t>ubmissions</w:t>
      </w:r>
      <w:bookmarkEnd w:id="77"/>
      <w:bookmarkEnd w:id="78"/>
    </w:p>
    <w:p w14:paraId="12FDFB0E" w14:textId="70DCBAEA" w:rsidR="008126FF" w:rsidRPr="0021378E" w:rsidRDefault="008126FF">
      <w:pPr>
        <w:pStyle w:val="NumList1"/>
      </w:pPr>
      <w:r w:rsidRPr="00DC604D">
        <w:t xml:space="preserve">Appendix 2 of </w:t>
      </w:r>
      <w:r w:rsidR="002163EB">
        <w:t>Guidance to Requesting Parties</w:t>
      </w:r>
      <w:r w:rsidRPr="00DC604D">
        <w:t xml:space="preserve"> (ref. </w:t>
      </w:r>
      <w:sdt>
        <w:sdtPr>
          <w:id w:val="348912113"/>
          <w:citation/>
        </w:sdtPr>
        <w:sdtEndPr/>
        <w:sdtContent>
          <w:r>
            <w:fldChar w:fldCharType="begin"/>
          </w:r>
          <w:r>
            <w:instrText xml:space="preserve"> CITATION GtoRPs \l 2057 </w:instrText>
          </w:r>
          <w:r>
            <w:fldChar w:fldCharType="separate"/>
          </w:r>
          <w:r w:rsidR="00AB0D39" w:rsidRPr="00AB0D39">
            <w:t>[1]</w:t>
          </w:r>
          <w:r>
            <w:fldChar w:fldCharType="end"/>
          </w:r>
        </w:sdtContent>
      </w:sdt>
      <w:r w:rsidRPr="00DC604D">
        <w:t xml:space="preserve">) sets requirements on the RP for information to be submitted during </w:t>
      </w:r>
      <w:r w:rsidR="00DD42F5">
        <w:t>Step</w:t>
      </w:r>
      <w:r w:rsidRPr="00DC604D">
        <w:t xml:space="preserve"> 1. The requirements are </w:t>
      </w:r>
      <w:r w:rsidRPr="0021378E">
        <w:t>summarised in Table 1 of this report along with reference to where they are documented in this report, as appropriate.</w:t>
      </w:r>
    </w:p>
    <w:p w14:paraId="349500BC" w14:textId="061FD28F" w:rsidR="008126FF" w:rsidRPr="0021378E" w:rsidRDefault="008126FF">
      <w:pPr>
        <w:pStyle w:val="NumList1"/>
      </w:pPr>
      <w:r w:rsidRPr="0021378E">
        <w:t xml:space="preserve">In response to those requirements the RP submitted </w:t>
      </w:r>
      <w:r w:rsidR="00801E2D">
        <w:t>more than</w:t>
      </w:r>
      <w:r w:rsidR="00801E2D" w:rsidRPr="0021378E">
        <w:t xml:space="preserve"> </w:t>
      </w:r>
      <w:r w:rsidR="00036A26">
        <w:t>4</w:t>
      </w:r>
      <w:r w:rsidRPr="0021378E">
        <w:t>0 documents to ONR.</w:t>
      </w:r>
    </w:p>
    <w:p w14:paraId="5349EC0F" w14:textId="0DDD7BC3" w:rsidR="008126FF" w:rsidRPr="0021378E" w:rsidRDefault="008126FF">
      <w:pPr>
        <w:pStyle w:val="NumList1"/>
      </w:pPr>
      <w:r w:rsidRPr="0021378E">
        <w:t xml:space="preserve">As described in Section 2.2, ONR assessed the submissions made by the RP to form a judgement on whether the requirements had been met during </w:t>
      </w:r>
      <w:r w:rsidR="00DD42F5">
        <w:t>Step</w:t>
      </w:r>
      <w:r w:rsidRPr="0021378E">
        <w:t xml:space="preserve"> 1. Details of ONR’s assessment of these submission is in Section 4.</w:t>
      </w:r>
    </w:p>
    <w:p w14:paraId="55F1EB64" w14:textId="2B97AEE4" w:rsidR="008126FF" w:rsidRPr="00153614" w:rsidRDefault="008126FF" w:rsidP="00C558E5">
      <w:pPr>
        <w:pStyle w:val="Heading2"/>
      </w:pPr>
      <w:bookmarkStart w:id="79" w:name="_Toc129080970"/>
      <w:bookmarkStart w:id="80" w:name="_Toc129081777"/>
      <w:r w:rsidRPr="00153614">
        <w:t xml:space="preserve">Interactions with the </w:t>
      </w:r>
      <w:r w:rsidR="00F51D00">
        <w:t>r</w:t>
      </w:r>
      <w:r w:rsidRPr="00153614">
        <w:t xml:space="preserve">equesting </w:t>
      </w:r>
      <w:r w:rsidR="00F51D00">
        <w:t>p</w:t>
      </w:r>
      <w:r w:rsidRPr="00153614">
        <w:t>arty</w:t>
      </w:r>
      <w:bookmarkEnd w:id="79"/>
      <w:bookmarkEnd w:id="80"/>
    </w:p>
    <w:p w14:paraId="0286ABBA" w14:textId="6819E195" w:rsidR="008126FF" w:rsidRDefault="008126FF" w:rsidP="008B2626">
      <w:pPr>
        <w:pStyle w:val="NumList1"/>
      </w:pPr>
      <w:r>
        <w:t xml:space="preserve">During </w:t>
      </w:r>
      <w:r w:rsidR="00DD42F5">
        <w:t>Step</w:t>
      </w:r>
      <w:r>
        <w:t xml:space="preserve"> 1 we held </w:t>
      </w:r>
      <w:r w:rsidR="00801E2D">
        <w:t>more than</w:t>
      </w:r>
      <w:r>
        <w:t xml:space="preserve"> 200 meetings with the RP, at the project and individual technical topic level. This also included a number of workshops and briefings provided by the RP to improve our understanding of the design and its arrangements and processes. We also started the Management for Safety and Quality Assurance (MSQA) assessment activities, which included a number of specific targeted interventions to look at the RPs arrangements and capability to support the GDA. </w:t>
      </w:r>
    </w:p>
    <w:p w14:paraId="0376A1DE" w14:textId="43EFFBE7" w:rsidR="008126FF" w:rsidRDefault="00425705">
      <w:pPr>
        <w:pStyle w:val="NumList1"/>
      </w:pPr>
      <w:r>
        <w:t>Overall, t</w:t>
      </w:r>
      <w:r w:rsidR="008126FF">
        <w:t>he purpose of these engagements was:</w:t>
      </w:r>
    </w:p>
    <w:p w14:paraId="792C63F7" w14:textId="77777777" w:rsidR="008126FF" w:rsidRDefault="008126FF" w:rsidP="00C55588">
      <w:pPr>
        <w:pStyle w:val="Bulletlist1"/>
      </w:pPr>
      <w:r>
        <w:t>To seek assurance on the adequacy of the RP’s arrangements to undertake the GDA;</w:t>
      </w:r>
    </w:p>
    <w:p w14:paraId="3703F2E8" w14:textId="77777777" w:rsidR="008126FF" w:rsidRDefault="008126FF" w:rsidP="00C55588">
      <w:pPr>
        <w:pStyle w:val="Bulletlist1"/>
      </w:pPr>
      <w:r>
        <w:t xml:space="preserve">To develop our understanding of </w:t>
      </w:r>
      <w:r w:rsidRPr="004568DA">
        <w:t>the</w:t>
      </w:r>
      <w:r>
        <w:t xml:space="preserve"> generic Rolls-Royce SMR design;</w:t>
      </w:r>
    </w:p>
    <w:p w14:paraId="2D8A8679" w14:textId="77777777" w:rsidR="008126FF" w:rsidRDefault="008126FF" w:rsidP="00C55588">
      <w:pPr>
        <w:pStyle w:val="Bulletlist1"/>
      </w:pPr>
      <w:r>
        <w:t xml:space="preserve">To understand the developing E3S case; </w:t>
      </w:r>
    </w:p>
    <w:p w14:paraId="3655A1C8" w14:textId="689FA089" w:rsidR="008126FF" w:rsidRDefault="008126FF" w:rsidP="00925DD5">
      <w:pPr>
        <w:pStyle w:val="Bulletlist2"/>
      </w:pPr>
      <w:r>
        <w:lastRenderedPageBreak/>
        <w:t xml:space="preserve">To discuss submissions made during </w:t>
      </w:r>
      <w:r w:rsidR="00DD42F5">
        <w:t>Step</w:t>
      </w:r>
      <w:r>
        <w:t xml:space="preserve"> 1;</w:t>
      </w:r>
    </w:p>
    <w:p w14:paraId="0E2C369F" w14:textId="77777777" w:rsidR="008126FF" w:rsidRDefault="008126FF" w:rsidP="00925DD5">
      <w:pPr>
        <w:pStyle w:val="Bulletlist2"/>
      </w:pPr>
      <w:r>
        <w:t>To agree the GDA scope; and</w:t>
      </w:r>
    </w:p>
    <w:p w14:paraId="513837BE" w14:textId="4D356045" w:rsidR="008126FF" w:rsidRDefault="008126FF" w:rsidP="00925DD5">
      <w:pPr>
        <w:pStyle w:val="Bulletlist2"/>
      </w:pPr>
      <w:r>
        <w:t xml:space="preserve">To plan our assessments in each technical topic area </w:t>
      </w:r>
      <w:r w:rsidR="00E8765A">
        <w:t>for</w:t>
      </w:r>
      <w:r>
        <w:t xml:space="preserve"> </w:t>
      </w:r>
      <w:r w:rsidR="00DD42F5">
        <w:t>Step</w:t>
      </w:r>
      <w:r>
        <w:t xml:space="preserve"> 2, including development of a schedule of submissions required from the RP.</w:t>
      </w:r>
    </w:p>
    <w:p w14:paraId="74BF66E3" w14:textId="77777777" w:rsidR="008126FF" w:rsidRPr="0021378E" w:rsidRDefault="008126FF">
      <w:pPr>
        <w:pStyle w:val="NumList1"/>
      </w:pPr>
      <w:r w:rsidRPr="0021378E">
        <w:t>The outcomes from these interactions are discussed in Section 4.</w:t>
      </w:r>
    </w:p>
    <w:p w14:paraId="6DDAFDC2" w14:textId="77777777" w:rsidR="008126FF" w:rsidRPr="006553B1" w:rsidRDefault="008126FF">
      <w:pPr>
        <w:pStyle w:val="NumList1"/>
      </w:pPr>
      <w:r>
        <w:t>We found the RP</w:t>
      </w:r>
      <w:r w:rsidRPr="006553B1">
        <w:t xml:space="preserve"> to be </w:t>
      </w:r>
      <w:r>
        <w:t xml:space="preserve">professional, </w:t>
      </w:r>
      <w:r w:rsidRPr="006553B1">
        <w:t xml:space="preserve">responsive and open </w:t>
      </w:r>
      <w:r>
        <w:t>throughout</w:t>
      </w:r>
      <w:r w:rsidRPr="006553B1">
        <w:t xml:space="preserve"> our interactions.</w:t>
      </w:r>
      <w:r>
        <w:t xml:space="preserve"> We have confidence that this constructive working relationship will continue throughout GDA.</w:t>
      </w:r>
    </w:p>
    <w:p w14:paraId="0545FFE1" w14:textId="18541D60" w:rsidR="008126FF" w:rsidRPr="005B1CAA" w:rsidRDefault="008126FF">
      <w:pPr>
        <w:pStyle w:val="NumList1"/>
      </w:pPr>
      <w:r w:rsidRPr="006553B1">
        <w:t xml:space="preserve">During </w:t>
      </w:r>
      <w:r w:rsidR="00DD42F5">
        <w:t>Step</w:t>
      </w:r>
      <w:r w:rsidRPr="006553B1">
        <w:t xml:space="preserve"> 1 the RP also requested ONR to provide advice and feedback on a number of ‘early engagement’ themes. </w:t>
      </w:r>
      <w:r>
        <w:t>These were specific</w:t>
      </w:r>
      <w:r w:rsidRPr="005B1CAA">
        <w:t xml:space="preserve">, </w:t>
      </w:r>
      <w:r>
        <w:t>multi-disciplinary</w:t>
      </w:r>
      <w:r w:rsidRPr="005B1CAA">
        <w:t xml:space="preserve"> </w:t>
      </w:r>
      <w:r>
        <w:t>themes</w:t>
      </w:r>
      <w:r w:rsidRPr="005B1CAA">
        <w:t xml:space="preserve"> considered by the RP to be important to the success of its design. The RP requested early advice </w:t>
      </w:r>
      <w:r>
        <w:t>on whether</w:t>
      </w:r>
      <w:r w:rsidRPr="005B1CAA">
        <w:t xml:space="preserve"> they were progressing these </w:t>
      </w:r>
      <w:r>
        <w:t>themes</w:t>
      </w:r>
      <w:r w:rsidRPr="005B1CAA">
        <w:t xml:space="preserve"> in a manner consistent with regulatory expectations. </w:t>
      </w:r>
      <w:r w:rsidR="00C556B7">
        <w:t>We recognised</w:t>
      </w:r>
      <w:r w:rsidR="00DF5EE9">
        <w:t xml:space="preserve"> the </w:t>
      </w:r>
      <w:r w:rsidR="00E43C22">
        <w:t xml:space="preserve">risk this posed and ensured we maintained </w:t>
      </w:r>
      <w:r w:rsidR="00D34D86">
        <w:t xml:space="preserve">our </w:t>
      </w:r>
      <w:r w:rsidR="00E43C22">
        <w:t xml:space="preserve">independence from the RP’s design decisions. </w:t>
      </w:r>
      <w:r>
        <w:t xml:space="preserve">These also provided an opportunity for ONR to increase our understanding and to identify potential areas of interest for </w:t>
      </w:r>
      <w:r w:rsidR="00DD42F5">
        <w:t>Step</w:t>
      </w:r>
      <w:r>
        <w:t xml:space="preserve"> 2. </w:t>
      </w:r>
      <w:r w:rsidRPr="005B1CAA">
        <w:t xml:space="preserve">The </w:t>
      </w:r>
      <w:r>
        <w:t>themes</w:t>
      </w:r>
      <w:r w:rsidRPr="005B1CAA">
        <w:t xml:space="preserve"> were:</w:t>
      </w:r>
    </w:p>
    <w:p w14:paraId="69760CB7" w14:textId="5069A8B4" w:rsidR="008126FF" w:rsidRPr="000F0C65" w:rsidRDefault="008126FF" w:rsidP="00925DD5">
      <w:pPr>
        <w:pStyle w:val="Bulletlist2"/>
      </w:pPr>
      <w:r w:rsidRPr="005B1CAA">
        <w:t xml:space="preserve">Civil </w:t>
      </w:r>
      <w:r w:rsidR="00137510">
        <w:t>s</w:t>
      </w:r>
      <w:r w:rsidRPr="005B1CAA">
        <w:t xml:space="preserve">tructures and </w:t>
      </w:r>
      <w:r w:rsidR="00137510">
        <w:t>s</w:t>
      </w:r>
      <w:r w:rsidRPr="005B1CAA">
        <w:t>eismic</w:t>
      </w:r>
      <w:r>
        <w:t xml:space="preserve"> – d</w:t>
      </w:r>
      <w:r w:rsidRPr="005B1CAA">
        <w:t>iscussion centred on the integration between seismically isolated and no</w:t>
      </w:r>
      <w:r>
        <w:t>n</w:t>
      </w:r>
      <w:r w:rsidRPr="005B1CAA">
        <w:t xml:space="preserve">-isolated areas of plant, and the use of </w:t>
      </w:r>
      <w:r w:rsidRPr="00925DD5">
        <w:t xml:space="preserve">low damping rubber bearings (aseismic bearings). </w:t>
      </w:r>
    </w:p>
    <w:p w14:paraId="70D2A83C" w14:textId="0079D34B" w:rsidR="008126FF" w:rsidRPr="005B1CAA" w:rsidRDefault="008126FF" w:rsidP="00925DD5">
      <w:pPr>
        <w:pStyle w:val="Bulletlist2"/>
      </w:pPr>
      <w:r w:rsidRPr="005B1CAA">
        <w:t xml:space="preserve">Modularisation and </w:t>
      </w:r>
      <w:r w:rsidR="00137510">
        <w:t>l</w:t>
      </w:r>
      <w:r w:rsidRPr="005B1CAA">
        <w:t>ayout</w:t>
      </w:r>
      <w:r>
        <w:t xml:space="preserve"> – the RP o</w:t>
      </w:r>
      <w:r w:rsidRPr="005B1CAA">
        <w:t xml:space="preserve">utlined </w:t>
      </w:r>
      <w:r>
        <w:t>its</w:t>
      </w:r>
      <w:r w:rsidRPr="005B1CAA">
        <w:t xml:space="preserve"> approach to modular construction and </w:t>
      </w:r>
      <w:r>
        <w:t xml:space="preserve">the </w:t>
      </w:r>
      <w:r w:rsidRPr="005B1CAA">
        <w:t xml:space="preserve">compact layout of its </w:t>
      </w:r>
      <w:r>
        <w:t>design</w:t>
      </w:r>
      <w:r w:rsidRPr="005B1CAA">
        <w:t xml:space="preserve">. </w:t>
      </w:r>
      <w:r>
        <w:t>Further work is needed to identify</w:t>
      </w:r>
      <w:r w:rsidRPr="005B1CAA">
        <w:t xml:space="preserve"> if </w:t>
      </w:r>
      <w:r>
        <w:t>the</w:t>
      </w:r>
      <w:r w:rsidRPr="005B1CAA">
        <w:t xml:space="preserve"> approach to modularisation and layout presents any unique safety, security or safeguards challenges.</w:t>
      </w:r>
    </w:p>
    <w:p w14:paraId="5C8D0B3E" w14:textId="77777777" w:rsidR="008126FF" w:rsidRPr="005B1CAA" w:rsidRDefault="008126FF" w:rsidP="00925DD5">
      <w:pPr>
        <w:pStyle w:val="Bulletlist2"/>
      </w:pPr>
      <w:r w:rsidRPr="005B1CAA">
        <w:t>Control and Instrumentation</w:t>
      </w:r>
      <w:r w:rsidRPr="00197920">
        <w:t xml:space="preserve"> </w:t>
      </w:r>
      <w:r>
        <w:t>design –</w:t>
      </w:r>
      <w:r w:rsidRPr="00197920">
        <w:t xml:space="preserve"> </w:t>
      </w:r>
      <w:r>
        <w:t>t</w:t>
      </w:r>
      <w:r w:rsidRPr="005B1CAA">
        <w:t>he allocation of category A and B reactor C&amp;I protection functions to a class 2 reactor protection system and a class 1 hardwired diverse protection system</w:t>
      </w:r>
      <w:r>
        <w:t xml:space="preserve">, </w:t>
      </w:r>
      <w:r w:rsidRPr="005B1CAA">
        <w:t>the consideration of 3 vs 4 divisions for C&amp;I reactor protection functions</w:t>
      </w:r>
      <w:r>
        <w:t>,</w:t>
      </w:r>
      <w:r w:rsidRPr="005B1CAA">
        <w:t xml:space="preserve"> and cyber security for C&amp;I</w:t>
      </w:r>
      <w:r>
        <w:t xml:space="preserve"> systems were each discussed.</w:t>
      </w:r>
    </w:p>
    <w:p w14:paraId="29F536B2" w14:textId="77777777" w:rsidR="008126FF" w:rsidRPr="005B1CAA" w:rsidRDefault="008126FF" w:rsidP="00925DD5">
      <w:pPr>
        <w:pStyle w:val="Bulletlist2"/>
      </w:pPr>
      <w:r>
        <w:t>U</w:t>
      </w:r>
      <w:r w:rsidRPr="005B1CAA">
        <w:t xml:space="preserve">se of a modified chemistry regime </w:t>
      </w:r>
      <w:r>
        <w:t>for</w:t>
      </w:r>
      <w:r w:rsidRPr="005B1CAA">
        <w:t xml:space="preserve"> reactivity control</w:t>
      </w:r>
      <w:r>
        <w:t xml:space="preserve"> – the implications for the choice of operating the primary coolant without soluble boron for reactivity control was discussed.</w:t>
      </w:r>
    </w:p>
    <w:p w14:paraId="3F401717" w14:textId="77777777" w:rsidR="008126FF" w:rsidRPr="00925DD5" w:rsidRDefault="008126FF" w:rsidP="00925DD5">
      <w:pPr>
        <w:pStyle w:val="Bulletlist2"/>
      </w:pPr>
      <w:r w:rsidRPr="00925DD5">
        <w:t>Structural Integrity classifications – the potential use of an additional classification of very high reliability based on secondary consequences was presented by the RP.</w:t>
      </w:r>
    </w:p>
    <w:p w14:paraId="18C2B1B0" w14:textId="5CAB85D0" w:rsidR="008126FF" w:rsidRDefault="008126FF">
      <w:pPr>
        <w:pStyle w:val="NumList1"/>
      </w:pPr>
      <w:r>
        <w:t xml:space="preserve">These discussions have been factored into our </w:t>
      </w:r>
      <w:r w:rsidR="00DD42F5">
        <w:t>Step</w:t>
      </w:r>
      <w:r>
        <w:t xml:space="preserve"> 2 planning activities.</w:t>
      </w:r>
    </w:p>
    <w:p w14:paraId="02E9A5D4" w14:textId="2797A214" w:rsidR="008126FF" w:rsidRPr="00153614" w:rsidRDefault="008126FF" w:rsidP="00C558E5">
      <w:pPr>
        <w:pStyle w:val="Heading2"/>
      </w:pPr>
      <w:bookmarkStart w:id="81" w:name="_Toc129080971"/>
      <w:bookmarkStart w:id="82" w:name="_Toc129081778"/>
      <w:r w:rsidRPr="00153614">
        <w:lastRenderedPageBreak/>
        <w:t xml:space="preserve">Step 2 </w:t>
      </w:r>
      <w:r w:rsidR="00F51D00">
        <w:t>a</w:t>
      </w:r>
      <w:r w:rsidRPr="00153614">
        <w:t xml:space="preserve">ssessment </w:t>
      </w:r>
      <w:r w:rsidR="00F51D00">
        <w:t>p</w:t>
      </w:r>
      <w:r w:rsidRPr="00153614">
        <w:t xml:space="preserve">lans and </w:t>
      </w:r>
      <w:r w:rsidR="00F51D00">
        <w:t>s</w:t>
      </w:r>
      <w:r w:rsidRPr="00153614">
        <w:t xml:space="preserve">ubmissions </w:t>
      </w:r>
      <w:r w:rsidR="00F51D00">
        <w:t>s</w:t>
      </w:r>
      <w:r w:rsidRPr="00153614">
        <w:t>chedule</w:t>
      </w:r>
      <w:bookmarkEnd w:id="81"/>
      <w:bookmarkEnd w:id="82"/>
    </w:p>
    <w:p w14:paraId="588B6BF7" w14:textId="2CE6B38B" w:rsidR="008126FF" w:rsidRDefault="008126FF">
      <w:pPr>
        <w:pStyle w:val="NumList1"/>
      </w:pPr>
      <w:r>
        <w:t>The main deliverable produced from each of ONR’s technical topics is our a</w:t>
      </w:r>
      <w:r w:rsidRPr="005B1CAA">
        <w:t xml:space="preserve">ssessment plan </w:t>
      </w:r>
      <w:r>
        <w:t xml:space="preserve">for </w:t>
      </w:r>
      <w:r w:rsidR="00DD42F5">
        <w:t>Step</w:t>
      </w:r>
      <w:r>
        <w:t xml:space="preserve"> 2. </w:t>
      </w:r>
      <w:r w:rsidRPr="005B1CAA">
        <w:t xml:space="preserve">These outline the areas </w:t>
      </w:r>
      <w:r>
        <w:t>we</w:t>
      </w:r>
      <w:r w:rsidRPr="005B1CAA">
        <w:t xml:space="preserve"> </w:t>
      </w:r>
      <w:r>
        <w:t>intend to</w:t>
      </w:r>
      <w:r w:rsidRPr="005B1CAA">
        <w:t xml:space="preserve"> focus on</w:t>
      </w:r>
      <w:r w:rsidR="00E27770">
        <w:t xml:space="preserve"> </w:t>
      </w:r>
      <w:r>
        <w:t>to make a judgement on the fundamental adequacy of the design and E3S case, and the suitability of the methodologies, approaches, codes, standards and philosophies which form the building blocks for these.</w:t>
      </w:r>
      <w:r w:rsidRPr="00E33140">
        <w:t xml:space="preserve"> </w:t>
      </w:r>
      <w:r>
        <w:t>As part of these w</w:t>
      </w:r>
      <w:r w:rsidRPr="003415DC">
        <w:t xml:space="preserve">e have </w:t>
      </w:r>
      <w:r>
        <w:t xml:space="preserve">explicitly </w:t>
      </w:r>
      <w:r w:rsidRPr="003415DC">
        <w:t xml:space="preserve">considered how </w:t>
      </w:r>
      <w:r>
        <w:t xml:space="preserve">our </w:t>
      </w:r>
      <w:r w:rsidR="00171B0E">
        <w:t>targetted assessment</w:t>
      </w:r>
      <w:r w:rsidR="00171B0E" w:rsidRPr="003415DC">
        <w:t xml:space="preserve"> </w:t>
      </w:r>
      <w:r w:rsidRPr="003415DC">
        <w:t>activities support the delivery strategy</w:t>
      </w:r>
      <w:r>
        <w:t xml:space="preserve"> (ref. </w:t>
      </w:r>
      <w:sdt>
        <w:sdtPr>
          <w:id w:val="1812439369"/>
          <w:citation/>
        </w:sdtPr>
        <w:sdtEndPr/>
        <w:sdtContent>
          <w:r>
            <w:fldChar w:fldCharType="begin"/>
          </w:r>
          <w:r w:rsidR="00374937">
            <w:instrText xml:space="preserve">CITATION ONR \l 2057 </w:instrText>
          </w:r>
          <w:r>
            <w:fldChar w:fldCharType="separate"/>
          </w:r>
          <w:r w:rsidR="00AB0D39" w:rsidRPr="00AB0D39">
            <w:t>[8]</w:t>
          </w:r>
          <w:r>
            <w:fldChar w:fldCharType="end"/>
          </w:r>
        </w:sdtContent>
      </w:sdt>
      <w:r>
        <w:t xml:space="preserve">) and the objectives for </w:t>
      </w:r>
      <w:r w:rsidR="00DD42F5">
        <w:t>Step</w:t>
      </w:r>
      <w:r>
        <w:t xml:space="preserve"> 2, such that we will produce a holistic, joined up assessment of the overall design</w:t>
      </w:r>
      <w:r w:rsidR="00171B0E">
        <w:t xml:space="preserve"> and E3S case</w:t>
      </w:r>
      <w:r w:rsidRPr="003415DC">
        <w:t>.</w:t>
      </w:r>
      <w:r w:rsidRPr="00164043">
        <w:t xml:space="preserve"> </w:t>
      </w:r>
    </w:p>
    <w:p w14:paraId="77B9C28D" w14:textId="1DB89659" w:rsidR="008126FF" w:rsidRPr="005B1CAA" w:rsidRDefault="008126FF">
      <w:pPr>
        <w:pStyle w:val="NumList1"/>
      </w:pPr>
      <w:r>
        <w:t xml:space="preserve">To inform these plans, we agreed with the RP a submission schedule which defines all of the documents we expect to receive throughout </w:t>
      </w:r>
      <w:r w:rsidR="00DD42F5">
        <w:t>Step</w:t>
      </w:r>
      <w:r>
        <w:t xml:space="preserve"> 2 (ref. </w:t>
      </w:r>
      <w:sdt>
        <w:sdtPr>
          <w:id w:val="-1938055600"/>
          <w:citation/>
        </w:sdtPr>
        <w:sdtEndPr/>
        <w:sdtContent>
          <w:r>
            <w:fldChar w:fldCharType="begin"/>
          </w:r>
          <w:r>
            <w:instrText xml:space="preserve"> CITATION S2SubSchedule \l 2057 </w:instrText>
          </w:r>
          <w:r>
            <w:fldChar w:fldCharType="separate"/>
          </w:r>
          <w:r w:rsidR="00AB0D39" w:rsidRPr="00AB0D39">
            <w:t>[9]</w:t>
          </w:r>
          <w:r>
            <w:fldChar w:fldCharType="end"/>
          </w:r>
        </w:sdtContent>
      </w:sdt>
      <w:r>
        <w:t>).</w:t>
      </w:r>
      <w:r w:rsidRPr="005B1CAA">
        <w:t xml:space="preserve"> </w:t>
      </w:r>
      <w:r>
        <w:t>T</w:t>
      </w:r>
      <w:r w:rsidRPr="009F4A4C">
        <w:t>his meet</w:t>
      </w:r>
      <w:r>
        <w:t>s</w:t>
      </w:r>
      <w:r w:rsidRPr="009F4A4C">
        <w:t xml:space="preserve"> requirement [1.</w:t>
      </w:r>
      <w:r>
        <w:t>19</w:t>
      </w:r>
      <w:r w:rsidRPr="009F4A4C">
        <w:t>]</w:t>
      </w:r>
      <w:r>
        <w:t xml:space="preserve"> </w:t>
      </w:r>
      <w:r w:rsidRPr="009F4A4C">
        <w:t xml:space="preserve">from </w:t>
      </w:r>
      <w:r w:rsidR="002163EB">
        <w:t>Guidance to Requesting Parties</w:t>
      </w:r>
      <w:r w:rsidRPr="009F4A4C">
        <w:t xml:space="preserve"> (ref. [1]).</w:t>
      </w:r>
      <w:r>
        <w:t xml:space="preserve"> This schedule will be maintained as live by the RP throughout GDA.</w:t>
      </w:r>
    </w:p>
    <w:p w14:paraId="2C69815A" w14:textId="2F3295AF" w:rsidR="008126FF" w:rsidRPr="00153614" w:rsidRDefault="008126FF" w:rsidP="00C558E5">
      <w:pPr>
        <w:pStyle w:val="Heading2"/>
      </w:pPr>
      <w:bookmarkStart w:id="83" w:name="_Toc129080972"/>
      <w:bookmarkStart w:id="84" w:name="_Toc129081779"/>
      <w:r w:rsidRPr="00153614">
        <w:t>G</w:t>
      </w:r>
      <w:r w:rsidR="00F51D00">
        <w:t>ap analysis</w:t>
      </w:r>
      <w:bookmarkEnd w:id="83"/>
      <w:bookmarkEnd w:id="84"/>
    </w:p>
    <w:p w14:paraId="66942359" w14:textId="5DD1D625" w:rsidR="008126FF" w:rsidRPr="0021378E" w:rsidRDefault="008126FF">
      <w:pPr>
        <w:pStyle w:val="NumList1"/>
      </w:pPr>
      <w:r>
        <w:t>A specific requirement d</w:t>
      </w:r>
      <w:r w:rsidRPr="008D53A1">
        <w:t xml:space="preserve">uring </w:t>
      </w:r>
      <w:r w:rsidR="00DD42F5">
        <w:t>Step</w:t>
      </w:r>
      <w:r w:rsidRPr="008D53A1">
        <w:t xml:space="preserve"> 1 </w:t>
      </w:r>
      <w:r>
        <w:t xml:space="preserve">is for the </w:t>
      </w:r>
      <w:r w:rsidRPr="008D53A1">
        <w:t xml:space="preserve">RP to undertake a gap analysis of </w:t>
      </w:r>
      <w:r>
        <w:t xml:space="preserve">its safety, security and safeguards cases, and </w:t>
      </w:r>
      <w:r w:rsidRPr="008D53A1">
        <w:t xml:space="preserve">the submissions </w:t>
      </w:r>
      <w:r>
        <w:t xml:space="preserve">it </w:t>
      </w:r>
      <w:r w:rsidRPr="008D53A1">
        <w:t>plan</w:t>
      </w:r>
      <w:r>
        <w:t>s</w:t>
      </w:r>
      <w:r w:rsidRPr="008D53A1">
        <w:t xml:space="preserve"> to support </w:t>
      </w:r>
      <w:r w:rsidR="00DD42F5">
        <w:t>Step</w:t>
      </w:r>
      <w:r w:rsidRPr="008D53A1">
        <w:t xml:space="preserve"> 2</w:t>
      </w:r>
      <w:r>
        <w:t>,</w:t>
      </w:r>
      <w:r w:rsidRPr="008D53A1">
        <w:t xml:space="preserve"> against regulatory expectations and propose how any gaps would be resolved. </w:t>
      </w:r>
      <w:r>
        <w:t>The RP undertook such a review and we agreed plans for how any self-identified gaps would be resolved.</w:t>
      </w:r>
      <w:r w:rsidRPr="00CE3397">
        <w:t xml:space="preserve"> The details of the review </w:t>
      </w:r>
      <w:r>
        <w:t>is</w:t>
      </w:r>
      <w:r w:rsidRPr="00CE3397">
        <w:t xml:space="preserve"> </w:t>
      </w:r>
      <w:r w:rsidRPr="0021378E">
        <w:t>provided in Section 4.</w:t>
      </w:r>
      <w:r w:rsidR="00B16D8C">
        <w:t>6</w:t>
      </w:r>
      <w:r w:rsidRPr="0021378E">
        <w:t>.</w:t>
      </w:r>
    </w:p>
    <w:p w14:paraId="5C1CFC60" w14:textId="77777777" w:rsidR="008126FF" w:rsidRPr="0021378E" w:rsidRDefault="008126FF" w:rsidP="00C558E5">
      <w:pPr>
        <w:pStyle w:val="Heading2"/>
      </w:pPr>
      <w:bookmarkStart w:id="85" w:name="_Toc129080973"/>
      <w:bookmarkStart w:id="86" w:name="_Toc129081780"/>
      <w:r w:rsidRPr="0021378E">
        <w:t>Readiness reviews</w:t>
      </w:r>
      <w:bookmarkEnd w:id="85"/>
      <w:bookmarkEnd w:id="86"/>
    </w:p>
    <w:p w14:paraId="5F0AD00E" w14:textId="2678F909" w:rsidR="008126FF" w:rsidRPr="0021378E" w:rsidRDefault="008126FF">
      <w:pPr>
        <w:pStyle w:val="NumList1"/>
      </w:pPr>
      <w:r w:rsidRPr="0021378E">
        <w:t xml:space="preserve">As required by </w:t>
      </w:r>
      <w:r w:rsidR="002163EB">
        <w:t>Guidance to Requesting Parties</w:t>
      </w:r>
      <w:r w:rsidRPr="0021378E">
        <w:t xml:space="preserve"> (ref. </w:t>
      </w:r>
      <w:sdt>
        <w:sdtPr>
          <w:id w:val="515883664"/>
          <w:citation/>
        </w:sdtPr>
        <w:sdtEndPr/>
        <w:sdtContent>
          <w:r w:rsidRPr="0021378E">
            <w:fldChar w:fldCharType="begin"/>
          </w:r>
          <w:r w:rsidRPr="0021378E">
            <w:instrText xml:space="preserve"> CITATION GtoRPs \l 2057 </w:instrText>
          </w:r>
          <w:r w:rsidRPr="0021378E">
            <w:fldChar w:fldCharType="separate"/>
          </w:r>
          <w:r w:rsidR="00AB0D39" w:rsidRPr="00AB0D39">
            <w:t>[1]</w:t>
          </w:r>
          <w:r w:rsidRPr="0021378E">
            <w:fldChar w:fldCharType="end"/>
          </w:r>
        </w:sdtContent>
      </w:sdt>
      <w:r w:rsidRPr="0021378E">
        <w:t xml:space="preserve">) we undertook a readiness review to determine if the RP should proceed to </w:t>
      </w:r>
      <w:r w:rsidR="00DD42F5">
        <w:t>Step</w:t>
      </w:r>
      <w:r w:rsidRPr="0021378E">
        <w:t xml:space="preserve"> 2. This included a review of our own readiness, but also considered the evidence provided by the RP of its readiness to proceed. The details of these reviews are provided in Section 4.6.</w:t>
      </w:r>
    </w:p>
    <w:p w14:paraId="3CDC997B" w14:textId="036250D3" w:rsidR="008126FF" w:rsidRPr="00153614" w:rsidRDefault="008126FF" w:rsidP="00C558E5">
      <w:pPr>
        <w:pStyle w:val="Heading2"/>
      </w:pPr>
      <w:bookmarkStart w:id="87" w:name="_Toc129080974"/>
      <w:bookmarkStart w:id="88" w:name="_Toc129081781"/>
      <w:r w:rsidRPr="00153614">
        <w:t>Joint working with the Environment Agency and N</w:t>
      </w:r>
      <w:r w:rsidR="00F51D00">
        <w:t>atural Resources Wales</w:t>
      </w:r>
      <w:bookmarkEnd w:id="87"/>
      <w:bookmarkEnd w:id="88"/>
    </w:p>
    <w:p w14:paraId="75F8C8D7" w14:textId="6E042032" w:rsidR="008126FF" w:rsidRPr="00E71B33" w:rsidRDefault="008126FF">
      <w:pPr>
        <w:pStyle w:val="NumList1"/>
        <w:rPr>
          <w:rFonts w:cs="Arial"/>
        </w:rPr>
      </w:pPr>
      <w:r w:rsidRPr="009313E1">
        <w:t xml:space="preserve">As a joint project, we have worked collaboratively with both the Environment Agency and NRW during </w:t>
      </w:r>
      <w:r w:rsidR="00DD42F5">
        <w:t>Step</w:t>
      </w:r>
      <w:r w:rsidRPr="009313E1">
        <w:t xml:space="preserve"> 1, as appropriate.</w:t>
      </w:r>
      <w:r>
        <w:t xml:space="preserve"> This included joint meetings on matters of regulatory interest to each regulator, particularly for MSQA and aspects of radioactive waste management. We expect this joint working to continue and deepen for the remainder of </w:t>
      </w:r>
      <w:r w:rsidR="001924E1">
        <w:t xml:space="preserve">the </w:t>
      </w:r>
      <w:r>
        <w:t>GDA.</w:t>
      </w:r>
    </w:p>
    <w:p w14:paraId="244A1BB4" w14:textId="4391C70D" w:rsidR="00E71B33" w:rsidRPr="009313E1" w:rsidRDefault="00E71B33">
      <w:pPr>
        <w:pStyle w:val="NumList1"/>
        <w:rPr>
          <w:rFonts w:cs="Arial"/>
        </w:rPr>
      </w:pPr>
      <w:r>
        <w:t>The Environment Agenc</w:t>
      </w:r>
      <w:r w:rsidR="00E835DF">
        <w:t>y</w:t>
      </w:r>
      <w:r>
        <w:t xml:space="preserve"> </w:t>
      </w:r>
      <w:r w:rsidR="00750A84">
        <w:t xml:space="preserve">assessment of the environmental aspects of the generic Rolls-Royce SMR </w:t>
      </w:r>
      <w:r w:rsidR="0091103B">
        <w:t xml:space="preserve">design </w:t>
      </w:r>
      <w:r w:rsidR="00750A84">
        <w:t>are reported separately</w:t>
      </w:r>
      <w:r w:rsidR="00173205">
        <w:t xml:space="preserve"> (ref. </w:t>
      </w:r>
      <w:sdt>
        <w:sdtPr>
          <w:id w:val="-1906523109"/>
          <w:citation/>
        </w:sdtPr>
        <w:sdtEndPr/>
        <w:sdtContent>
          <w:r w:rsidR="002C7222">
            <w:fldChar w:fldCharType="begin"/>
          </w:r>
          <w:r w:rsidR="002C7222">
            <w:instrText xml:space="preserve"> CITATION EAreport \l 2057 </w:instrText>
          </w:r>
          <w:r w:rsidR="002C7222">
            <w:fldChar w:fldCharType="separate"/>
          </w:r>
          <w:r w:rsidR="00AB0D39" w:rsidRPr="00AB0D39">
            <w:t>[2]</w:t>
          </w:r>
          <w:r w:rsidR="002C7222">
            <w:fldChar w:fldCharType="end"/>
          </w:r>
        </w:sdtContent>
      </w:sdt>
      <w:r w:rsidR="00173205">
        <w:t>)</w:t>
      </w:r>
      <w:r w:rsidR="0091103B">
        <w:t xml:space="preserve">. </w:t>
      </w:r>
    </w:p>
    <w:p w14:paraId="5D8C3367" w14:textId="77777777" w:rsidR="000F617C" w:rsidRPr="0038766B" w:rsidRDefault="000F617C" w:rsidP="00AC2E98">
      <w:pPr>
        <w:pStyle w:val="NumList1"/>
        <w:numPr>
          <w:ilvl w:val="0"/>
          <w:numId w:val="0"/>
        </w:numPr>
        <w:ind w:left="851"/>
      </w:pPr>
    </w:p>
    <w:p w14:paraId="0E2A2B69" w14:textId="77777777" w:rsidR="006E44B1" w:rsidRDefault="006E44B1">
      <w:pPr>
        <w:spacing w:after="0" w:line="240" w:lineRule="auto"/>
        <w:rPr>
          <w:color w:val="22413A"/>
          <w:sz w:val="48"/>
        </w:rPr>
      </w:pPr>
      <w:r>
        <w:rPr>
          <w:color w:val="22413A"/>
        </w:rPr>
        <w:br w:type="page"/>
      </w:r>
    </w:p>
    <w:p w14:paraId="59A5C587" w14:textId="23234771" w:rsidR="0038766B" w:rsidRPr="00C86D4A" w:rsidRDefault="000F617C">
      <w:pPr>
        <w:pStyle w:val="Heading1"/>
        <w:ind w:left="851" w:hanging="851"/>
        <w:rPr>
          <w:color w:val="22413A"/>
        </w:rPr>
      </w:pPr>
      <w:bookmarkStart w:id="89" w:name="_Toc129081782"/>
      <w:r w:rsidRPr="00C86D4A">
        <w:rPr>
          <w:color w:val="22413A"/>
        </w:rPr>
        <w:lastRenderedPageBreak/>
        <w:t xml:space="preserve">Matters </w:t>
      </w:r>
      <w:r w:rsidR="00F51D00">
        <w:rPr>
          <w:color w:val="22413A"/>
        </w:rPr>
        <w:t>a</w:t>
      </w:r>
      <w:r w:rsidRPr="00C86D4A">
        <w:rPr>
          <w:color w:val="22413A"/>
        </w:rPr>
        <w:t>rising from ONR</w:t>
      </w:r>
      <w:r w:rsidR="00171B0E">
        <w:rPr>
          <w:color w:val="22413A"/>
        </w:rPr>
        <w:t>’</w:t>
      </w:r>
      <w:r w:rsidRPr="00C86D4A">
        <w:rPr>
          <w:color w:val="22413A"/>
        </w:rPr>
        <w:t xml:space="preserve">s </w:t>
      </w:r>
      <w:r w:rsidR="00F51D00">
        <w:rPr>
          <w:color w:val="22413A"/>
        </w:rPr>
        <w:t>w</w:t>
      </w:r>
      <w:r w:rsidRPr="00C86D4A">
        <w:rPr>
          <w:color w:val="22413A"/>
        </w:rPr>
        <w:t>ork</w:t>
      </w:r>
      <w:bookmarkEnd w:id="89"/>
    </w:p>
    <w:p w14:paraId="1D976092" w14:textId="77777777" w:rsidR="00C94F61" w:rsidRDefault="00C94F61">
      <w:pPr>
        <w:pStyle w:val="NumList1"/>
      </w:pPr>
      <w:r>
        <w:t xml:space="preserve">The matters arising from the work carried out by ONR are summarised as follows. </w:t>
      </w:r>
    </w:p>
    <w:p w14:paraId="536079C2" w14:textId="49105F7F" w:rsidR="00C94F61" w:rsidRPr="00153614" w:rsidRDefault="00C94F61" w:rsidP="00C558E5">
      <w:pPr>
        <w:pStyle w:val="Heading2"/>
      </w:pPr>
      <w:bookmarkStart w:id="90" w:name="_Toc129080976"/>
      <w:bookmarkStart w:id="91" w:name="_Toc129081783"/>
      <w:r w:rsidRPr="00153614">
        <w:t xml:space="preserve">RP’s </w:t>
      </w:r>
      <w:r w:rsidR="00F51D00">
        <w:t>a</w:t>
      </w:r>
      <w:r w:rsidRPr="00153614">
        <w:t>rrangements for undertaking GDA</w:t>
      </w:r>
      <w:bookmarkEnd w:id="90"/>
      <w:bookmarkEnd w:id="91"/>
    </w:p>
    <w:p w14:paraId="372BF493" w14:textId="2D1B2C54" w:rsidR="00C94F61" w:rsidRDefault="00C94F61">
      <w:pPr>
        <w:pStyle w:val="NumList1"/>
      </w:pPr>
      <w:r>
        <w:t xml:space="preserve">Undertaking a GDA represents a significant undertaking for both the RP and the regulators. One of ONR’s priorities during </w:t>
      </w:r>
      <w:r w:rsidR="00DD42F5">
        <w:t>Step</w:t>
      </w:r>
      <w:r>
        <w:t xml:space="preserve"> 1 is to determine that the working arrangements needed to facilitate the GDA are developed, agreed and embedded. These aspects are specified in Appendix </w:t>
      </w:r>
      <w:r w:rsidR="00EF62E9">
        <w:t xml:space="preserve">2 </w:t>
      </w:r>
      <w:r>
        <w:t xml:space="preserve">of </w:t>
      </w:r>
      <w:r w:rsidR="002163EB">
        <w:t>Guidance to Requesting Parties</w:t>
      </w:r>
      <w:r>
        <w:t xml:space="preserve"> (ref. </w:t>
      </w:r>
      <w:sdt>
        <w:sdtPr>
          <w:id w:val="1178696164"/>
          <w:citation/>
        </w:sdtPr>
        <w:sdtEndPr/>
        <w:sdtContent>
          <w:r>
            <w:fldChar w:fldCharType="begin"/>
          </w:r>
          <w:r>
            <w:instrText xml:space="preserve"> CITATION GtoRPs \l 2057 </w:instrText>
          </w:r>
          <w:r>
            <w:fldChar w:fldCharType="separate"/>
          </w:r>
          <w:r w:rsidR="00AB0D39" w:rsidRPr="00AB0D39">
            <w:t>[1]</w:t>
          </w:r>
          <w:r>
            <w:fldChar w:fldCharType="end"/>
          </w:r>
        </w:sdtContent>
      </w:sdt>
      <w:r>
        <w:t>), as they are important enabling activities for conducting the technical assessments in later steps of GDA.</w:t>
      </w:r>
    </w:p>
    <w:p w14:paraId="2C5270DD" w14:textId="06335AFE" w:rsidR="00C94F61" w:rsidRDefault="00C94F61">
      <w:pPr>
        <w:pStyle w:val="NumList1"/>
      </w:pPr>
      <w:r>
        <w:t xml:space="preserve">For this reason, we initiated our work under the MSQA topic during </w:t>
      </w:r>
      <w:r w:rsidR="00DD42F5">
        <w:t>Step</w:t>
      </w:r>
      <w:r>
        <w:t xml:space="preserve"> 1. This involved a series of targeted interventions combined with assessment of a sample of key documents from the RP. The objectives were to assess the adequacy and deployment of the RP’s Integrated Management System (IMS), </w:t>
      </w:r>
      <w:r w:rsidR="005C41EA">
        <w:t xml:space="preserve">and </w:t>
      </w:r>
      <w:r>
        <w:t xml:space="preserve">to provide confidence that the RP has the controls and arrangements in place to deliver the GDA. The following summary is consistent with ONR’s MSQA assessment (ref. </w:t>
      </w:r>
      <w:sdt>
        <w:sdtPr>
          <w:id w:val="-1546522365"/>
          <w:citation/>
        </w:sdtPr>
        <w:sdtEndPr/>
        <w:sdtContent>
          <w:r>
            <w:fldChar w:fldCharType="begin"/>
          </w:r>
          <w:r>
            <w:instrText xml:space="preserve">CITATION ONR1 \l 2057 </w:instrText>
          </w:r>
          <w:r>
            <w:fldChar w:fldCharType="separate"/>
          </w:r>
          <w:r w:rsidR="00AB0D39" w:rsidRPr="00AB0D39">
            <w:t>[10]</w:t>
          </w:r>
          <w:r>
            <w:fldChar w:fldCharType="end"/>
          </w:r>
        </w:sdtContent>
      </w:sdt>
      <w:r>
        <w:t>).</w:t>
      </w:r>
    </w:p>
    <w:p w14:paraId="71C0905F" w14:textId="3714DA58" w:rsidR="00C94F61" w:rsidRPr="00153614" w:rsidRDefault="00C94F61" w:rsidP="00C558E5">
      <w:pPr>
        <w:pStyle w:val="Heading3"/>
      </w:pPr>
      <w:bookmarkStart w:id="92" w:name="_Toc129080977"/>
      <w:bookmarkStart w:id="93" w:name="_Toc129081784"/>
      <w:r w:rsidRPr="00153614">
        <w:t xml:space="preserve">Integrated </w:t>
      </w:r>
      <w:r w:rsidR="00F51D00">
        <w:t>m</w:t>
      </w:r>
      <w:r w:rsidRPr="00153614">
        <w:t xml:space="preserve">anagement </w:t>
      </w:r>
      <w:r w:rsidR="00F51D00">
        <w:t>s</w:t>
      </w:r>
      <w:r w:rsidRPr="00153614">
        <w:t>ystem</w:t>
      </w:r>
      <w:bookmarkEnd w:id="92"/>
      <w:bookmarkEnd w:id="93"/>
    </w:p>
    <w:p w14:paraId="036F6E4C" w14:textId="4E780286" w:rsidR="00C94F61" w:rsidRDefault="00C94F61">
      <w:pPr>
        <w:pStyle w:val="NumList1"/>
      </w:pPr>
      <w:r>
        <w:t xml:space="preserve">During </w:t>
      </w:r>
      <w:r w:rsidR="00DD42F5">
        <w:t>Step</w:t>
      </w:r>
      <w:r>
        <w:t xml:space="preserve"> 1 the RP has developed and implemented an IMS which provides the governance framework, policies, manuals, and processes for its undertakings, including those necessary for GDA. This is described in the </w:t>
      </w:r>
      <w:r w:rsidR="00E27770">
        <w:t>IMS</w:t>
      </w:r>
      <w:r>
        <w:t xml:space="preserve"> manual (ref. </w:t>
      </w:r>
      <w:sdt>
        <w:sdtPr>
          <w:id w:val="-396740983"/>
          <w:citation/>
        </w:sdtPr>
        <w:sdtEndPr/>
        <w:sdtContent>
          <w:r>
            <w:fldChar w:fldCharType="begin"/>
          </w:r>
          <w:r>
            <w:instrText xml:space="preserve">CITATION IMSmanual \l 2057 </w:instrText>
          </w:r>
          <w:r>
            <w:fldChar w:fldCharType="separate"/>
          </w:r>
          <w:r w:rsidR="00AB0D39" w:rsidRPr="00AB0D39">
            <w:t>[11]</w:t>
          </w:r>
          <w:r>
            <w:fldChar w:fldCharType="end"/>
          </w:r>
        </w:sdtContent>
      </w:sdt>
      <w:r>
        <w:t xml:space="preserve">). The IMS itself consists of a </w:t>
      </w:r>
      <w:r w:rsidRPr="0021378E">
        <w:t>hierarchical document structure, as shown in Figure 10. This approach is</w:t>
      </w:r>
      <w:r>
        <w:t xml:space="preserve"> similar to other industry peers. Several aspects covered by the IMS were sampled during </w:t>
      </w:r>
      <w:r w:rsidR="00DD42F5">
        <w:t>Step</w:t>
      </w:r>
      <w:r>
        <w:t xml:space="preserve"> 1, and were found to align with expectations from </w:t>
      </w:r>
      <w:r w:rsidR="002163EB">
        <w:t>Guidance to Requesting Parties</w:t>
      </w:r>
      <w:r>
        <w:t xml:space="preserve"> (ref. </w:t>
      </w:r>
      <w:sdt>
        <w:sdtPr>
          <w:id w:val="2132128960"/>
          <w:citation/>
        </w:sdtPr>
        <w:sdtEndPr/>
        <w:sdtContent>
          <w:r>
            <w:fldChar w:fldCharType="begin"/>
          </w:r>
          <w:r>
            <w:instrText xml:space="preserve"> CITATION GtoRPs \l 2057 </w:instrText>
          </w:r>
          <w:r>
            <w:fldChar w:fldCharType="separate"/>
          </w:r>
          <w:r w:rsidR="00AB0D39" w:rsidRPr="00AB0D39">
            <w:t>[1]</w:t>
          </w:r>
          <w:r>
            <w:fldChar w:fldCharType="end"/>
          </w:r>
        </w:sdtContent>
      </w:sdt>
      <w:r>
        <w:t xml:space="preserve">) and ONR’s GDA technical guidance (ref. </w:t>
      </w:r>
      <w:sdt>
        <w:sdtPr>
          <w:id w:val="-1291894457"/>
          <w:citation/>
        </w:sdtPr>
        <w:sdtEndPr/>
        <w:sdtContent>
          <w:r>
            <w:fldChar w:fldCharType="begin"/>
          </w:r>
          <w:r>
            <w:instrText xml:space="preserve">CITATION GDAtechguide \l 2057 </w:instrText>
          </w:r>
          <w:r>
            <w:fldChar w:fldCharType="separate"/>
          </w:r>
          <w:r w:rsidR="00AB0D39" w:rsidRPr="00AB0D39">
            <w:t>[12]</w:t>
          </w:r>
          <w:r>
            <w:fldChar w:fldCharType="end"/>
          </w:r>
        </w:sdtContent>
      </w:sdt>
      <w:r>
        <w:t>).</w:t>
      </w:r>
    </w:p>
    <w:p w14:paraId="64E70EBB" w14:textId="2FA8E44D" w:rsidR="00C94F61" w:rsidRDefault="00B90976" w:rsidP="00C04540">
      <w:pPr>
        <w:pStyle w:val="TSNumberedParagraph1"/>
        <w:numPr>
          <w:ilvl w:val="0"/>
          <w:numId w:val="0"/>
        </w:numPr>
        <w:jc w:val="center"/>
      </w:pPr>
      <w:r>
        <w:rPr>
          <w:noProof/>
        </w:rPr>
        <w:lastRenderedPageBreak/>
        <w:drawing>
          <wp:inline distT="0" distB="0" distL="0" distR="0" wp14:anchorId="29E4560E" wp14:editId="08FCC75D">
            <wp:extent cx="6032500" cy="3930650"/>
            <wp:effectExtent l="19050" t="19050" r="25400" b="12700"/>
            <wp:docPr id="25" name="Picture 25" descr="Figure 10: Integrated Management System (IMS)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0: Integrated Management System (IMS) hierarch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2500" cy="3930650"/>
                    </a:xfrm>
                    <a:prstGeom prst="rect">
                      <a:avLst/>
                    </a:prstGeom>
                    <a:noFill/>
                    <a:ln w="19050">
                      <a:solidFill>
                        <a:schemeClr val="tx1"/>
                      </a:solidFill>
                    </a:ln>
                  </pic:spPr>
                </pic:pic>
              </a:graphicData>
            </a:graphic>
          </wp:inline>
        </w:drawing>
      </w:r>
    </w:p>
    <w:p w14:paraId="0F2D13D2" w14:textId="03A26217" w:rsidR="00C94F61" w:rsidRPr="00165DC2" w:rsidRDefault="00C94F61" w:rsidP="00C04540">
      <w:pPr>
        <w:pStyle w:val="TSNumberedParagraph1"/>
        <w:numPr>
          <w:ilvl w:val="0"/>
          <w:numId w:val="0"/>
        </w:numPr>
        <w:ind w:left="851"/>
        <w:rPr>
          <w:b/>
          <w:bCs/>
          <w:sz w:val="22"/>
          <w:szCs w:val="22"/>
        </w:rPr>
      </w:pPr>
      <w:bookmarkStart w:id="94" w:name="_Toc129080979"/>
      <w:bookmarkStart w:id="95" w:name="_Toc129081786"/>
      <w:r w:rsidRPr="0021378E">
        <w:rPr>
          <w:b/>
          <w:bCs/>
          <w:sz w:val="22"/>
          <w:szCs w:val="22"/>
        </w:rPr>
        <w:t xml:space="preserve">Figure 10: Integrated Management System </w:t>
      </w:r>
      <w:r w:rsidR="00CF56B4">
        <w:rPr>
          <w:b/>
          <w:bCs/>
          <w:sz w:val="22"/>
          <w:szCs w:val="22"/>
        </w:rPr>
        <w:t xml:space="preserve">(IMS) </w:t>
      </w:r>
      <w:r w:rsidRPr="0021378E">
        <w:rPr>
          <w:b/>
          <w:bCs/>
          <w:sz w:val="22"/>
          <w:szCs w:val="22"/>
        </w:rPr>
        <w:t xml:space="preserve">hierarchy </w:t>
      </w:r>
      <w:r w:rsidRPr="0021378E">
        <w:rPr>
          <w:sz w:val="22"/>
          <w:szCs w:val="22"/>
        </w:rPr>
        <w:t xml:space="preserve">(ref. </w:t>
      </w:r>
      <w:sdt>
        <w:sdtPr>
          <w:rPr>
            <w:sz w:val="22"/>
            <w:szCs w:val="22"/>
          </w:rPr>
          <w:id w:val="1187022306"/>
          <w:citation/>
        </w:sdtPr>
        <w:sdtEndPr/>
        <w:sdtContent>
          <w:r w:rsidRPr="0021378E">
            <w:rPr>
              <w:sz w:val="22"/>
              <w:szCs w:val="22"/>
            </w:rPr>
            <w:fldChar w:fldCharType="begin"/>
          </w:r>
          <w:r w:rsidRPr="0021378E">
            <w:rPr>
              <w:sz w:val="22"/>
              <w:szCs w:val="22"/>
            </w:rPr>
            <w:instrText xml:space="preserve">CITATION QMP \l 2057 </w:instrText>
          </w:r>
          <w:r w:rsidRPr="0021378E">
            <w:rPr>
              <w:sz w:val="22"/>
              <w:szCs w:val="22"/>
            </w:rPr>
            <w:fldChar w:fldCharType="separate"/>
          </w:r>
          <w:r w:rsidR="00AB0D39" w:rsidRPr="00AB0D39">
            <w:rPr>
              <w:noProof/>
              <w:sz w:val="22"/>
              <w:szCs w:val="22"/>
            </w:rPr>
            <w:t>[13]</w:t>
          </w:r>
          <w:r w:rsidRPr="0021378E">
            <w:rPr>
              <w:sz w:val="22"/>
              <w:szCs w:val="22"/>
            </w:rPr>
            <w:fldChar w:fldCharType="end"/>
          </w:r>
        </w:sdtContent>
      </w:sdt>
      <w:r w:rsidRPr="0021378E">
        <w:rPr>
          <w:sz w:val="22"/>
          <w:szCs w:val="22"/>
        </w:rPr>
        <w:t>)</w:t>
      </w:r>
      <w:bookmarkEnd w:id="94"/>
      <w:bookmarkEnd w:id="95"/>
    </w:p>
    <w:p w14:paraId="4F5E2ABE" w14:textId="1F73E41F" w:rsidR="00C94F61" w:rsidRDefault="00C94F61">
      <w:pPr>
        <w:pStyle w:val="NumList1"/>
      </w:pPr>
      <w:r>
        <w:t xml:space="preserve">The IMS is being developed to comply with several relevant management system standards from the International Organization for Standardization (ISO), the American Society of Mechanical Engineers (ASME) and </w:t>
      </w:r>
      <w:r w:rsidR="002163EB">
        <w:t xml:space="preserve">the </w:t>
      </w:r>
      <w:r>
        <w:t>IAEA. The RP has submitted its IMS to an accredited certification body for compliance to ISO 9001: 2015. It is the RP’s intention to seek certification to other ISO standards over the coming years.</w:t>
      </w:r>
    </w:p>
    <w:p w14:paraId="6A9A917D" w14:textId="4FB06035" w:rsidR="00C94F61" w:rsidRDefault="00C94F61">
      <w:pPr>
        <w:pStyle w:val="NumList1"/>
      </w:pPr>
      <w:r>
        <w:t>The development of the IMS, and the overall arrangements described therein align with relevant standards. Whil</w:t>
      </w:r>
      <w:r w:rsidR="002163EB">
        <w:t>e</w:t>
      </w:r>
      <w:r>
        <w:t xml:space="preserve"> it has been developed during </w:t>
      </w:r>
      <w:r w:rsidR="00DD42F5">
        <w:t>Step</w:t>
      </w:r>
      <w:r>
        <w:t xml:space="preserve"> 1 and continues to evolve, it is sufficiently mature to provide a foundation for the GDA activities, and the defined architecture will facilitate further development, improvement and implementation during later steps of </w:t>
      </w:r>
      <w:r w:rsidR="0020446B">
        <w:t xml:space="preserve">the </w:t>
      </w:r>
      <w:r>
        <w:t>GDA.</w:t>
      </w:r>
    </w:p>
    <w:p w14:paraId="46CC59C7" w14:textId="1C8FF721" w:rsidR="00C94F61" w:rsidRPr="00153614" w:rsidRDefault="00C94F61" w:rsidP="00C558E5">
      <w:pPr>
        <w:pStyle w:val="Heading3"/>
      </w:pPr>
      <w:bookmarkStart w:id="96" w:name="_Toc129080980"/>
      <w:bookmarkStart w:id="97" w:name="_Toc129081787"/>
      <w:r w:rsidRPr="00153614">
        <w:t xml:space="preserve">Interface </w:t>
      </w:r>
      <w:r w:rsidR="00F51D00">
        <w:t>a</w:t>
      </w:r>
      <w:r w:rsidRPr="00153614">
        <w:t>rrangements</w:t>
      </w:r>
      <w:bookmarkEnd w:id="96"/>
      <w:bookmarkEnd w:id="97"/>
    </w:p>
    <w:p w14:paraId="289CFA51" w14:textId="0E711212" w:rsidR="00C94F61" w:rsidRDefault="00C94F61">
      <w:pPr>
        <w:pStyle w:val="NumList1"/>
      </w:pPr>
      <w:r>
        <w:t xml:space="preserve">An interface document (ref. </w:t>
      </w:r>
      <w:sdt>
        <w:sdtPr>
          <w:id w:val="-1633098698"/>
          <w:citation/>
        </w:sdtPr>
        <w:sdtEndPr/>
        <w:sdtContent>
          <w:r>
            <w:fldChar w:fldCharType="begin"/>
          </w:r>
          <w:r>
            <w:instrText xml:space="preserve"> CITATION ONR2 \l 2057 </w:instrText>
          </w:r>
          <w:r>
            <w:fldChar w:fldCharType="separate"/>
          </w:r>
          <w:r w:rsidR="00AB0D39" w:rsidRPr="00AB0D39">
            <w:t>[14]</w:t>
          </w:r>
          <w:r>
            <w:fldChar w:fldCharType="end"/>
          </w:r>
        </w:sdtContent>
      </w:sdt>
      <w:r>
        <w:t xml:space="preserve">) has been agreed with the RP during </w:t>
      </w:r>
      <w:r w:rsidR="00DD42F5">
        <w:t>Step</w:t>
      </w:r>
      <w:r>
        <w:t xml:space="preserve"> 1, which details the working level interfaces. This includes the agreed system for transmission and tracking of submissions, correspondence, meetings, and regulatory questions. These arrangements have been successfully implemented during </w:t>
      </w:r>
      <w:r w:rsidR="006C3244">
        <w:t>Step</w:t>
      </w:r>
      <w:r>
        <w:t xml:space="preserve"> 1, considered as part of the readiness review for entry to </w:t>
      </w:r>
      <w:r w:rsidR="006C3244">
        <w:t>Step</w:t>
      </w:r>
      <w:r>
        <w:t xml:space="preserve"> 2, and are judged adequate. Any amendments to these will be part of normal business for the remainder of </w:t>
      </w:r>
      <w:r w:rsidR="0020446B">
        <w:t xml:space="preserve">the </w:t>
      </w:r>
      <w:r>
        <w:t>GDA.</w:t>
      </w:r>
    </w:p>
    <w:p w14:paraId="293BB2CB" w14:textId="5CBC874B" w:rsidR="00C94F61" w:rsidRPr="00E47E70" w:rsidRDefault="00C94F61">
      <w:pPr>
        <w:pStyle w:val="NumList1"/>
      </w:pPr>
      <w:r>
        <w:lastRenderedPageBreak/>
        <w:t xml:space="preserve">We judge that this information is sufficient to meet requirement [1.1] from </w:t>
      </w:r>
      <w:r w:rsidR="002163EB">
        <w:t>Guidance to Requesting Parties</w:t>
      </w:r>
      <w:r>
        <w:t xml:space="preserve"> (ref. </w:t>
      </w:r>
      <w:sdt>
        <w:sdtPr>
          <w:id w:val="-2130931657"/>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p>
    <w:p w14:paraId="7246E684" w14:textId="1DA1F79F" w:rsidR="00C94F61" w:rsidRPr="00153614" w:rsidRDefault="00C94F61" w:rsidP="00C558E5">
      <w:pPr>
        <w:pStyle w:val="Heading3"/>
      </w:pPr>
      <w:bookmarkStart w:id="98" w:name="_Toc129080981"/>
      <w:bookmarkStart w:id="99" w:name="_Toc129081788"/>
      <w:r w:rsidRPr="00153614">
        <w:t xml:space="preserve">Master </w:t>
      </w:r>
      <w:r w:rsidR="00F51D00">
        <w:t>d</w:t>
      </w:r>
      <w:r w:rsidRPr="00153614">
        <w:t xml:space="preserve">ocument </w:t>
      </w:r>
      <w:r w:rsidR="00F51D00">
        <w:t>s</w:t>
      </w:r>
      <w:r w:rsidRPr="00153614">
        <w:t xml:space="preserve">ubmission </w:t>
      </w:r>
      <w:r w:rsidR="00F51D00">
        <w:t>l</w:t>
      </w:r>
      <w:r w:rsidRPr="00153614">
        <w:t>ist</w:t>
      </w:r>
      <w:bookmarkEnd w:id="98"/>
      <w:bookmarkEnd w:id="99"/>
    </w:p>
    <w:p w14:paraId="25064ED0" w14:textId="4AA8C82A" w:rsidR="00C94F61" w:rsidRDefault="00C94F61">
      <w:pPr>
        <w:pStyle w:val="NumList1"/>
      </w:pPr>
      <w:r>
        <w:t xml:space="preserve">During GDA the RP will make numerous submissions to ONR. Given the longevity of the project, and the ongoing development of the design and </w:t>
      </w:r>
      <w:r w:rsidR="005807B1">
        <w:t xml:space="preserve">E3S </w:t>
      </w:r>
      <w:r>
        <w:t xml:space="preserve">case, the RP needs to have arrangements to keep track of the documents submitted, </w:t>
      </w:r>
      <w:r w:rsidR="00171B0E">
        <w:t xml:space="preserve">any </w:t>
      </w:r>
      <w:r>
        <w:t xml:space="preserve">subsequent changes to these documents, and </w:t>
      </w:r>
      <w:r w:rsidR="00171B0E">
        <w:t xml:space="preserve">any </w:t>
      </w:r>
      <w:r>
        <w:t>documents withdrawn. This also includes responses to regulatory questions and their incorporation in E3S documents. Key to these arrangements is a Master Document Submission List (MDSL), which is a liv</w:t>
      </w:r>
      <w:r w:rsidR="002163EB">
        <w:t>e</w:t>
      </w:r>
      <w:r>
        <w:t xml:space="preserve"> document that allows ONR to understand and reference the latest versions of the GDA submissions. The MDSL will be a key reference from any subsequent GDA output provided (GDA statement or </w:t>
      </w:r>
      <w:r w:rsidR="002D194C">
        <w:t>Design Acceptance Confirmation (</w:t>
      </w:r>
      <w:r>
        <w:t>DAC</w:t>
      </w:r>
      <w:r w:rsidR="002D194C">
        <w:t>)</w:t>
      </w:r>
      <w:r>
        <w:t xml:space="preserve">). During </w:t>
      </w:r>
      <w:r w:rsidR="006C3244">
        <w:t>Step</w:t>
      </w:r>
      <w:r>
        <w:t xml:space="preserve"> 1 we worked with the RP to establish its arrangements to control and manage the MDSL.</w:t>
      </w:r>
    </w:p>
    <w:p w14:paraId="7E0A5AF3" w14:textId="462EF84B" w:rsidR="00C94F61" w:rsidRDefault="00C94F61">
      <w:pPr>
        <w:pStyle w:val="NumList1"/>
      </w:pPr>
      <w:r>
        <w:t xml:space="preserve">The MDSL (ref. </w:t>
      </w:r>
      <w:sdt>
        <w:sdtPr>
          <w:id w:val="811373178"/>
          <w:citation/>
        </w:sdtPr>
        <w:sdtEndPr/>
        <w:sdtContent>
          <w:r>
            <w:fldChar w:fldCharType="begin"/>
          </w:r>
          <w:r w:rsidR="00C167F8">
            <w:instrText xml:space="preserve">CITATION MDSL \l 2057 </w:instrText>
          </w:r>
          <w:r>
            <w:fldChar w:fldCharType="separate"/>
          </w:r>
          <w:r w:rsidR="00AB0D39" w:rsidRPr="00AB0D39">
            <w:t>[15]</w:t>
          </w:r>
          <w:r>
            <w:fldChar w:fldCharType="end"/>
          </w:r>
        </w:sdtContent>
      </w:sdt>
      <w:r>
        <w:t xml:space="preserve">) is a version-controlled spreadsheet, generated from data within the Rolls-Royce SMR Limited document management system. The first version was submitted to ONR during </w:t>
      </w:r>
      <w:r w:rsidR="006C3244">
        <w:t>Step</w:t>
      </w:r>
      <w:r>
        <w:t xml:space="preserve"> 1, with updates supplied monthly. It is produced and controlled in accordance with the RP’s process for regulatory correspondence (ref. </w:t>
      </w:r>
      <w:sdt>
        <w:sdtPr>
          <w:id w:val="-666860562"/>
          <w:citation/>
        </w:sdtPr>
        <w:sdtEndPr/>
        <w:sdtContent>
          <w:r>
            <w:fldChar w:fldCharType="begin"/>
          </w:r>
          <w:r>
            <w:instrText xml:space="preserve">CITATION RegCorr \l 2057 </w:instrText>
          </w:r>
          <w:r>
            <w:fldChar w:fldCharType="separate"/>
          </w:r>
          <w:r w:rsidR="00AB0D39" w:rsidRPr="00AB0D39">
            <w:t>[16]</w:t>
          </w:r>
          <w:r>
            <w:fldChar w:fldCharType="end"/>
          </w:r>
        </w:sdtContent>
      </w:sdt>
      <w:r>
        <w:t xml:space="preserve">). The scope and contents of the MDSL </w:t>
      </w:r>
      <w:r w:rsidR="00BA3937">
        <w:t xml:space="preserve">are </w:t>
      </w:r>
      <w:r>
        <w:t>consistent with ONR’s expectations. Maintenance of the MDSL will be an important activity for the remainder of GDA, particularly during later steps when the number of submissions increases significantly and will therefore continue to be reviewed.</w:t>
      </w:r>
    </w:p>
    <w:p w14:paraId="6E5010DD" w14:textId="08297EF3" w:rsidR="00C94F61" w:rsidRPr="00153614" w:rsidRDefault="00C94F61" w:rsidP="00C558E5">
      <w:pPr>
        <w:pStyle w:val="Heading3"/>
      </w:pPr>
      <w:bookmarkStart w:id="100" w:name="_Toc129080982"/>
      <w:bookmarkStart w:id="101" w:name="_Toc129081789"/>
      <w:r w:rsidRPr="00153614">
        <w:t xml:space="preserve">Regulatory </w:t>
      </w:r>
      <w:r w:rsidR="00F51D00">
        <w:t>q</w:t>
      </w:r>
      <w:r w:rsidRPr="00153614">
        <w:t>uestions</w:t>
      </w:r>
      <w:bookmarkEnd w:id="100"/>
      <w:bookmarkEnd w:id="101"/>
    </w:p>
    <w:p w14:paraId="10A3E067" w14:textId="421B371B" w:rsidR="00C94F61" w:rsidRDefault="00C94F61">
      <w:pPr>
        <w:pStyle w:val="NumList1"/>
      </w:pPr>
      <w:r>
        <w:t xml:space="preserve">Guidance to requesting parties (ref. </w:t>
      </w:r>
      <w:sdt>
        <w:sdtPr>
          <w:id w:val="207606493"/>
          <w:citation/>
        </w:sdtPr>
        <w:sdtEndPr/>
        <w:sdtContent>
          <w:r>
            <w:fldChar w:fldCharType="begin"/>
          </w:r>
          <w:r>
            <w:instrText xml:space="preserve"> CITATION GtoRPs \l 2057 </w:instrText>
          </w:r>
          <w:r>
            <w:fldChar w:fldCharType="separate"/>
          </w:r>
          <w:r w:rsidR="00AB0D39" w:rsidRPr="00AB0D39">
            <w:t>[1]</w:t>
          </w:r>
          <w:r>
            <w:fldChar w:fldCharType="end"/>
          </w:r>
        </w:sdtContent>
      </w:sdt>
      <w:r>
        <w:t xml:space="preserve">) defines a hierarchy for regulatory questions that may be asked of the RP during GDA, which includes Regulatory Queries (RQ), Regulatory Observations (RO) and Regulatory Issues (RI). During </w:t>
      </w:r>
      <w:r w:rsidR="006C3244">
        <w:t>Step</w:t>
      </w:r>
      <w:r>
        <w:t xml:space="preserve"> 1 we sought confidence that the RP had arrangements in place to receive, process, respond and control these questions.</w:t>
      </w:r>
    </w:p>
    <w:p w14:paraId="79E49B78" w14:textId="571DEE70" w:rsidR="00C94F61" w:rsidRDefault="00C94F61">
      <w:pPr>
        <w:pStyle w:val="NumList1"/>
      </w:pPr>
      <w:r>
        <w:t xml:space="preserve">The RP has documented arrangements for managing RQs (ref. </w:t>
      </w:r>
      <w:sdt>
        <w:sdtPr>
          <w:id w:val="495377763"/>
          <w:citation/>
        </w:sdtPr>
        <w:sdtEndPr/>
        <w:sdtContent>
          <w:r>
            <w:fldChar w:fldCharType="begin"/>
          </w:r>
          <w:r>
            <w:instrText xml:space="preserve">CITATION ManageRQ \l 2057 </w:instrText>
          </w:r>
          <w:r>
            <w:fldChar w:fldCharType="separate"/>
          </w:r>
          <w:r w:rsidR="00AB0D39" w:rsidRPr="00AB0D39">
            <w:t>[17]</w:t>
          </w:r>
          <w:r>
            <w:fldChar w:fldCharType="end"/>
          </w:r>
        </w:sdtContent>
      </w:sdt>
      <w:r>
        <w:t xml:space="preserve">) and RO/RIs (ref. </w:t>
      </w:r>
      <w:sdt>
        <w:sdtPr>
          <w:id w:val="-77904035"/>
          <w:citation/>
        </w:sdtPr>
        <w:sdtEndPr/>
        <w:sdtContent>
          <w:r>
            <w:fldChar w:fldCharType="begin"/>
          </w:r>
          <w:r>
            <w:instrText xml:space="preserve">CITATION Rol \l 2057 </w:instrText>
          </w:r>
          <w:r>
            <w:fldChar w:fldCharType="separate"/>
          </w:r>
          <w:r w:rsidR="00AB0D39" w:rsidRPr="00AB0D39">
            <w:t>[18]</w:t>
          </w:r>
          <w:r>
            <w:fldChar w:fldCharType="end"/>
          </w:r>
        </w:sdtContent>
      </w:sdt>
      <w:r>
        <w:t xml:space="preserve">). These are consistent with the agreed interface arrangements (ref. </w:t>
      </w:r>
      <w:sdt>
        <w:sdtPr>
          <w:id w:val="1220856372"/>
          <w:citation/>
        </w:sdtPr>
        <w:sdtEndPr/>
        <w:sdtContent>
          <w:r>
            <w:fldChar w:fldCharType="begin"/>
          </w:r>
          <w:r>
            <w:instrText xml:space="preserve"> CITATION ONR2 \l 2057 </w:instrText>
          </w:r>
          <w:r>
            <w:fldChar w:fldCharType="separate"/>
          </w:r>
          <w:r w:rsidR="00AB0D39" w:rsidRPr="00AB0D39">
            <w:t>[14]</w:t>
          </w:r>
          <w:r>
            <w:fldChar w:fldCharType="end"/>
          </w:r>
        </w:sdtContent>
      </w:sdt>
      <w:r>
        <w:t>). These include the responsibilities for checking and approving the responses. They include a range of metrics to monitor performance.</w:t>
      </w:r>
      <w:r w:rsidRPr="00E52214">
        <w:t xml:space="preserve"> </w:t>
      </w:r>
      <w:r>
        <w:t xml:space="preserve">During </w:t>
      </w:r>
      <w:r w:rsidR="006C3244">
        <w:t>Step</w:t>
      </w:r>
      <w:r>
        <w:t xml:space="preserve"> 2, when an increase in both the number and significance of regulatory questions is expected, we will monitor the ongoing implementation of these arrangements.</w:t>
      </w:r>
    </w:p>
    <w:p w14:paraId="522D3272" w14:textId="2106FF55" w:rsidR="00C94F61" w:rsidRDefault="00C94F61">
      <w:pPr>
        <w:pStyle w:val="NumList1"/>
      </w:pPr>
      <w:r>
        <w:t xml:space="preserve">During </w:t>
      </w:r>
      <w:r w:rsidR="006C3244">
        <w:t>Step</w:t>
      </w:r>
      <w:r>
        <w:t xml:space="preserve"> 1, ONR raised three RQs. These have all been responded to in accordance with the interface arrangements and the RP’s procedures, demonstrating the adequacy of these arrangements. </w:t>
      </w:r>
    </w:p>
    <w:p w14:paraId="5FAE479D" w14:textId="77777777" w:rsidR="00925DD5" w:rsidRDefault="00925DD5">
      <w:pPr>
        <w:spacing w:after="0" w:line="240" w:lineRule="auto"/>
        <w:rPr>
          <w:color w:val="000000" w:themeColor="text1"/>
          <w:sz w:val="28"/>
          <w:szCs w:val="18"/>
        </w:rPr>
      </w:pPr>
      <w:bookmarkStart w:id="102" w:name="_Toc129080983"/>
      <w:bookmarkStart w:id="103" w:name="_Toc129081790"/>
      <w:r>
        <w:br w:type="page"/>
      </w:r>
    </w:p>
    <w:p w14:paraId="2AF50FF7" w14:textId="1B13BFB5" w:rsidR="00C94F61" w:rsidRPr="00153614" w:rsidRDefault="00C94F61" w:rsidP="00C558E5">
      <w:pPr>
        <w:pStyle w:val="Heading3"/>
      </w:pPr>
      <w:r w:rsidRPr="00153614">
        <w:lastRenderedPageBreak/>
        <w:t xml:space="preserve">Design </w:t>
      </w:r>
      <w:r w:rsidR="00F51D00">
        <w:t>r</w:t>
      </w:r>
      <w:r w:rsidRPr="00153614">
        <w:t>eference</w:t>
      </w:r>
      <w:bookmarkEnd w:id="102"/>
      <w:bookmarkEnd w:id="103"/>
    </w:p>
    <w:p w14:paraId="16723453" w14:textId="7F0BC8BA" w:rsidR="00C94F61" w:rsidRDefault="00C94F61">
      <w:pPr>
        <w:pStyle w:val="NumList1"/>
      </w:pPr>
      <w:r>
        <w:t xml:space="preserve">Given the evolving nature of the design during </w:t>
      </w:r>
      <w:r w:rsidR="000A3573">
        <w:t xml:space="preserve">the </w:t>
      </w:r>
      <w:r>
        <w:t xml:space="preserve">GDA the RP needs to have </w:t>
      </w:r>
      <w:r w:rsidR="002163EB">
        <w:t xml:space="preserve">suitable </w:t>
      </w:r>
      <w:r>
        <w:t xml:space="preserve">arrangements to document and control the design against which ONR </w:t>
      </w:r>
      <w:r w:rsidR="005B75AF">
        <w:t xml:space="preserve">is </w:t>
      </w:r>
      <w:r>
        <w:t xml:space="preserve">assessing; in simple terms the generic safety, security and safeguards cases must align with the generic design. The RP is therefore required to submit a Design Reference (DR) which lists all the documents that define the design of the NPP. In accordance with </w:t>
      </w:r>
      <w:r w:rsidR="002163EB">
        <w:t>Guidance to Requesting Parties</w:t>
      </w:r>
      <w:r>
        <w:t xml:space="preserve"> (ref. </w:t>
      </w:r>
      <w:sdt>
        <w:sdtPr>
          <w:id w:val="-678804127"/>
          <w:citation/>
        </w:sdtPr>
        <w:sdtEndPr/>
        <w:sdtContent>
          <w:r>
            <w:fldChar w:fldCharType="begin"/>
          </w:r>
          <w:r>
            <w:instrText xml:space="preserve"> CITATION GtoRPs \l 2057 </w:instrText>
          </w:r>
          <w:r>
            <w:fldChar w:fldCharType="separate"/>
          </w:r>
          <w:r w:rsidR="00AB0D39" w:rsidRPr="00AB0D39">
            <w:t>[1]</w:t>
          </w:r>
          <w:r>
            <w:fldChar w:fldCharType="end"/>
          </w:r>
        </w:sdtContent>
      </w:sdt>
      <w:r>
        <w:t xml:space="preserve">), </w:t>
      </w:r>
      <w:r w:rsidR="005B75AF">
        <w:t xml:space="preserve">during </w:t>
      </w:r>
      <w:r w:rsidR="006C3244">
        <w:t>Step</w:t>
      </w:r>
      <w:r w:rsidR="005B75AF">
        <w:t xml:space="preserve"> 1, </w:t>
      </w:r>
      <w:r>
        <w:t xml:space="preserve">we have sought to agree the DR arrangements to be applied for </w:t>
      </w:r>
      <w:r w:rsidR="005B75AF">
        <w:t xml:space="preserve">the </w:t>
      </w:r>
      <w:r>
        <w:t xml:space="preserve">GDA. </w:t>
      </w:r>
    </w:p>
    <w:p w14:paraId="364E1378" w14:textId="79DD3E78" w:rsidR="00C94F61" w:rsidRDefault="00C94F61">
      <w:pPr>
        <w:pStyle w:val="NumList1"/>
      </w:pPr>
      <w:r>
        <w:t xml:space="preserve">The RP has indicated that </w:t>
      </w:r>
      <w:r w:rsidR="00AE6D82">
        <w:t xml:space="preserve">it </w:t>
      </w:r>
      <w:r>
        <w:t xml:space="preserve">will document its DR within a specific report which will be submitted and updated periodically. This will be focused on the documents that define the generic design and will be based on the relevant Master Records Index (MRI) (ref. </w:t>
      </w:r>
      <w:sdt>
        <w:sdtPr>
          <w:id w:val="1198043208"/>
          <w:citation/>
        </w:sdtPr>
        <w:sdtEndPr/>
        <w:sdtContent>
          <w:r>
            <w:fldChar w:fldCharType="begin"/>
          </w:r>
          <w:r>
            <w:instrText xml:space="preserve"> CITATION MRI \l 2057 </w:instrText>
          </w:r>
          <w:r>
            <w:fldChar w:fldCharType="separate"/>
          </w:r>
          <w:r w:rsidR="00AB0D39" w:rsidRPr="00AB0D39">
            <w:t>[19]</w:t>
          </w:r>
          <w:r>
            <w:fldChar w:fldCharType="end"/>
          </w:r>
        </w:sdtContent>
      </w:sdt>
      <w:r>
        <w:t xml:space="preserve">) produced as part of its engineering Definition Review process. This integrates the DR into the RP’s engineering process, which is beneficial given the structured approach to </w:t>
      </w:r>
      <w:r w:rsidR="002163EB">
        <w:t xml:space="preserve">the </w:t>
      </w:r>
      <w:r>
        <w:t xml:space="preserve">design employed. The response to RQ-RRSMR-0002 (ref. </w:t>
      </w:r>
      <w:sdt>
        <w:sdtPr>
          <w:id w:val="-1299829365"/>
          <w:citation/>
        </w:sdtPr>
        <w:sdtEndPr/>
        <w:sdtContent>
          <w:r>
            <w:fldChar w:fldCharType="begin"/>
          </w:r>
          <w:r>
            <w:instrText xml:space="preserve">CITATION RQ0002 \l 2057 </w:instrText>
          </w:r>
          <w:r>
            <w:fldChar w:fldCharType="separate"/>
          </w:r>
          <w:r w:rsidR="00AB0D39" w:rsidRPr="00AB0D39">
            <w:t>[20]</w:t>
          </w:r>
          <w:r>
            <w:fldChar w:fldCharType="end"/>
          </w:r>
        </w:sdtContent>
      </w:sdt>
      <w:r>
        <w:t xml:space="preserve">) indicates the expected content of the DR report, noting that the content will mature alongside the design. It is expected to include a range of design, layout, engineering and analysis information which collectively defines the generic design. The first DR report will be submitted to ONR during </w:t>
      </w:r>
      <w:r w:rsidR="006C3244">
        <w:t>Step</w:t>
      </w:r>
      <w:r>
        <w:t xml:space="preserve"> 2. We are content that this approach is sufficient for this point in GDA, recognising that the detailed arrangements and their implementation will be assessed during </w:t>
      </w:r>
      <w:r w:rsidR="006C3244">
        <w:t>Step</w:t>
      </w:r>
      <w:r>
        <w:t xml:space="preserve"> 2.</w:t>
      </w:r>
    </w:p>
    <w:p w14:paraId="6C4DA8B9" w14:textId="0B81F84A" w:rsidR="00C94F61" w:rsidRDefault="00C94F61">
      <w:pPr>
        <w:pStyle w:val="NumList1"/>
      </w:pPr>
      <w:r>
        <w:t xml:space="preserve">ONR expect the DR to be ‘frozen’ at a specific date known as the Design Reference Point (DRP), with the first DRP set during </w:t>
      </w:r>
      <w:r w:rsidR="006C3244">
        <w:t>Step</w:t>
      </w:r>
      <w:r>
        <w:t xml:space="preserve"> 2. The RP has confirmed its intention to set the first DRP in </w:t>
      </w:r>
      <w:r w:rsidR="006C3244">
        <w:t>Step</w:t>
      </w:r>
      <w:r>
        <w:t xml:space="preserve"> 2. Further updates to the DRP will be set dependent upon several factors including design maturity and the number and impact of any identified changes. This aligns to both the RP’s intended E3S development schedule, and the GDA programme. This approach meets ONR expectations and is adequate.</w:t>
      </w:r>
    </w:p>
    <w:p w14:paraId="7A4EC201" w14:textId="77777777" w:rsidR="00C94F61" w:rsidRDefault="00C94F61">
      <w:pPr>
        <w:pStyle w:val="NumList1"/>
      </w:pPr>
      <w:r>
        <w:t>Any subsequent changes to the DR itself, which the RP request to be brought within the GDA scope, will need to be agreed by the regulators. This is one part of change control discussed below.</w:t>
      </w:r>
    </w:p>
    <w:p w14:paraId="3A75A9DB" w14:textId="3C94C46B" w:rsidR="00C94F61" w:rsidRPr="00153614" w:rsidRDefault="00C94F61" w:rsidP="00C558E5">
      <w:pPr>
        <w:pStyle w:val="Heading3"/>
      </w:pPr>
      <w:bookmarkStart w:id="104" w:name="_Toc129080984"/>
      <w:bookmarkStart w:id="105" w:name="_Toc129081791"/>
      <w:r w:rsidRPr="00153614">
        <w:t xml:space="preserve">Change </w:t>
      </w:r>
      <w:r w:rsidR="00F51D00">
        <w:t>c</w:t>
      </w:r>
      <w:r w:rsidRPr="00153614">
        <w:t>ontrol</w:t>
      </w:r>
      <w:bookmarkEnd w:id="104"/>
      <w:bookmarkEnd w:id="105"/>
    </w:p>
    <w:p w14:paraId="4F021C63" w14:textId="141ED89F" w:rsidR="00C94F61" w:rsidRDefault="00C94F61">
      <w:pPr>
        <w:pStyle w:val="NumList1"/>
      </w:pPr>
      <w:r>
        <w:t xml:space="preserve">We expect the RP to put arrangements in place to control changes to the generic design or E3S case. There are good business reasons for the RP to do this, but from a GDA perspective the regulators’ expectations are to ensure we have clarity over what is assessed and what any </w:t>
      </w:r>
      <w:r w:rsidR="00DF50D4">
        <w:t xml:space="preserve">regulatory judgements and </w:t>
      </w:r>
      <w:r>
        <w:t xml:space="preserve">GDA output </w:t>
      </w:r>
      <w:r w:rsidR="00DF50D4">
        <w:t xml:space="preserve">are </w:t>
      </w:r>
      <w:r>
        <w:t xml:space="preserve">given against. </w:t>
      </w:r>
    </w:p>
    <w:p w14:paraId="22A38E01" w14:textId="77777777" w:rsidR="00925DD5" w:rsidRDefault="00925DD5">
      <w:pPr>
        <w:spacing w:after="0" w:line="240" w:lineRule="auto"/>
        <w:rPr>
          <w:rFonts w:asciiTheme="minorHAnsi" w:eastAsiaTheme="minorHAnsi" w:hAnsiTheme="minorHAnsi" w:cstheme="minorBidi"/>
          <w:noProof/>
          <w:lang w:bidi="ar-SA"/>
        </w:rPr>
      </w:pPr>
      <w:r>
        <w:br w:type="page"/>
      </w:r>
    </w:p>
    <w:p w14:paraId="1F07D609" w14:textId="3BFE377D" w:rsidR="00C94F61" w:rsidRDefault="00C94F61">
      <w:pPr>
        <w:pStyle w:val="NumList1"/>
      </w:pPr>
      <w:r>
        <w:lastRenderedPageBreak/>
        <w:t xml:space="preserve">The configuration management plan (ref. </w:t>
      </w:r>
      <w:sdt>
        <w:sdtPr>
          <w:id w:val="1499467387"/>
          <w:citation/>
        </w:sdtPr>
        <w:sdtEndPr/>
        <w:sdtContent>
          <w:r>
            <w:fldChar w:fldCharType="begin"/>
          </w:r>
          <w:r>
            <w:instrText xml:space="preserve"> CITATION ConfigMPlan \l 2057 </w:instrText>
          </w:r>
          <w:r>
            <w:fldChar w:fldCharType="separate"/>
          </w:r>
          <w:r w:rsidR="00AB0D39" w:rsidRPr="00AB0D39">
            <w:t>[21]</w:t>
          </w:r>
          <w:r>
            <w:fldChar w:fldCharType="end"/>
          </w:r>
        </w:sdtContent>
      </w:sdt>
      <w:r>
        <w:t xml:space="preserve">) and engineering change management policy (ref. </w:t>
      </w:r>
      <w:sdt>
        <w:sdtPr>
          <w:id w:val="207532923"/>
          <w:citation/>
        </w:sdtPr>
        <w:sdtEndPr/>
        <w:sdtContent>
          <w:r>
            <w:fldChar w:fldCharType="begin"/>
          </w:r>
          <w:r>
            <w:instrText xml:space="preserve">CITATION EngChangePolicy \l 2057 </w:instrText>
          </w:r>
          <w:r>
            <w:fldChar w:fldCharType="separate"/>
          </w:r>
          <w:r w:rsidR="00AB0D39" w:rsidRPr="00AB0D39">
            <w:t>[22]</w:t>
          </w:r>
          <w:r>
            <w:fldChar w:fldCharType="end"/>
          </w:r>
        </w:sdtContent>
      </w:sdt>
      <w:r>
        <w:t xml:space="preserve">) provide valuable information on the RP’s intentions for the change control arrangements to be applied during GDA, for when the DRP has been set. As presented, these documents are considered reasonable as an overview of the intent. However, </w:t>
      </w:r>
      <w:r w:rsidR="00AB241D">
        <w:t xml:space="preserve">in our judgement, </w:t>
      </w:r>
      <w:r>
        <w:t>they are focused on the engineering (design) aspects, not E3S changes, do not consider interactions with the DR and are policy, rather than process.</w:t>
      </w:r>
    </w:p>
    <w:p w14:paraId="0AAAE978" w14:textId="0E72D3F1" w:rsidR="00C94F61" w:rsidRDefault="00C94F61">
      <w:pPr>
        <w:pStyle w:val="NumList1"/>
      </w:pPr>
      <w:r>
        <w:t xml:space="preserve">In response to RQ-RRSMR-0003 (ref. </w:t>
      </w:r>
      <w:sdt>
        <w:sdtPr>
          <w:id w:val="313997173"/>
          <w:citation/>
        </w:sdtPr>
        <w:sdtEndPr/>
        <w:sdtContent>
          <w:r>
            <w:fldChar w:fldCharType="begin"/>
          </w:r>
          <w:r>
            <w:instrText xml:space="preserve">CITATION RQ0003 \l 2057 </w:instrText>
          </w:r>
          <w:r>
            <w:fldChar w:fldCharType="separate"/>
          </w:r>
          <w:r w:rsidR="00AB0D39" w:rsidRPr="00AB0D39">
            <w:t>[23]</w:t>
          </w:r>
          <w:r>
            <w:fldChar w:fldCharType="end"/>
          </w:r>
        </w:sdtContent>
      </w:sdt>
      <w:r>
        <w:t xml:space="preserve">) the RP confirmed that </w:t>
      </w:r>
      <w:r w:rsidR="004E1EEE">
        <w:t>it is</w:t>
      </w:r>
      <w:r>
        <w:t xml:space="preserve"> developing holistic change control arrangements which will cover changes to design, E3S and the DR. The intention is for these arrangements to be developed and implemented by 31 March 2023, allowing for a period of use before the first DRP is set. The response confirmed that the RP understands the need to have robust arrangements to categorise the impact of any change, ensure appropriate governance, and interface with the regulators at the appropriate time and with suitable documentation. The arrangements will be incorporated into the IMS. These intentions align with ONR’s expectations.</w:t>
      </w:r>
    </w:p>
    <w:p w14:paraId="59CB5E09" w14:textId="0A368B1E" w:rsidR="00C94F61" w:rsidRDefault="00C94F61">
      <w:pPr>
        <w:pStyle w:val="NumList1"/>
      </w:pPr>
      <w:r>
        <w:t xml:space="preserve">The MSQA assessment (ref. </w:t>
      </w:r>
      <w:sdt>
        <w:sdtPr>
          <w:id w:val="43803549"/>
          <w:citation/>
        </w:sdtPr>
        <w:sdtEndPr/>
        <w:sdtContent>
          <w:r>
            <w:fldChar w:fldCharType="begin"/>
          </w:r>
          <w:r>
            <w:instrText xml:space="preserve"> CITATION ONR1 \l 2057 </w:instrText>
          </w:r>
          <w:r>
            <w:fldChar w:fldCharType="separate"/>
          </w:r>
          <w:r w:rsidR="00AB0D39" w:rsidRPr="00AB0D39">
            <w:t>[10]</w:t>
          </w:r>
          <w:r>
            <w:fldChar w:fldCharType="end"/>
          </w:r>
        </w:sdtContent>
      </w:sdt>
      <w:r>
        <w:t xml:space="preserve">) also identified that the RP has work to complete to confirm </w:t>
      </w:r>
      <w:r w:rsidR="001469F8">
        <w:t xml:space="preserve">it has </w:t>
      </w:r>
      <w:r>
        <w:t>a robustly configured design prior to the DRP. This may require additional work not ordinarily factored into the RP’s engineering processes. This matter will continue to be monitored through the MSQA topic.</w:t>
      </w:r>
    </w:p>
    <w:p w14:paraId="69E35702" w14:textId="77777777" w:rsidR="00C94F61" w:rsidRPr="00F95D70" w:rsidRDefault="00C94F61">
      <w:pPr>
        <w:pStyle w:val="NumList1"/>
      </w:pPr>
      <w:r>
        <w:t>We therefore judge that the RP has demonstrated an understanding of the expectations for the change control arrangements needed for undertaking GDA and has a schedule to develop these further, in time for the first DRP. At the time of writing this report we are continuing to engage with the RP on the details of its arrangements, and this will continue into their implementation and use in later steps.</w:t>
      </w:r>
    </w:p>
    <w:p w14:paraId="518DDC77" w14:textId="43E40396" w:rsidR="00C94F61" w:rsidRPr="00153614" w:rsidRDefault="00C94F61" w:rsidP="00C558E5">
      <w:pPr>
        <w:pStyle w:val="Heading3"/>
      </w:pPr>
      <w:bookmarkStart w:id="106" w:name="_Toc129080985"/>
      <w:bookmarkStart w:id="107" w:name="_Toc129081792"/>
      <w:r w:rsidRPr="00153614">
        <w:t xml:space="preserve">Capturing </w:t>
      </w:r>
      <w:r w:rsidR="00F51D00">
        <w:t>r</w:t>
      </w:r>
      <w:r w:rsidRPr="00153614">
        <w:t xml:space="preserve">equirements, </w:t>
      </w:r>
      <w:proofErr w:type="gramStart"/>
      <w:r w:rsidR="00F51D00">
        <w:t>a</w:t>
      </w:r>
      <w:r w:rsidRPr="00153614">
        <w:t>ssumptions</w:t>
      </w:r>
      <w:proofErr w:type="gramEnd"/>
      <w:r w:rsidRPr="00153614">
        <w:t xml:space="preserve"> and </w:t>
      </w:r>
      <w:r w:rsidR="00F51D00">
        <w:t>c</w:t>
      </w:r>
      <w:r w:rsidRPr="00153614">
        <w:t>ommitments</w:t>
      </w:r>
      <w:bookmarkEnd w:id="106"/>
      <w:bookmarkEnd w:id="107"/>
    </w:p>
    <w:p w14:paraId="4A4F9AEB" w14:textId="0D0F843C" w:rsidR="00C94F61" w:rsidRDefault="00C94F61">
      <w:pPr>
        <w:pStyle w:val="NumList1"/>
      </w:pPr>
      <w:r>
        <w:t xml:space="preserve">During GDA, and indeed outside of its GDA activities, the RP will identify requirements, assumptions and commitments. These could come via development of the design or E3S case. The ‘recipient’ of these could be the RP, or a future licensee. It is important that the RP has arrangements in place to record and control these, such that they can be fulfilled by the design, E3S case or by the future licensee. In </w:t>
      </w:r>
      <w:r w:rsidR="006C3244">
        <w:t>Step</w:t>
      </w:r>
      <w:r>
        <w:t xml:space="preserve"> 1 we sought an overview of these arrangements, recognising that they were linked to other aspects that were still being developed.</w:t>
      </w:r>
      <w:r w:rsidRPr="00802A88">
        <w:t xml:space="preserve"> </w:t>
      </w:r>
      <w:r>
        <w:t xml:space="preserve">The RP shared a briefing on its approach during </w:t>
      </w:r>
      <w:r w:rsidR="006C3244">
        <w:t>Step</w:t>
      </w:r>
      <w:r>
        <w:t xml:space="preserve"> 1, and this matter was discussed during the MSQA interventions.</w:t>
      </w:r>
    </w:p>
    <w:p w14:paraId="3D3FA668" w14:textId="77777777" w:rsidR="00925DD5" w:rsidRDefault="00925DD5">
      <w:pPr>
        <w:spacing w:after="0" w:line="240" w:lineRule="auto"/>
        <w:rPr>
          <w:rFonts w:asciiTheme="minorHAnsi" w:eastAsiaTheme="minorHAnsi" w:hAnsiTheme="minorHAnsi" w:cstheme="minorBidi"/>
          <w:noProof/>
          <w:lang w:bidi="ar-SA"/>
        </w:rPr>
      </w:pPr>
      <w:r>
        <w:br w:type="page"/>
      </w:r>
    </w:p>
    <w:p w14:paraId="6AF71378" w14:textId="778B7CCC" w:rsidR="00C94F61" w:rsidRDefault="00C94F61">
      <w:pPr>
        <w:pStyle w:val="NumList1"/>
      </w:pPr>
      <w:r>
        <w:lastRenderedPageBreak/>
        <w:t xml:space="preserve">The RP </w:t>
      </w:r>
      <w:r w:rsidR="0070493B">
        <w:t>has set out</w:t>
      </w:r>
      <w:r>
        <w:t xml:space="preserve"> the purpose of its requirements management process in the </w:t>
      </w:r>
      <w:bookmarkStart w:id="108" w:name="_Hlk126584944"/>
      <w:r>
        <w:t>Engineering Management Plan</w:t>
      </w:r>
      <w:bookmarkEnd w:id="108"/>
      <w:r>
        <w:t xml:space="preserve"> (EMP) (ref. </w:t>
      </w:r>
      <w:sdt>
        <w:sdtPr>
          <w:id w:val="1524905136"/>
          <w:citation/>
        </w:sdtPr>
        <w:sdtEndPr/>
        <w:sdtContent>
          <w:r>
            <w:fldChar w:fldCharType="begin"/>
          </w:r>
          <w:r>
            <w:instrText xml:space="preserve">CITATION EMP \l 2057 </w:instrText>
          </w:r>
          <w:r>
            <w:fldChar w:fldCharType="separate"/>
          </w:r>
          <w:r w:rsidR="00AB0D39" w:rsidRPr="00AB0D39">
            <w:t>[24]</w:t>
          </w:r>
          <w:r>
            <w:fldChar w:fldCharType="end"/>
          </w:r>
        </w:sdtContent>
      </w:sdt>
      <w:r>
        <w:t xml:space="preserve">), including the use of a requirements management platform which the RP will use to manage design requirements. Roles and responsibilities relating to management of such requirements are also detailed. It is the intention of Rolls-Royce SMR Limited that this will cover safety, security and safeguards related requirements. This is more mature for the engineering aspects, but the RP itself notes that the methodology for the management of E3S case requirements </w:t>
      </w:r>
      <w:r w:rsidR="00D15AAA">
        <w:t xml:space="preserve">is </w:t>
      </w:r>
      <w:r>
        <w:t>still being defined.</w:t>
      </w:r>
    </w:p>
    <w:p w14:paraId="23B2C43A" w14:textId="1350DEAA" w:rsidR="00C94F61" w:rsidRDefault="00C94F61">
      <w:pPr>
        <w:pStyle w:val="NumList1"/>
      </w:pPr>
      <w:r>
        <w:t xml:space="preserve">The RP’s project operating instruction (ref. </w:t>
      </w:r>
      <w:sdt>
        <w:sdtPr>
          <w:id w:val="1209381617"/>
          <w:citation/>
        </w:sdtPr>
        <w:sdtEndPr/>
        <w:sdtContent>
          <w:r>
            <w:fldChar w:fldCharType="begin"/>
          </w:r>
          <w:r>
            <w:instrText xml:space="preserve">CITATION AssumptComm \l 2057 </w:instrText>
          </w:r>
          <w:r>
            <w:fldChar w:fldCharType="separate"/>
          </w:r>
          <w:r w:rsidR="00AB0D39" w:rsidRPr="00AB0D39">
            <w:t>[25]</w:t>
          </w:r>
          <w:r>
            <w:fldChar w:fldCharType="end"/>
          </w:r>
        </w:sdtContent>
      </w:sdt>
      <w:r>
        <w:t xml:space="preserve">) defines how assumptions and commitments generated in the E3S case, which are intended for the licensee, are identified and captured. A specific log, referenced from the E3S case will be generated as the repository for these. Assumptions and commitments arising from the generic design will use the engineering design process. </w:t>
      </w:r>
    </w:p>
    <w:p w14:paraId="1C1EB2A0" w14:textId="180465F4" w:rsidR="00C94F61" w:rsidRDefault="00C94F61">
      <w:pPr>
        <w:pStyle w:val="NumList1"/>
      </w:pPr>
      <w:r>
        <w:t>We have not made a judgement on the adequacy of the RP</w:t>
      </w:r>
      <w:r w:rsidR="0070493B">
        <w:t>’</w:t>
      </w:r>
      <w:r>
        <w:t xml:space="preserve">s arrangements at this time given the limited assessment undertaken in </w:t>
      </w:r>
      <w:r w:rsidR="006C3244">
        <w:t>Step</w:t>
      </w:r>
      <w:r>
        <w:t xml:space="preserve"> 1. However, we take confidence from the early consideration given to this by the RP and note that the intentions meet our expectations. The assessment of these arrangements and their implementation will therefore be an area of focus throughout </w:t>
      </w:r>
      <w:r w:rsidR="006C3244">
        <w:t>Step</w:t>
      </w:r>
      <w:r>
        <w:t xml:space="preserve"> 2.</w:t>
      </w:r>
    </w:p>
    <w:p w14:paraId="60B75786" w14:textId="77777777" w:rsidR="00C94F61" w:rsidRPr="00153614" w:rsidRDefault="00C94F61" w:rsidP="00C558E5">
      <w:pPr>
        <w:pStyle w:val="Heading3"/>
      </w:pPr>
      <w:bookmarkStart w:id="109" w:name="_Toc129080986"/>
      <w:bookmarkStart w:id="110" w:name="_Toc129081793"/>
      <w:r w:rsidRPr="00153614">
        <w:t>MSQA intervention</w:t>
      </w:r>
      <w:bookmarkEnd w:id="109"/>
      <w:bookmarkEnd w:id="110"/>
      <w:r w:rsidRPr="00153614">
        <w:t xml:space="preserve"> </w:t>
      </w:r>
    </w:p>
    <w:p w14:paraId="74A5A0BE" w14:textId="4069B933" w:rsidR="00C94F61" w:rsidRDefault="00C94F61">
      <w:pPr>
        <w:pStyle w:val="NumList1"/>
      </w:pPr>
      <w:r w:rsidRPr="00C418D4">
        <w:t xml:space="preserve">In addition to assessing the RP’s arrangements for undertaking GDA, our MSQA intervention also considered </w:t>
      </w:r>
      <w:r>
        <w:t>related aspects regarding the RP’s quality function and organisation, competency</w:t>
      </w:r>
      <w:r w:rsidR="00D73FCE">
        <w:t xml:space="preserve">, </w:t>
      </w:r>
      <w:r>
        <w:t>intelligent customer capability</w:t>
      </w:r>
      <w:r w:rsidR="0034742B">
        <w:t>,</w:t>
      </w:r>
      <w:r>
        <w:t xml:space="preserve"> operational experience (OPEX) and knowledge management. These aspects are much broader than the arrangements for GDA, but are important enablers for the RP to be successful.</w:t>
      </w:r>
    </w:p>
    <w:p w14:paraId="11149CE7" w14:textId="77777777" w:rsidR="00C94F61" w:rsidRDefault="00C94F61">
      <w:pPr>
        <w:pStyle w:val="NumList1"/>
      </w:pPr>
      <w:r>
        <w:t>In general, we were content that the RP is making good progress with all of these aspects. There remains work to do, but the development is consistent with our expectations for this step of GDA and we note several areas of good practice being developed.</w:t>
      </w:r>
    </w:p>
    <w:p w14:paraId="5ED3F167" w14:textId="32F2BFF5" w:rsidR="00C94F61" w:rsidRPr="00C418D4" w:rsidRDefault="00C94F61">
      <w:pPr>
        <w:pStyle w:val="NumList1"/>
      </w:pPr>
      <w:r>
        <w:t xml:space="preserve">We expect to continue to monitor the development and implementation of the arrangements for </w:t>
      </w:r>
      <w:r w:rsidRPr="006B5F6B">
        <w:t>achieving sufficient intelligent customer capability for the organisation</w:t>
      </w:r>
      <w:r>
        <w:t xml:space="preserve"> as normal business. Similarly, the application of processes to effectively use OPEX in the E3S case and design will be an important area of focus for </w:t>
      </w:r>
      <w:r w:rsidR="006C3244">
        <w:t>Step</w:t>
      </w:r>
      <w:r>
        <w:t xml:space="preserve"> 2.</w:t>
      </w:r>
    </w:p>
    <w:p w14:paraId="03E0F20F" w14:textId="77777777" w:rsidR="00C94F61" w:rsidRPr="00153614" w:rsidRDefault="00C94F61" w:rsidP="00C558E5">
      <w:pPr>
        <w:pStyle w:val="Heading3"/>
      </w:pPr>
      <w:bookmarkStart w:id="111" w:name="_Toc129080987"/>
      <w:bookmarkStart w:id="112" w:name="_Toc129081794"/>
      <w:r w:rsidRPr="00153614">
        <w:t>Summary</w:t>
      </w:r>
      <w:bookmarkEnd w:id="111"/>
      <w:bookmarkEnd w:id="112"/>
    </w:p>
    <w:p w14:paraId="67B2E3AB" w14:textId="599ACE80" w:rsidR="00C94F61" w:rsidRDefault="00C94F61">
      <w:pPr>
        <w:pStyle w:val="NumList1"/>
      </w:pPr>
      <w:r>
        <w:t xml:space="preserve">During </w:t>
      </w:r>
      <w:r w:rsidR="006C3244">
        <w:t>Step</w:t>
      </w:r>
      <w:r>
        <w:t xml:space="preserve"> 1 the RP has demonstrated a good understanding of the arrangements needed to undertake the GDA. </w:t>
      </w:r>
      <w:r w:rsidR="00510D98">
        <w:t>It has</w:t>
      </w:r>
      <w:r>
        <w:t xml:space="preserve"> developed many processes and guidance documents, under an overarching IMS, with many already implemented. We consider it a positive that the RP has integrated any GDA specifics into its wider business and engineering arrangements.</w:t>
      </w:r>
    </w:p>
    <w:p w14:paraId="54D4F621" w14:textId="34B70660" w:rsidR="00C94F61" w:rsidRDefault="00C94F61">
      <w:pPr>
        <w:pStyle w:val="NumList1"/>
      </w:pPr>
      <w:r>
        <w:lastRenderedPageBreak/>
        <w:t xml:space="preserve">Overall, we are content that sufficient progress has been made during </w:t>
      </w:r>
      <w:r w:rsidR="006C3244">
        <w:t>Step</w:t>
      </w:r>
      <w:r>
        <w:t xml:space="preserve"> 1, and plans for further development and implementation during </w:t>
      </w:r>
      <w:r w:rsidR="006C3244">
        <w:t>Step</w:t>
      </w:r>
      <w:r>
        <w:t xml:space="preserve"> 2 are </w:t>
      </w:r>
      <w:r w:rsidR="0060248D">
        <w:t>acceptable</w:t>
      </w:r>
      <w:r>
        <w:t>.</w:t>
      </w:r>
    </w:p>
    <w:p w14:paraId="08F3361F" w14:textId="2EA2017F" w:rsidR="00C94F61" w:rsidRPr="00E47E70" w:rsidRDefault="00C94F61">
      <w:pPr>
        <w:pStyle w:val="NumList1"/>
      </w:pPr>
      <w:r>
        <w:t>We judge that this information</w:t>
      </w:r>
      <w:r w:rsidR="001642F8">
        <w:t xml:space="preserve">, in combination with </w:t>
      </w:r>
      <w:r w:rsidR="00037386">
        <w:t xml:space="preserve">other information in </w:t>
      </w:r>
      <w:r w:rsidR="004E2124">
        <w:t>Section 4</w:t>
      </w:r>
      <w:r w:rsidR="003E0878">
        <w:t xml:space="preserve"> of this</w:t>
      </w:r>
      <w:r w:rsidR="001642F8">
        <w:t xml:space="preserve"> report, </w:t>
      </w:r>
      <w:r>
        <w:t xml:space="preserve"> is sufficient to meet requirement [1.1], [1.21], [1.22], [1.23], [1.24] and [1.27] from </w:t>
      </w:r>
      <w:r w:rsidR="002163EB">
        <w:t>Guidance to Requesting Parties</w:t>
      </w:r>
      <w:r>
        <w:t xml:space="preserve"> (ref. </w:t>
      </w:r>
      <w:sdt>
        <w:sdtPr>
          <w:id w:val="-167799518"/>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p>
    <w:p w14:paraId="756FE67A" w14:textId="36D531B9" w:rsidR="00C94F61" w:rsidRPr="00153614" w:rsidRDefault="00C94F61" w:rsidP="00C558E5">
      <w:pPr>
        <w:pStyle w:val="Heading2"/>
      </w:pPr>
      <w:bookmarkStart w:id="113" w:name="_Toc129080988"/>
      <w:bookmarkStart w:id="114" w:name="_Toc129081795"/>
      <w:r w:rsidRPr="00153614">
        <w:t xml:space="preserve">Agreement of </w:t>
      </w:r>
      <w:r w:rsidR="00F51D00">
        <w:t xml:space="preserve">the </w:t>
      </w:r>
      <w:r w:rsidRPr="00153614">
        <w:t xml:space="preserve">GDA </w:t>
      </w:r>
      <w:r w:rsidR="00F51D00">
        <w:t>sc</w:t>
      </w:r>
      <w:r w:rsidRPr="00153614">
        <w:t>ope</w:t>
      </w:r>
      <w:bookmarkEnd w:id="113"/>
      <w:bookmarkEnd w:id="114"/>
    </w:p>
    <w:p w14:paraId="60E9BE65" w14:textId="3EEFD76D" w:rsidR="00C94F61" w:rsidRPr="002D42E3" w:rsidRDefault="00C94F61">
      <w:pPr>
        <w:pStyle w:val="NumList1"/>
      </w:pPr>
      <w:r w:rsidRPr="002D42E3">
        <w:t xml:space="preserve">A fundamental objective of </w:t>
      </w:r>
      <w:r w:rsidR="006C3244">
        <w:t>Step</w:t>
      </w:r>
      <w:r w:rsidRPr="002D42E3">
        <w:t xml:space="preserve"> 1 of GDA </w:t>
      </w:r>
      <w:r>
        <w:t>wa</w:t>
      </w:r>
      <w:r w:rsidRPr="002D42E3">
        <w:t>s to agree the GDA scope between the RP and the regulators</w:t>
      </w:r>
      <w:r>
        <w:t xml:space="preserve"> (ref. </w:t>
      </w:r>
      <w:sdt>
        <w:sdtPr>
          <w:id w:val="246547555"/>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r w:rsidRPr="002D42E3">
        <w:t xml:space="preserve">. The GDA </w:t>
      </w:r>
      <w:r>
        <w:t>scope</w:t>
      </w:r>
      <w:r w:rsidRPr="002D42E3">
        <w:t xml:space="preserve"> defines the boundaries of the GDA, and therefore influences both the submissions produced by the RP and the </w:t>
      </w:r>
      <w:r>
        <w:t>assessment undertaken by ONR. We</w:t>
      </w:r>
      <w:r w:rsidRPr="002D42E3">
        <w:t xml:space="preserve"> ha</w:t>
      </w:r>
      <w:r>
        <w:t>ve</w:t>
      </w:r>
      <w:r w:rsidRPr="002D42E3">
        <w:t xml:space="preserve"> therefore engaged with the RP to discuss and agree the GDA scope and the associated schedule</w:t>
      </w:r>
      <w:r>
        <w:t xml:space="preserve">s throughout </w:t>
      </w:r>
      <w:r w:rsidR="006C3244">
        <w:t>Step</w:t>
      </w:r>
      <w:r>
        <w:t xml:space="preserve"> 1</w:t>
      </w:r>
      <w:r w:rsidRPr="00E5639E">
        <w:t xml:space="preserve">. </w:t>
      </w:r>
    </w:p>
    <w:p w14:paraId="023A0E13" w14:textId="00E85A4F" w:rsidR="00C94F61" w:rsidRDefault="00C94F61">
      <w:pPr>
        <w:pStyle w:val="NumList1"/>
      </w:pPr>
      <w:r>
        <w:t xml:space="preserve">Based upon these engagements, the RP has documented the agreed GDA scope (ref. </w:t>
      </w:r>
      <w:sdt>
        <w:sdtPr>
          <w:id w:val="1164746235"/>
          <w:citation/>
        </w:sdtPr>
        <w:sdtEndPr/>
        <w:sdtContent>
          <w:r>
            <w:fldChar w:fldCharType="begin"/>
          </w:r>
          <w:r>
            <w:instrText xml:space="preserve"> CITATION GDAScope \l 2057 </w:instrText>
          </w:r>
          <w:r>
            <w:fldChar w:fldCharType="separate"/>
          </w:r>
          <w:r w:rsidR="00AB0D39" w:rsidRPr="00AB0D39">
            <w:t>[26]</w:t>
          </w:r>
          <w:r>
            <w:fldChar w:fldCharType="end"/>
          </w:r>
        </w:sdtContent>
      </w:sdt>
      <w:r>
        <w:t>).</w:t>
      </w:r>
      <w:r w:rsidRPr="00414D07">
        <w:t xml:space="preserve"> </w:t>
      </w:r>
      <w:r>
        <w:t>This report documents</w:t>
      </w:r>
      <w:r w:rsidRPr="00414D07">
        <w:t xml:space="preserve"> the physical and functional scope of the power station that is proposed for consideration in the GDA.</w:t>
      </w:r>
    </w:p>
    <w:p w14:paraId="083A992A" w14:textId="12584C41" w:rsidR="00C94F61" w:rsidRPr="0021378E" w:rsidRDefault="00C94F61">
      <w:pPr>
        <w:pStyle w:val="NumList1"/>
      </w:pPr>
      <w:r w:rsidRPr="003F1F9A">
        <w:t>Rolls-Royce SMR L</w:t>
      </w:r>
      <w:r>
        <w:t>imited</w:t>
      </w:r>
      <w:r w:rsidRPr="003F1F9A">
        <w:t xml:space="preserve"> ha</w:t>
      </w:r>
      <w:r>
        <w:t>s</w:t>
      </w:r>
      <w:r w:rsidRPr="003F1F9A">
        <w:t xml:space="preserve"> indicated that </w:t>
      </w:r>
      <w:r>
        <w:t>it</w:t>
      </w:r>
      <w:r w:rsidRPr="003F1F9A">
        <w:t xml:space="preserve"> intend</w:t>
      </w:r>
      <w:r>
        <w:t>s</w:t>
      </w:r>
      <w:r w:rsidRPr="003F1F9A">
        <w:t xml:space="preserve"> to complete a </w:t>
      </w:r>
      <w:r w:rsidR="0070493B">
        <w:t>three</w:t>
      </w:r>
      <w:r w:rsidR="0070493B" w:rsidRPr="003F1F9A">
        <w:t xml:space="preserve"> </w:t>
      </w:r>
      <w:r>
        <w:t>step</w:t>
      </w:r>
      <w:r w:rsidRPr="003F1F9A">
        <w:t xml:space="preserve"> GDA, with the objective of receiving a DAC from ONR</w:t>
      </w:r>
      <w:r>
        <w:t>. The current schedule is for a 1</w:t>
      </w:r>
      <w:r w:rsidRPr="009A2186">
        <w:t>6</w:t>
      </w:r>
      <w:r>
        <w:t xml:space="preserve"> </w:t>
      </w:r>
      <w:r w:rsidRPr="009A2186">
        <w:t xml:space="preserve">month </w:t>
      </w:r>
      <w:r w:rsidR="006C3244">
        <w:t>Step</w:t>
      </w:r>
      <w:r w:rsidRPr="009A2186">
        <w:t xml:space="preserve"> 2</w:t>
      </w:r>
      <w:r>
        <w:t xml:space="preserve">, </w:t>
      </w:r>
      <w:r w:rsidRPr="009A2186">
        <w:t>followed by a 25</w:t>
      </w:r>
      <w:r>
        <w:t xml:space="preserve"> </w:t>
      </w:r>
      <w:r w:rsidRPr="009A2186">
        <w:t xml:space="preserve">month </w:t>
      </w:r>
      <w:r w:rsidR="006C3244">
        <w:t>Step</w:t>
      </w:r>
      <w:r w:rsidRPr="009A2186">
        <w:t xml:space="preserve"> </w:t>
      </w:r>
      <w:r>
        <w:t>3</w:t>
      </w:r>
      <w:r w:rsidRPr="009A2186">
        <w:t xml:space="preserve">. This corresponds to a total duration of GDA of 53 months </w:t>
      </w:r>
      <w:r w:rsidRPr="0021378E">
        <w:t xml:space="preserve">from April 2022 to August 2026.  Progression from </w:t>
      </w:r>
      <w:r w:rsidR="006C3244">
        <w:t>Step</w:t>
      </w:r>
      <w:r w:rsidRPr="0021378E">
        <w:t xml:space="preserve"> 2 to 3 is subject to the RP securing additional funding during </w:t>
      </w:r>
      <w:r w:rsidR="006C3244">
        <w:t>Step</w:t>
      </w:r>
      <w:r w:rsidRPr="0021378E">
        <w:t xml:space="preserve"> 2. The GDA scope therefore matches this objective.</w:t>
      </w:r>
    </w:p>
    <w:p w14:paraId="4B12A4D2" w14:textId="79C6E16C" w:rsidR="00C94F61" w:rsidRPr="0021378E" w:rsidRDefault="00C94F61">
      <w:pPr>
        <w:pStyle w:val="NumList1"/>
      </w:pPr>
      <w:r w:rsidRPr="0021378E">
        <w:t xml:space="preserve">In summary, the GDA scope (ref. </w:t>
      </w:r>
      <w:sdt>
        <w:sdtPr>
          <w:id w:val="-1424719186"/>
          <w:citation/>
        </w:sdtPr>
        <w:sdtEndPr/>
        <w:sdtContent>
          <w:r w:rsidRPr="0021378E">
            <w:fldChar w:fldCharType="begin"/>
          </w:r>
          <w:r w:rsidRPr="0021378E">
            <w:instrText xml:space="preserve"> CITATION GDAScope \l 2057 </w:instrText>
          </w:r>
          <w:r w:rsidRPr="0021378E">
            <w:fldChar w:fldCharType="separate"/>
          </w:r>
          <w:r w:rsidR="00AB0D39" w:rsidRPr="00AB0D39">
            <w:t>[26]</w:t>
          </w:r>
          <w:r w:rsidRPr="0021378E">
            <w:fldChar w:fldCharType="end"/>
          </w:r>
        </w:sdtContent>
      </w:sdt>
      <w:r w:rsidRPr="0021378E">
        <w:t>) confirms:</w:t>
      </w:r>
    </w:p>
    <w:p w14:paraId="2549DE7A" w14:textId="607214BB" w:rsidR="00C94F61" w:rsidRPr="00925DD5" w:rsidRDefault="00C94F61" w:rsidP="00925DD5">
      <w:pPr>
        <w:pStyle w:val="Bulletlist2"/>
      </w:pPr>
      <w:r w:rsidRPr="00925DD5">
        <w:t>The key parameters of the design, which are as summarised in Section 2 of this report</w:t>
      </w:r>
      <w:r w:rsidR="0060248D" w:rsidRPr="00925DD5">
        <w:t xml:space="preserve">; </w:t>
      </w:r>
    </w:p>
    <w:p w14:paraId="1DE8C2D8" w14:textId="13922FD7" w:rsidR="00C94F61" w:rsidRPr="00925DD5" w:rsidRDefault="00C94F61" w:rsidP="00925DD5">
      <w:pPr>
        <w:pStyle w:val="Bulletlist2"/>
      </w:pPr>
      <w:r w:rsidRPr="00925DD5">
        <w:t>The generic design is for a single unit site, that is deployed at a coastal location, with an indirect cooling system utilising forced draft cooling towers cooled by sea water</w:t>
      </w:r>
      <w:r w:rsidR="0060248D" w:rsidRPr="00925DD5">
        <w:t xml:space="preserve">; </w:t>
      </w:r>
    </w:p>
    <w:p w14:paraId="058787C1" w14:textId="6B80F3D2" w:rsidR="00C94F61" w:rsidRPr="00925DD5" w:rsidRDefault="00C94F61" w:rsidP="00925DD5">
      <w:pPr>
        <w:pStyle w:val="Bulletlist2"/>
      </w:pPr>
      <w:r w:rsidRPr="00925DD5">
        <w:t xml:space="preserve">The generic design is located within a site environment bounded by the defined Generic Site Envelope (GSE) (ref. </w:t>
      </w:r>
      <w:sdt>
        <w:sdtPr>
          <w:id w:val="970798173"/>
          <w:citation/>
        </w:sdtPr>
        <w:sdtEndPr/>
        <w:sdtContent>
          <w:r w:rsidRPr="00925DD5">
            <w:fldChar w:fldCharType="begin"/>
          </w:r>
          <w:r w:rsidRPr="00925DD5">
            <w:instrText xml:space="preserve"> CITATION GSE \l 2057 </w:instrText>
          </w:r>
          <w:r w:rsidRPr="00925DD5">
            <w:fldChar w:fldCharType="separate"/>
          </w:r>
          <w:r w:rsidR="00AB0D39" w:rsidRPr="00925DD5">
            <w:t>[27]</w:t>
          </w:r>
          <w:r w:rsidRPr="00925DD5">
            <w:fldChar w:fldCharType="end"/>
          </w:r>
        </w:sdtContent>
      </w:sdt>
      <w:r w:rsidRPr="00925DD5">
        <w:t>). The GSE is discussed further in Section 4.4</w:t>
      </w:r>
      <w:r w:rsidR="0060248D" w:rsidRPr="00925DD5">
        <w:t>;</w:t>
      </w:r>
    </w:p>
    <w:p w14:paraId="3B6F9BD4" w14:textId="7E3061A3" w:rsidR="00C94F61" w:rsidRPr="00925DD5" w:rsidRDefault="00C94F61" w:rsidP="00925DD5">
      <w:pPr>
        <w:pStyle w:val="Bulletlist2"/>
      </w:pPr>
      <w:bookmarkStart w:id="115" w:name="_Hlk127871615"/>
      <w:r w:rsidRPr="00925DD5">
        <w:t xml:space="preserve">The GDA scope includes, as a minimum, all SSCs that are identified as being important to safety, security and safeguards. A list is documented within the GDA scope report (ref. </w:t>
      </w:r>
      <w:sdt>
        <w:sdtPr>
          <w:id w:val="1621719241"/>
          <w:citation/>
        </w:sdtPr>
        <w:sdtEndPr/>
        <w:sdtContent>
          <w:r w:rsidRPr="00925DD5">
            <w:fldChar w:fldCharType="begin"/>
          </w:r>
          <w:r w:rsidRPr="00925DD5">
            <w:instrText xml:space="preserve"> CITATION GDAScope \l 2057 </w:instrText>
          </w:r>
          <w:r w:rsidRPr="00925DD5">
            <w:fldChar w:fldCharType="separate"/>
          </w:r>
          <w:r w:rsidR="00AB0D39" w:rsidRPr="00925DD5">
            <w:t>[26]</w:t>
          </w:r>
          <w:r w:rsidRPr="00925DD5">
            <w:fldChar w:fldCharType="end"/>
          </w:r>
        </w:sdtContent>
      </w:sdt>
      <w:r w:rsidR="0060248D" w:rsidRPr="00925DD5">
        <w:t>);</w:t>
      </w:r>
    </w:p>
    <w:p w14:paraId="43B9EE01" w14:textId="3B2B0F1D" w:rsidR="00C94F61" w:rsidRPr="00925DD5" w:rsidRDefault="00C94F61" w:rsidP="00925DD5">
      <w:pPr>
        <w:pStyle w:val="Bulletlist2"/>
      </w:pPr>
      <w:r w:rsidRPr="00925DD5">
        <w:t>All modes of operation are considered, from power operation through shutdown and refuelling</w:t>
      </w:r>
      <w:r w:rsidR="0060248D" w:rsidRPr="00925DD5">
        <w:t>; and</w:t>
      </w:r>
    </w:p>
    <w:p w14:paraId="4EEC7BF9" w14:textId="7DEF9FC1" w:rsidR="00C94F61" w:rsidRPr="00925DD5" w:rsidRDefault="00C94F61" w:rsidP="00925DD5">
      <w:pPr>
        <w:pStyle w:val="Bulletlist2"/>
      </w:pPr>
      <w:r w:rsidRPr="00925DD5">
        <w:t xml:space="preserve">All stages of the plant lifecycle will be considered, although the level of detail </w:t>
      </w:r>
      <w:r w:rsidR="00127A86" w:rsidRPr="00925DD5">
        <w:t xml:space="preserve">will </w:t>
      </w:r>
      <w:r w:rsidRPr="00925DD5">
        <w:t>vary as appropriate for a GDA.</w:t>
      </w:r>
    </w:p>
    <w:bookmarkEnd w:id="115"/>
    <w:p w14:paraId="615CD09A" w14:textId="77777777" w:rsidR="00C94F61" w:rsidRDefault="00C94F61">
      <w:pPr>
        <w:pStyle w:val="NumList1"/>
      </w:pPr>
      <w:r>
        <w:lastRenderedPageBreak/>
        <w:t>As would be expected, a number of exclusions are declared from the GDA scope. Some of these relate to aspects which are the responsibility of a future licensee and therefore cannot reasonably be considered within a GDA. However, there are several which are specific to the Rolls-Royce SMR design:</w:t>
      </w:r>
    </w:p>
    <w:p w14:paraId="40BB9949" w14:textId="6CD09AB5" w:rsidR="00C94F61" w:rsidRDefault="00C94F61" w:rsidP="00925DD5">
      <w:pPr>
        <w:pStyle w:val="Bulletlist2"/>
      </w:pPr>
      <w:r>
        <w:t>The site factory, which is a temporary structure that provides an environmental shelter to the Rolls-Royce SMR assembly area during construction</w:t>
      </w:r>
      <w:r w:rsidR="00CB44F0">
        <w:t>;</w:t>
      </w:r>
    </w:p>
    <w:p w14:paraId="77F44A3A" w14:textId="19CC0BAA" w:rsidR="00C94F61" w:rsidRDefault="00C94F61" w:rsidP="00925DD5">
      <w:pPr>
        <w:pStyle w:val="Bulletlist2"/>
      </w:pPr>
      <w:r>
        <w:t>The design, construction, and operation of the various factories which will build and supply the modules and components for the design</w:t>
      </w:r>
      <w:r w:rsidR="00CB44F0">
        <w:t>;</w:t>
      </w:r>
    </w:p>
    <w:p w14:paraId="71D08290" w14:textId="4003A84B" w:rsidR="00C94F61" w:rsidRDefault="00E92C12" w:rsidP="00925DD5">
      <w:pPr>
        <w:pStyle w:val="Bulletlist2"/>
      </w:pPr>
      <w:r>
        <w:t>Aspects of m</w:t>
      </w:r>
      <w:r w:rsidR="00C94F61">
        <w:t>odular transport and modular construction on site</w:t>
      </w:r>
      <w:r w:rsidR="00CB44F0">
        <w:t>;</w:t>
      </w:r>
    </w:p>
    <w:p w14:paraId="672DB2F0" w14:textId="675C163E" w:rsidR="00C94F61" w:rsidRDefault="00C94F61" w:rsidP="00925DD5">
      <w:pPr>
        <w:pStyle w:val="Bulletlist2"/>
      </w:pPr>
      <w:r>
        <w:t>Final fuel storage (assumed to be an off-site geological disposal facility</w:t>
      </w:r>
      <w:r w:rsidR="00CB44F0">
        <w:t>);</w:t>
      </w:r>
    </w:p>
    <w:p w14:paraId="5F369F4A" w14:textId="52CE2FEC" w:rsidR="00C94F61" w:rsidRDefault="00C94F61" w:rsidP="00925DD5">
      <w:pPr>
        <w:pStyle w:val="Bulletlist2"/>
      </w:pPr>
      <w:r>
        <w:t>Specific commissioning tests (although general principles around the commissioning will be included in the scope</w:t>
      </w:r>
      <w:r w:rsidR="00CB44F0">
        <w:t>);</w:t>
      </w:r>
    </w:p>
    <w:p w14:paraId="4D89CE9F" w14:textId="4B11640C" w:rsidR="00C94F61" w:rsidRDefault="00C94F61" w:rsidP="00925DD5">
      <w:pPr>
        <w:pStyle w:val="Bulletlist2"/>
      </w:pPr>
      <w:r w:rsidRPr="008C18DA">
        <w:t xml:space="preserve">The arrangements for the procurement of </w:t>
      </w:r>
      <w:r>
        <w:t>Long Lead Items (</w:t>
      </w:r>
      <w:r w:rsidRPr="008C18DA">
        <w:t>LLIs</w:t>
      </w:r>
      <w:r>
        <w:t>)</w:t>
      </w:r>
      <w:r w:rsidRPr="008C18DA">
        <w:t xml:space="preserve"> will not be covered in the scope of GDA. However, the safety justifications for LLIs will form part of the safety case and are therefore included in the scope of GDA</w:t>
      </w:r>
      <w:r w:rsidR="00CB44F0">
        <w:t>; and</w:t>
      </w:r>
    </w:p>
    <w:p w14:paraId="3AC88374" w14:textId="77777777" w:rsidR="00C94F61" w:rsidRDefault="00C94F61" w:rsidP="00925DD5">
      <w:pPr>
        <w:pStyle w:val="Bulletlist2"/>
      </w:pPr>
      <w:r>
        <w:t>Specific arrangements for responding in the event of a radiological or conventional emergency (although facilitation of emergency response and design requirements to enable future licensees to comply with regulations will be included).</w:t>
      </w:r>
    </w:p>
    <w:p w14:paraId="3967BCE0" w14:textId="75380F1A" w:rsidR="00C94F61" w:rsidRDefault="00C94F61">
      <w:pPr>
        <w:pStyle w:val="NumList1"/>
      </w:pPr>
      <w:r>
        <w:t>We are content that the agreed GDA scope is sufficient to undertake a meaningful assessment of the generic Roll</w:t>
      </w:r>
      <w:r w:rsidR="002E3170">
        <w:t>s</w:t>
      </w:r>
      <w:r>
        <w:t xml:space="preserve">-Royce SMR design. It is consistent with previous GDAs that have achieved a DAC. Further refinements or changes to the agreed GDA scope can be agreed as normal business for the remainder of </w:t>
      </w:r>
      <w:r w:rsidR="00304234">
        <w:t xml:space="preserve">the </w:t>
      </w:r>
      <w:r>
        <w:t>GDA.</w:t>
      </w:r>
    </w:p>
    <w:p w14:paraId="5BC5BF01" w14:textId="02A8441F" w:rsidR="00C94F61" w:rsidRPr="00242F9E" w:rsidRDefault="00C94F61">
      <w:pPr>
        <w:pStyle w:val="NumList1"/>
      </w:pPr>
      <w:r w:rsidRPr="00242F9E">
        <w:t>We judge that this information is sufficient to meet requirement [1.</w:t>
      </w:r>
      <w:r>
        <w:t>2</w:t>
      </w:r>
      <w:r w:rsidRPr="00242F9E">
        <w:t>]</w:t>
      </w:r>
      <w:r>
        <w:t xml:space="preserve"> and [1.3]</w:t>
      </w:r>
      <w:r w:rsidRPr="00242F9E">
        <w:t xml:space="preserve"> from </w:t>
      </w:r>
      <w:r w:rsidR="002163EB">
        <w:t>Guidance to Requesting Parties</w:t>
      </w:r>
      <w:r w:rsidRPr="00242F9E">
        <w:t xml:space="preserve"> (ref. [1]).</w:t>
      </w:r>
    </w:p>
    <w:p w14:paraId="4C3D7D34" w14:textId="72F0C9EE" w:rsidR="00C94F61" w:rsidRPr="00153614" w:rsidRDefault="00C94F61" w:rsidP="00C558E5">
      <w:pPr>
        <w:pStyle w:val="Heading2"/>
      </w:pPr>
      <w:bookmarkStart w:id="116" w:name="_Toc129080989"/>
      <w:bookmarkStart w:id="117" w:name="_Toc129081796"/>
      <w:r w:rsidRPr="00153614">
        <w:t xml:space="preserve">Status of the </w:t>
      </w:r>
      <w:r w:rsidR="00F51D00">
        <w:t>d</w:t>
      </w:r>
      <w:r w:rsidRPr="00153614">
        <w:t xml:space="preserve">esign and </w:t>
      </w:r>
      <w:r w:rsidR="00F51D00">
        <w:t>s</w:t>
      </w:r>
      <w:r w:rsidRPr="00153614">
        <w:t xml:space="preserve">afety, </w:t>
      </w:r>
      <w:proofErr w:type="gramStart"/>
      <w:r w:rsidR="00F51D00">
        <w:t>s</w:t>
      </w:r>
      <w:r w:rsidRPr="00153614">
        <w:t>ecurity</w:t>
      </w:r>
      <w:proofErr w:type="gramEnd"/>
      <w:r w:rsidRPr="00153614">
        <w:t xml:space="preserve"> and </w:t>
      </w:r>
      <w:r w:rsidR="00F51D00">
        <w:t>s</w:t>
      </w:r>
      <w:r w:rsidRPr="00153614">
        <w:t>afeguards case</w:t>
      </w:r>
      <w:bookmarkEnd w:id="116"/>
      <w:bookmarkEnd w:id="117"/>
      <w:r w:rsidR="009A11C5">
        <w:t>s</w:t>
      </w:r>
    </w:p>
    <w:p w14:paraId="6DF906AF" w14:textId="77777777" w:rsidR="00C94F61" w:rsidRPr="00153614" w:rsidRDefault="00C94F61" w:rsidP="00C558E5">
      <w:pPr>
        <w:pStyle w:val="Heading3"/>
      </w:pPr>
      <w:bookmarkStart w:id="118" w:name="_Toc129080990"/>
      <w:bookmarkStart w:id="119" w:name="_Toc129081797"/>
      <w:r w:rsidRPr="00153614">
        <w:t>Design</w:t>
      </w:r>
      <w:bookmarkEnd w:id="118"/>
      <w:bookmarkEnd w:id="119"/>
    </w:p>
    <w:p w14:paraId="05825CC4" w14:textId="3677C8A4" w:rsidR="00C94F61" w:rsidRDefault="00C94F61">
      <w:pPr>
        <w:pStyle w:val="NumList1"/>
      </w:pPr>
      <w:r>
        <w:t>Upon entry to GDA</w:t>
      </w:r>
      <w:r w:rsidR="00CB44F0">
        <w:t>,</w:t>
      </w:r>
      <w:r>
        <w:t xml:space="preserve"> Rolls-Royce SMR Limited were working towards the Preliminary Concept Definition (PCD) engineering milestone (DR1), which was subsequently achieved in July 2022. This level of design represents a single baseline design for the complete NPP. Optioneering and design optimisations remain on-going.</w:t>
      </w:r>
    </w:p>
    <w:p w14:paraId="752D81F9" w14:textId="6DC761A4" w:rsidR="00C94F61" w:rsidRPr="007A40EA" w:rsidRDefault="00C94F61">
      <w:pPr>
        <w:pStyle w:val="NumList1"/>
      </w:pPr>
      <w:r>
        <w:lastRenderedPageBreak/>
        <w:t xml:space="preserve">The RP’s engineering governance arrangements use a gated review process, using Definition Review (DRx, with x being a sequential number) points against which the design maturity of any SSC may be planned, assessed and reported. In total there are </w:t>
      </w:r>
      <w:r w:rsidR="00CB44F0">
        <w:t>nine</w:t>
      </w:r>
      <w:r>
        <w:t xml:space="preserve"> Definition Review points, with some of these corresponding to declared engineering milestones. Each gate is essentially an internal multidisciplinary audit of the design's maturity and compliance to relevant processes. This approach is developed from BS EN61160:2005 Design Review.</w:t>
      </w:r>
    </w:p>
    <w:p w14:paraId="6DE02531" w14:textId="47BEC248" w:rsidR="00C94F61" w:rsidRPr="0021378E" w:rsidRDefault="00C94F61">
      <w:pPr>
        <w:pStyle w:val="NumList1"/>
      </w:pPr>
      <w:r>
        <w:t>The next major engineering milestone to be reached will be F</w:t>
      </w:r>
      <w:r w:rsidR="00211404">
        <w:t>inal</w:t>
      </w:r>
      <w:r>
        <w:t xml:space="preserve"> Concept Definition (FCD)</w:t>
      </w:r>
      <w:r w:rsidR="00DE5D51">
        <w:t xml:space="preserve"> which aligns</w:t>
      </w:r>
      <w:r w:rsidR="00EE602E">
        <w:t xml:space="preserve"> with the completion of a number of prioritised </w:t>
      </w:r>
      <w:r>
        <w:t>DR3</w:t>
      </w:r>
      <w:r w:rsidR="00EE602E">
        <w:t xml:space="preserve"> gates.</w:t>
      </w:r>
      <w:r>
        <w:t xml:space="preserve"> </w:t>
      </w:r>
      <w:r w:rsidR="00EE602E">
        <w:t xml:space="preserve">This </w:t>
      </w:r>
      <w:r>
        <w:t xml:space="preserve">is currently targeted to be met during 2023, after the planned start of </w:t>
      </w:r>
      <w:r w:rsidR="006C3244">
        <w:t>Step</w:t>
      </w:r>
      <w:r>
        <w:t xml:space="preserve"> 2 of GDA. Rolls-Royce SMR </w:t>
      </w:r>
      <w:r w:rsidR="006F677F">
        <w:t xml:space="preserve">Limited </w:t>
      </w:r>
      <w:r w:rsidR="00740E2E">
        <w:t xml:space="preserve">is </w:t>
      </w:r>
      <w:r>
        <w:t xml:space="preserve">aiming </w:t>
      </w:r>
      <w:r w:rsidR="008F7A56">
        <w:t xml:space="preserve">for the design </w:t>
      </w:r>
      <w:r>
        <w:t xml:space="preserve">to reach </w:t>
      </w:r>
      <w:r w:rsidRPr="005705E7">
        <w:t>Critical Definition Review (CDR)</w:t>
      </w:r>
      <w:r>
        <w:t xml:space="preserve"> (DR5) around the start of </w:t>
      </w:r>
      <w:r w:rsidR="006C3244">
        <w:t>Step</w:t>
      </w:r>
      <w:r>
        <w:t xml:space="preserve"> 3. The main difference between these milestones is the increasing maturity of individual SSCs, and the underpinning justifications and substantiations.</w:t>
      </w:r>
      <w:r w:rsidRPr="005705E7">
        <w:t xml:space="preserve"> </w:t>
      </w:r>
      <w:r>
        <w:t xml:space="preserve">As the design matures the level of optioneering and decision making is expected to reduce, with the RP expecting to have made all </w:t>
      </w:r>
      <w:r w:rsidRPr="0021378E">
        <w:t xml:space="preserve">significant design choices by DR3. This is shown in Figure 11.  </w:t>
      </w:r>
    </w:p>
    <w:p w14:paraId="4AFFACD4" w14:textId="01483A1A" w:rsidR="00C94F61" w:rsidRPr="0021378E" w:rsidRDefault="004D3E22" w:rsidP="00160651">
      <w:pPr>
        <w:pStyle w:val="TSNumberedParagraph1"/>
        <w:numPr>
          <w:ilvl w:val="0"/>
          <w:numId w:val="0"/>
        </w:numPr>
        <w:jc w:val="center"/>
      </w:pPr>
      <w:r w:rsidRPr="004D3E22">
        <w:rPr>
          <w:noProof/>
        </w:rPr>
        <w:drawing>
          <wp:inline distT="0" distB="0" distL="0" distR="0" wp14:anchorId="4AE9BA0E" wp14:editId="3D4A519E">
            <wp:extent cx="6188710" cy="2175510"/>
            <wp:effectExtent l="19050" t="19050" r="21590" b="15240"/>
            <wp:docPr id="26" name="Picture 26" descr="Figure 11: Rolls-Royce SMR Limited definition review gates and engineering mile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1: Rolls-Royce SMR Limited definition review gates and engineering milestones"/>
                    <pic:cNvPicPr/>
                  </pic:nvPicPr>
                  <pic:blipFill>
                    <a:blip r:embed="rId38"/>
                    <a:stretch>
                      <a:fillRect/>
                    </a:stretch>
                  </pic:blipFill>
                  <pic:spPr>
                    <a:xfrm>
                      <a:off x="0" y="0"/>
                      <a:ext cx="6188710" cy="2175510"/>
                    </a:xfrm>
                    <a:prstGeom prst="rect">
                      <a:avLst/>
                    </a:prstGeom>
                    <a:ln w="19050">
                      <a:solidFill>
                        <a:schemeClr val="tx1"/>
                      </a:solidFill>
                    </a:ln>
                  </pic:spPr>
                </pic:pic>
              </a:graphicData>
            </a:graphic>
          </wp:inline>
        </w:drawing>
      </w:r>
    </w:p>
    <w:p w14:paraId="4D962DBC" w14:textId="0D87046A" w:rsidR="00C94F61" w:rsidRPr="00165DC2" w:rsidRDefault="00C94F61" w:rsidP="00160651">
      <w:pPr>
        <w:pStyle w:val="TSNumberedParagraph1"/>
        <w:numPr>
          <w:ilvl w:val="0"/>
          <w:numId w:val="0"/>
        </w:numPr>
        <w:ind w:left="851"/>
        <w:rPr>
          <w:b/>
          <w:bCs/>
          <w:sz w:val="22"/>
          <w:szCs w:val="22"/>
        </w:rPr>
      </w:pPr>
      <w:bookmarkStart w:id="120" w:name="_Toc129080992"/>
      <w:bookmarkStart w:id="121" w:name="_Toc129081799"/>
      <w:r w:rsidRPr="0021378E">
        <w:rPr>
          <w:b/>
          <w:bCs/>
          <w:sz w:val="22"/>
          <w:szCs w:val="22"/>
        </w:rPr>
        <w:t xml:space="preserve">Figure 11: Rolls-Royce SMR Limited </w:t>
      </w:r>
      <w:r w:rsidR="00CF56B4">
        <w:rPr>
          <w:b/>
          <w:bCs/>
          <w:sz w:val="22"/>
          <w:szCs w:val="22"/>
        </w:rPr>
        <w:t>d</w:t>
      </w:r>
      <w:r w:rsidRPr="0021378E">
        <w:rPr>
          <w:b/>
          <w:bCs/>
          <w:sz w:val="22"/>
          <w:szCs w:val="22"/>
        </w:rPr>
        <w:t xml:space="preserve">efinition </w:t>
      </w:r>
      <w:r w:rsidR="00CF56B4">
        <w:rPr>
          <w:b/>
          <w:bCs/>
          <w:sz w:val="22"/>
          <w:szCs w:val="22"/>
        </w:rPr>
        <w:t>r</w:t>
      </w:r>
      <w:r w:rsidRPr="0021378E">
        <w:rPr>
          <w:b/>
          <w:bCs/>
          <w:sz w:val="22"/>
          <w:szCs w:val="22"/>
        </w:rPr>
        <w:t xml:space="preserve">eview gates and engineering milestones </w:t>
      </w:r>
      <w:r w:rsidRPr="0021378E">
        <w:rPr>
          <w:sz w:val="22"/>
          <w:szCs w:val="22"/>
        </w:rPr>
        <w:t xml:space="preserve">(ref. </w:t>
      </w:r>
      <w:sdt>
        <w:sdtPr>
          <w:rPr>
            <w:sz w:val="22"/>
            <w:szCs w:val="22"/>
          </w:rPr>
          <w:id w:val="-945001260"/>
          <w:citation/>
        </w:sdtPr>
        <w:sdtEndPr/>
        <w:sdtContent>
          <w:r w:rsidRPr="0021378E">
            <w:rPr>
              <w:sz w:val="22"/>
              <w:szCs w:val="22"/>
            </w:rPr>
            <w:fldChar w:fldCharType="begin"/>
          </w:r>
          <w:r w:rsidRPr="0021378E">
            <w:rPr>
              <w:sz w:val="22"/>
              <w:szCs w:val="22"/>
            </w:rPr>
            <w:instrText xml:space="preserve"> CITATION EngChangePolicy \l 2057 </w:instrText>
          </w:r>
          <w:r w:rsidRPr="0021378E">
            <w:rPr>
              <w:sz w:val="22"/>
              <w:szCs w:val="22"/>
            </w:rPr>
            <w:fldChar w:fldCharType="separate"/>
          </w:r>
          <w:r w:rsidR="00AB0D39" w:rsidRPr="00AB0D39">
            <w:rPr>
              <w:noProof/>
              <w:sz w:val="22"/>
              <w:szCs w:val="22"/>
            </w:rPr>
            <w:t>[22]</w:t>
          </w:r>
          <w:r w:rsidRPr="0021378E">
            <w:rPr>
              <w:sz w:val="22"/>
              <w:szCs w:val="22"/>
            </w:rPr>
            <w:fldChar w:fldCharType="end"/>
          </w:r>
        </w:sdtContent>
      </w:sdt>
      <w:r w:rsidRPr="0021378E">
        <w:rPr>
          <w:sz w:val="22"/>
          <w:szCs w:val="22"/>
        </w:rPr>
        <w:t>)</w:t>
      </w:r>
      <w:bookmarkEnd w:id="120"/>
      <w:bookmarkEnd w:id="121"/>
    </w:p>
    <w:p w14:paraId="156574A5" w14:textId="6BECABAA" w:rsidR="00C94F61" w:rsidRDefault="00C94F61">
      <w:pPr>
        <w:pStyle w:val="NumList1"/>
      </w:pPr>
      <w:r>
        <w:t xml:space="preserve">The MRI (ref. </w:t>
      </w:r>
      <w:sdt>
        <w:sdtPr>
          <w:id w:val="83804674"/>
          <w:citation/>
        </w:sdtPr>
        <w:sdtEndPr/>
        <w:sdtContent>
          <w:r>
            <w:fldChar w:fldCharType="begin"/>
          </w:r>
          <w:r>
            <w:instrText xml:space="preserve"> CITATION MRI \l 2057 </w:instrText>
          </w:r>
          <w:r>
            <w:fldChar w:fldCharType="separate"/>
          </w:r>
          <w:r w:rsidR="00AB0D39" w:rsidRPr="00AB0D39">
            <w:t>[19]</w:t>
          </w:r>
          <w:r>
            <w:fldChar w:fldCharType="end"/>
          </w:r>
        </w:sdtContent>
      </w:sdt>
      <w:r>
        <w:t xml:space="preserve">) provides an index of all the documents which form the design basis and its justification. The MRI for PCD lists </w:t>
      </w:r>
      <w:r w:rsidR="00740E2E">
        <w:t xml:space="preserve">more than </w:t>
      </w:r>
      <w:r>
        <w:t>350 documents that include design, engineering, analysis and justification.</w:t>
      </w:r>
    </w:p>
    <w:p w14:paraId="50318005" w14:textId="77777777" w:rsidR="00925DD5" w:rsidRDefault="00925DD5">
      <w:pPr>
        <w:spacing w:after="0" w:line="240" w:lineRule="auto"/>
        <w:rPr>
          <w:rFonts w:asciiTheme="minorHAnsi" w:eastAsiaTheme="minorHAnsi" w:hAnsiTheme="minorHAnsi" w:cstheme="minorBidi"/>
          <w:noProof/>
          <w:lang w:bidi="ar-SA"/>
        </w:rPr>
      </w:pPr>
      <w:r>
        <w:br w:type="page"/>
      </w:r>
    </w:p>
    <w:p w14:paraId="70388E44" w14:textId="20A40A72" w:rsidR="00C94F61" w:rsidRDefault="00C94F61">
      <w:pPr>
        <w:pStyle w:val="NumList1"/>
      </w:pPr>
      <w:r>
        <w:lastRenderedPageBreak/>
        <w:t xml:space="preserve">Development of the design will be controlled and managed in accordance with the arrangements as described within the EMP (ref. </w:t>
      </w:r>
      <w:sdt>
        <w:sdtPr>
          <w:id w:val="1444654976"/>
          <w:citation/>
        </w:sdtPr>
        <w:sdtEndPr/>
        <w:sdtContent>
          <w:r>
            <w:fldChar w:fldCharType="begin"/>
          </w:r>
          <w:r>
            <w:instrText xml:space="preserve">CITATION EMP \l 2057 </w:instrText>
          </w:r>
          <w:r>
            <w:fldChar w:fldCharType="separate"/>
          </w:r>
          <w:r w:rsidR="00AB0D39" w:rsidRPr="00AB0D39">
            <w:t>[24]</w:t>
          </w:r>
          <w:r>
            <w:fldChar w:fldCharType="end"/>
          </w:r>
        </w:sdtContent>
      </w:sdt>
      <w:r>
        <w:t>). This describes the organisation, governance and methods used by Rolls-Royce SMR Limited to develop its design. There are four main aspects which the RP will use collectively to ensure compliance with UK legislation, regulation, codes and standards:</w:t>
      </w:r>
    </w:p>
    <w:p w14:paraId="44B6CCFA" w14:textId="77777777" w:rsidR="00C94F61" w:rsidRPr="00EF3893" w:rsidRDefault="00C94F61" w:rsidP="00925DD5">
      <w:pPr>
        <w:pStyle w:val="Bulletlist2"/>
      </w:pPr>
      <w:r w:rsidRPr="00EF3893">
        <w:t>Requirements Management – covering identification, capture, verification and traceability of their delivery in design</w:t>
      </w:r>
      <w:r>
        <w:t>.</w:t>
      </w:r>
    </w:p>
    <w:p w14:paraId="33E2597B" w14:textId="77777777" w:rsidR="00C94F61" w:rsidRPr="00EF3893" w:rsidRDefault="00C94F61" w:rsidP="00925DD5">
      <w:pPr>
        <w:pStyle w:val="Bulletlist2"/>
      </w:pPr>
      <w:r w:rsidRPr="00EF3893">
        <w:t>Design Process – as defined within IMS</w:t>
      </w:r>
      <w:r w:rsidRPr="00EF3893">
        <w:rPr>
          <w:rStyle w:val="Emphasis"/>
        </w:rPr>
        <w:t xml:space="preserve"> </w:t>
      </w:r>
      <w:r w:rsidRPr="00EF3893">
        <w:t>covering development of a solution that complies with the requirements of codes,</w:t>
      </w:r>
      <w:r w:rsidRPr="00EF3893">
        <w:rPr>
          <w:rStyle w:val="Emphasis"/>
        </w:rPr>
        <w:t xml:space="preserve"> </w:t>
      </w:r>
      <w:r w:rsidRPr="00EF3893">
        <w:t>standards and legislation</w:t>
      </w:r>
      <w:r>
        <w:t>.</w:t>
      </w:r>
    </w:p>
    <w:p w14:paraId="0D8F822D" w14:textId="77777777" w:rsidR="00C94F61" w:rsidRPr="00EF3893" w:rsidRDefault="00C94F61" w:rsidP="00925DD5">
      <w:pPr>
        <w:pStyle w:val="Bulletlist2"/>
      </w:pPr>
      <w:r w:rsidRPr="00EF3893">
        <w:t xml:space="preserve">Optioneering Process </w:t>
      </w:r>
      <w:r>
        <w:t xml:space="preserve">– </w:t>
      </w:r>
      <w:r w:rsidRPr="00EF3893">
        <w:t>which explicitly addresses the consideration of ALARP, BAT</w:t>
      </w:r>
      <w:r w:rsidRPr="00EF3893">
        <w:rPr>
          <w:rStyle w:val="Emphasis"/>
        </w:rPr>
        <w:t xml:space="preserve"> </w:t>
      </w:r>
      <w:r w:rsidRPr="00EF3893">
        <w:t>and S</w:t>
      </w:r>
      <w:r>
        <w:t>bD.</w:t>
      </w:r>
    </w:p>
    <w:p w14:paraId="5581BE8E" w14:textId="77777777" w:rsidR="00C94F61" w:rsidRDefault="00C94F61" w:rsidP="00925DD5">
      <w:pPr>
        <w:pStyle w:val="Bulletlist2"/>
      </w:pPr>
      <w:r w:rsidRPr="00EF3893">
        <w:t>Design Governance</w:t>
      </w:r>
      <w:r>
        <w:t xml:space="preserve"> – which confirms the identification and consideration of relevant legislation, regulation, codes and standards.</w:t>
      </w:r>
    </w:p>
    <w:p w14:paraId="6D782EFE" w14:textId="70A6B807" w:rsidR="00C94F61" w:rsidRPr="003508BB" w:rsidRDefault="00C94F61">
      <w:pPr>
        <w:pStyle w:val="NumList1"/>
      </w:pPr>
      <w:r>
        <w:t xml:space="preserve">We are content that the RP has a documented, structured approach to design development built upon its previous experience and relevant good practices. The on-going implementation of these arrangements by the RP will be an important area of focus for ONR during </w:t>
      </w:r>
      <w:r w:rsidR="006C3244">
        <w:t>Step</w:t>
      </w:r>
      <w:r>
        <w:t xml:space="preserve"> 2. We expect the interactions between the design and E3S case as they each develop will be an important area of attention for ONR.</w:t>
      </w:r>
    </w:p>
    <w:p w14:paraId="36AFA535" w14:textId="7C9C6727" w:rsidR="00C94F61" w:rsidRPr="00153614" w:rsidRDefault="00C94F61" w:rsidP="00C558E5">
      <w:pPr>
        <w:pStyle w:val="Heading3"/>
      </w:pPr>
      <w:bookmarkStart w:id="122" w:name="_Toc129080993"/>
      <w:bookmarkStart w:id="123" w:name="_Toc129081800"/>
      <w:r w:rsidRPr="00153614">
        <w:t xml:space="preserve">E3S </w:t>
      </w:r>
      <w:r w:rsidR="00F51D00">
        <w:t>c</w:t>
      </w:r>
      <w:r w:rsidRPr="00153614">
        <w:t>ase</w:t>
      </w:r>
      <w:bookmarkEnd w:id="122"/>
      <w:bookmarkEnd w:id="123"/>
    </w:p>
    <w:p w14:paraId="0B61C17E" w14:textId="4F77D568" w:rsidR="00C94F61" w:rsidRDefault="00C94F61">
      <w:pPr>
        <w:pStyle w:val="NumList1"/>
      </w:pPr>
      <w:r>
        <w:t>As part of the submission</w:t>
      </w:r>
      <w:r w:rsidR="00854C51">
        <w:t>s</w:t>
      </w:r>
      <w:r>
        <w:t xml:space="preserve"> made to ONR during </w:t>
      </w:r>
      <w:r w:rsidR="006C3244">
        <w:t>Step</w:t>
      </w:r>
      <w:r>
        <w:t xml:space="preserve"> 1, the RP provided a Preliminary Safety Report (PSR) (ref. </w:t>
      </w:r>
      <w:sdt>
        <w:sdtPr>
          <w:id w:val="-555630880"/>
          <w:citation/>
        </w:sdtPr>
        <w:sdtEndPr/>
        <w:sdtContent>
          <w:r>
            <w:fldChar w:fldCharType="begin"/>
          </w:r>
          <w:r>
            <w:instrText xml:space="preserve"> CITATION PSR \l 2057 </w:instrText>
          </w:r>
          <w:r>
            <w:fldChar w:fldCharType="separate"/>
          </w:r>
          <w:r w:rsidR="00AB0D39" w:rsidRPr="00AB0D39">
            <w:t>[6]</w:t>
          </w:r>
          <w:r>
            <w:fldChar w:fldCharType="end"/>
          </w:r>
        </w:sdtContent>
      </w:sdt>
      <w:r>
        <w:t xml:space="preserve">) and Preliminary Security Report (PSyR) (ref. </w:t>
      </w:r>
      <w:sdt>
        <w:sdtPr>
          <w:id w:val="-718509321"/>
          <w:citation/>
        </w:sdtPr>
        <w:sdtEndPr/>
        <w:sdtContent>
          <w:r>
            <w:fldChar w:fldCharType="begin"/>
          </w:r>
          <w:r>
            <w:instrText xml:space="preserve"> CITATION PSyR \l 2057 </w:instrText>
          </w:r>
          <w:r>
            <w:fldChar w:fldCharType="separate"/>
          </w:r>
          <w:r w:rsidR="00AB0D39" w:rsidRPr="00AB0D39">
            <w:t>[28]</w:t>
          </w:r>
          <w:r>
            <w:fldChar w:fldCharType="end"/>
          </w:r>
        </w:sdtContent>
      </w:sdt>
      <w:r>
        <w:t xml:space="preserve">). </w:t>
      </w:r>
      <w:r w:rsidR="00E3666D">
        <w:t xml:space="preserve">There is no equivalent safeguards submission. </w:t>
      </w:r>
      <w:r w:rsidR="00483392">
        <w:t>T</w:t>
      </w:r>
      <w:r>
        <w:t xml:space="preserve">hese documents were produced prior to the start of GDA and hence use an earlier version of the design and associated documents, but were updated to better reflect the PCD engineering milestone before submission. These documents </w:t>
      </w:r>
      <w:r w:rsidR="006A3890">
        <w:t xml:space="preserve">are </w:t>
      </w:r>
      <w:r>
        <w:t xml:space="preserve">the highest level, Tier 1, overview of the safety and security cases. </w:t>
      </w:r>
    </w:p>
    <w:p w14:paraId="4048AD14" w14:textId="0CF8B99E" w:rsidR="00C94F61" w:rsidRPr="00855964" w:rsidRDefault="00C94F61">
      <w:pPr>
        <w:pStyle w:val="NumList1"/>
      </w:pPr>
      <w:r>
        <w:t>The E3S case summarised in the PSR and PSyR will evolve alongside the maturity of the design, such that future submissions will be developed in a staged approach.</w:t>
      </w:r>
      <w:r w:rsidRPr="00B952E4">
        <w:t xml:space="preserve"> </w:t>
      </w:r>
      <w:r>
        <w:t xml:space="preserve">The next revision is expected to support </w:t>
      </w:r>
      <w:r w:rsidR="006C3244">
        <w:t>Step</w:t>
      </w:r>
      <w:r>
        <w:t xml:space="preserve"> 2 of GDA and will be based upon the PCD design plus work done up to that point towards FCD.  </w:t>
      </w:r>
    </w:p>
    <w:p w14:paraId="3F24BBD8" w14:textId="3CF5A815" w:rsidR="00C94F61" w:rsidRDefault="00C94F61">
      <w:pPr>
        <w:pStyle w:val="NumList1"/>
      </w:pPr>
      <w:r>
        <w:t>Future revisions of the E3S case will evolve to include a generic Pre-Construction Safety Report (PCSR), derived from the PSR, a Generic Security Report (GSR), derived from the P</w:t>
      </w:r>
      <w:r w:rsidR="0051218C">
        <w:t>S</w:t>
      </w:r>
      <w:r>
        <w:t>yR, and safeguards related information.</w:t>
      </w:r>
    </w:p>
    <w:p w14:paraId="7638730E" w14:textId="77777777" w:rsidR="00925DD5" w:rsidRDefault="00925DD5">
      <w:pPr>
        <w:spacing w:after="0" w:line="240" w:lineRule="auto"/>
        <w:rPr>
          <w:rFonts w:asciiTheme="minorHAnsi" w:eastAsiaTheme="minorHAnsi" w:hAnsiTheme="minorHAnsi" w:cstheme="minorBidi"/>
          <w:noProof/>
          <w:lang w:bidi="ar-SA"/>
        </w:rPr>
      </w:pPr>
      <w:r>
        <w:br w:type="page"/>
      </w:r>
    </w:p>
    <w:p w14:paraId="7F4736AA" w14:textId="16091A08" w:rsidR="00C94F61" w:rsidRDefault="00C94F61">
      <w:pPr>
        <w:pStyle w:val="NumList1"/>
      </w:pPr>
      <w:r>
        <w:lastRenderedPageBreak/>
        <w:t xml:space="preserve">This approach is documented within the E3S case development strategy (ref. </w:t>
      </w:r>
      <w:sdt>
        <w:sdtPr>
          <w:id w:val="-460107193"/>
          <w:citation/>
        </w:sdtPr>
        <w:sdtEndPr/>
        <w:sdtContent>
          <w:r>
            <w:fldChar w:fldCharType="begin"/>
          </w:r>
          <w:r>
            <w:instrText xml:space="preserve"> CITATION E3SStrat \l 2057 </w:instrText>
          </w:r>
          <w:r>
            <w:fldChar w:fldCharType="separate"/>
          </w:r>
          <w:r w:rsidR="00AB0D39" w:rsidRPr="00AB0D39">
            <w:t>[29]</w:t>
          </w:r>
          <w:r>
            <w:fldChar w:fldCharType="end"/>
          </w:r>
        </w:sdtContent>
      </w:sdt>
      <w:r>
        <w:t xml:space="preserve">), which provides the high-level framework for development of the E3S case in terms of its overall structure and content and how it is integrated into the design development programme. Some features within the strategy are still to be fully detailed, such as the integration of safeguards. A similar </w:t>
      </w:r>
      <w:r w:rsidRPr="006A3C39">
        <w:t>GSR strategy</w:t>
      </w:r>
      <w:r>
        <w:t xml:space="preserve"> exists (ref.</w:t>
      </w:r>
      <w:sdt>
        <w:sdtPr>
          <w:id w:val="775523935"/>
          <w:citation/>
        </w:sdtPr>
        <w:sdtEndPr/>
        <w:sdtContent>
          <w:r>
            <w:fldChar w:fldCharType="begin"/>
          </w:r>
          <w:r>
            <w:instrText xml:space="preserve">CITATION GSRStrat \l 2057 </w:instrText>
          </w:r>
          <w:r>
            <w:fldChar w:fldCharType="separate"/>
          </w:r>
          <w:r w:rsidR="00AB0D39">
            <w:t xml:space="preserve"> </w:t>
          </w:r>
          <w:r w:rsidR="00AB0D39" w:rsidRPr="00AB0D39">
            <w:t>[30]</w:t>
          </w:r>
          <w:r>
            <w:fldChar w:fldCharType="end"/>
          </w:r>
        </w:sdtContent>
      </w:sdt>
      <w:r>
        <w:t xml:space="preserve">), which further expands upon the E3S strategy with reference to the security specific aspects. </w:t>
      </w:r>
    </w:p>
    <w:p w14:paraId="6A0918DB" w14:textId="373E049F" w:rsidR="00C94F61" w:rsidRDefault="00C94F61">
      <w:pPr>
        <w:pStyle w:val="NumList1"/>
      </w:pPr>
      <w:r>
        <w:t xml:space="preserve">The intent described in these strategies meets our expectations, and we judge it to be positive that the RP has developed detailed strategies at this early stage of the project and prior to the first versions of the PCSR and GSR. We will assess the implementation of these during </w:t>
      </w:r>
      <w:r w:rsidR="006C3244">
        <w:t>Step</w:t>
      </w:r>
      <w:r>
        <w:t xml:space="preserve"> 2.</w:t>
      </w:r>
    </w:p>
    <w:p w14:paraId="7A0B888F" w14:textId="0C72ADF2" w:rsidR="00C94F61" w:rsidRPr="00E47E70" w:rsidRDefault="00C94F61">
      <w:pPr>
        <w:pStyle w:val="NumList1"/>
      </w:pPr>
      <w:r>
        <w:t xml:space="preserve">We judge that this information is sufficient to meet requirement [1.18] from </w:t>
      </w:r>
      <w:r w:rsidR="002163EB">
        <w:t>Guidance to Requesting Parties</w:t>
      </w:r>
      <w:r>
        <w:t xml:space="preserve"> (ref. </w:t>
      </w:r>
      <w:sdt>
        <w:sdtPr>
          <w:id w:val="1214772307"/>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p>
    <w:p w14:paraId="2782D195" w14:textId="0D204A40" w:rsidR="00C94F61" w:rsidRPr="00153614" w:rsidRDefault="00C94F61" w:rsidP="00C558E5">
      <w:pPr>
        <w:pStyle w:val="Heading2"/>
      </w:pPr>
      <w:bookmarkStart w:id="124" w:name="_Toc129080994"/>
      <w:bookmarkStart w:id="125" w:name="_Toc129081801"/>
      <w:r w:rsidRPr="00153614">
        <w:t xml:space="preserve">Information </w:t>
      </w:r>
      <w:r w:rsidR="00F51D00">
        <w:t>s</w:t>
      </w:r>
      <w:r w:rsidR="00160651">
        <w:t>ubmitted</w:t>
      </w:r>
      <w:r w:rsidRPr="00153614">
        <w:t xml:space="preserve"> during </w:t>
      </w:r>
      <w:r w:rsidR="006C3244">
        <w:t>Step</w:t>
      </w:r>
      <w:r w:rsidRPr="00153614">
        <w:t xml:space="preserve"> 1</w:t>
      </w:r>
      <w:bookmarkEnd w:id="124"/>
      <w:bookmarkEnd w:id="125"/>
    </w:p>
    <w:p w14:paraId="60AF0FE0" w14:textId="4546E11F" w:rsidR="00C94F61" w:rsidRDefault="00C94F61">
      <w:pPr>
        <w:pStyle w:val="NumList1"/>
      </w:pPr>
      <w:r w:rsidRPr="00321709">
        <w:t xml:space="preserve">Guidance to </w:t>
      </w:r>
      <w:r>
        <w:t>r</w:t>
      </w:r>
      <w:r w:rsidRPr="00321709">
        <w:t xml:space="preserve">equesting </w:t>
      </w:r>
      <w:r>
        <w:t>p</w:t>
      </w:r>
      <w:r w:rsidRPr="00321709">
        <w:t>arties</w:t>
      </w:r>
      <w:r>
        <w:t xml:space="preserve"> (ref. </w:t>
      </w:r>
      <w:sdt>
        <w:sdtPr>
          <w:id w:val="1528990798"/>
          <w:citation/>
        </w:sdtPr>
        <w:sdtEndPr/>
        <w:sdtContent>
          <w:r>
            <w:fldChar w:fldCharType="begin"/>
          </w:r>
          <w:r>
            <w:instrText xml:space="preserve"> CITATION GtoRPs \l 2057 </w:instrText>
          </w:r>
          <w:r>
            <w:fldChar w:fldCharType="separate"/>
          </w:r>
          <w:r w:rsidR="00AB0D39" w:rsidRPr="00AB0D39">
            <w:t>[1]</w:t>
          </w:r>
          <w:r>
            <w:fldChar w:fldCharType="end"/>
          </w:r>
        </w:sdtContent>
      </w:sdt>
      <w:r>
        <w:t>) contains several requirements for the RP to submit information to ONR. This information is essential to enable us to gain familiarity with the RP’s design and safety, security and safeguards case</w:t>
      </w:r>
      <w:r w:rsidR="00C904F2">
        <w:t>s</w:t>
      </w:r>
      <w:r>
        <w:t xml:space="preserve"> and approach, and for the RP to demonstrate an understanding of the regulatory expectations for GDA. </w:t>
      </w:r>
    </w:p>
    <w:p w14:paraId="370100E8" w14:textId="3336BD19" w:rsidR="00C94F61" w:rsidRPr="00321709" w:rsidRDefault="00C94F61">
      <w:pPr>
        <w:pStyle w:val="NumList1"/>
      </w:pPr>
      <w:r>
        <w:t xml:space="preserve">This section summarises the information that has been submitted during </w:t>
      </w:r>
      <w:r w:rsidR="006C3244">
        <w:t>Step</w:t>
      </w:r>
      <w:r>
        <w:t xml:space="preserve"> 1 against each of those specific requirements. Note that the intention for such submissions was to inform subsequent assessments in </w:t>
      </w:r>
      <w:r w:rsidR="006C3244">
        <w:t>Step</w:t>
      </w:r>
      <w:r>
        <w:t xml:space="preserve"> 2 and to build confidence in the RP’s ability to meet regulatory expectations. </w:t>
      </w:r>
      <w:r w:rsidRPr="00E40F71">
        <w:t xml:space="preserve">Therefore, </w:t>
      </w:r>
      <w:r w:rsidR="00671312">
        <w:t>although</w:t>
      </w:r>
      <w:r w:rsidRPr="00E40F71">
        <w:t xml:space="preserve"> the technical content of these submissions has been reviewed to gain a view on maturity, relevance and consistency with our expectations, no regulatory assessment has been made on their application </w:t>
      </w:r>
      <w:r w:rsidR="00005EDA">
        <w:t>to</w:t>
      </w:r>
      <w:r w:rsidR="00005EDA" w:rsidRPr="00E40F71">
        <w:t xml:space="preserve"> </w:t>
      </w:r>
      <w:r w:rsidRPr="00E40F71">
        <w:t>the R</w:t>
      </w:r>
      <w:r w:rsidR="00005EDA">
        <w:t>olls-</w:t>
      </w:r>
      <w:r w:rsidRPr="00E40F71">
        <w:t>R</w:t>
      </w:r>
      <w:r w:rsidR="00005EDA">
        <w:t>oyce</w:t>
      </w:r>
      <w:r w:rsidRPr="00E40F71">
        <w:t xml:space="preserve"> SMR design and E3S case</w:t>
      </w:r>
      <w:r>
        <w:t>.</w:t>
      </w:r>
    </w:p>
    <w:p w14:paraId="3C8C99C6" w14:textId="52F1FDC1" w:rsidR="00C94F61" w:rsidRPr="00153614" w:rsidRDefault="00C94F61" w:rsidP="00C558E5">
      <w:pPr>
        <w:pStyle w:val="Heading3"/>
      </w:pPr>
      <w:bookmarkStart w:id="126" w:name="_Toc129080995"/>
      <w:bookmarkStart w:id="127" w:name="_Toc129081802"/>
      <w:r w:rsidRPr="00153614">
        <w:t xml:space="preserve">Design </w:t>
      </w:r>
      <w:r w:rsidR="00F51D00">
        <w:t>f</w:t>
      </w:r>
      <w:r w:rsidRPr="00153614">
        <w:t>amiliarisation</w:t>
      </w:r>
      <w:bookmarkEnd w:id="126"/>
      <w:bookmarkEnd w:id="127"/>
    </w:p>
    <w:p w14:paraId="78F4246E" w14:textId="05489A94" w:rsidR="00C94F61" w:rsidRDefault="00C94F61">
      <w:pPr>
        <w:pStyle w:val="NumList1"/>
      </w:pPr>
      <w:r w:rsidRPr="00E47E70">
        <w:t xml:space="preserve">During </w:t>
      </w:r>
      <w:r w:rsidR="006C3244">
        <w:t>Step</w:t>
      </w:r>
      <w:r w:rsidRPr="00E47E70">
        <w:t xml:space="preserve"> 1 ONR has undertaken several design familiarisation activities to prepare for</w:t>
      </w:r>
      <w:r>
        <w:t xml:space="preserve"> and aid the planning of </w:t>
      </w:r>
      <w:r w:rsidRPr="00E47E70">
        <w:t>the technical assessment</w:t>
      </w:r>
      <w:r>
        <w:t>s</w:t>
      </w:r>
      <w:r w:rsidRPr="00E47E70">
        <w:t xml:space="preserve"> in </w:t>
      </w:r>
      <w:r w:rsidR="006C3244">
        <w:t>Step</w:t>
      </w:r>
      <w:r w:rsidRPr="00E47E70">
        <w:t xml:space="preserve"> 2. </w:t>
      </w:r>
    </w:p>
    <w:p w14:paraId="4926988E" w14:textId="42714D2B" w:rsidR="00C94F61" w:rsidRDefault="00C94F61">
      <w:pPr>
        <w:pStyle w:val="NumList1"/>
      </w:pPr>
      <w:r w:rsidRPr="00E47E70">
        <w:t xml:space="preserve">To facilitate </w:t>
      </w:r>
      <w:r>
        <w:t>this</w:t>
      </w:r>
      <w:r w:rsidRPr="00E47E70">
        <w:t xml:space="preserve"> the RP submitted a design overview report</w:t>
      </w:r>
      <w:r>
        <w:t xml:space="preserve"> (ref. </w:t>
      </w:r>
      <w:sdt>
        <w:sdtPr>
          <w:id w:val="-214275591"/>
          <w:citation/>
        </w:sdtPr>
        <w:sdtEndPr/>
        <w:sdtContent>
          <w:r>
            <w:fldChar w:fldCharType="begin"/>
          </w:r>
          <w:r>
            <w:instrText xml:space="preserve"> CITATION DesOverview \l 2057 </w:instrText>
          </w:r>
          <w:r>
            <w:fldChar w:fldCharType="separate"/>
          </w:r>
          <w:r w:rsidR="00AB0D39" w:rsidRPr="00AB0D39">
            <w:t>[31]</w:t>
          </w:r>
          <w:r>
            <w:fldChar w:fldCharType="end"/>
          </w:r>
        </w:sdtContent>
      </w:sdt>
      <w:r>
        <w:t xml:space="preserve">), the PSR (ref. </w:t>
      </w:r>
      <w:sdt>
        <w:sdtPr>
          <w:id w:val="-381088638"/>
          <w:citation/>
        </w:sdtPr>
        <w:sdtEndPr/>
        <w:sdtContent>
          <w:r>
            <w:fldChar w:fldCharType="begin"/>
          </w:r>
          <w:r>
            <w:instrText xml:space="preserve"> CITATION PSR \l 2057 </w:instrText>
          </w:r>
          <w:r>
            <w:fldChar w:fldCharType="separate"/>
          </w:r>
          <w:r w:rsidR="00AB0D39" w:rsidRPr="00AB0D39">
            <w:t>[6]</w:t>
          </w:r>
          <w:r>
            <w:fldChar w:fldCharType="end"/>
          </w:r>
        </w:sdtContent>
      </w:sdt>
      <w:r>
        <w:t xml:space="preserve">) and the PSyR (ref. </w:t>
      </w:r>
      <w:sdt>
        <w:sdtPr>
          <w:id w:val="-57252600"/>
          <w:citation/>
        </w:sdtPr>
        <w:sdtEndPr/>
        <w:sdtContent>
          <w:r>
            <w:fldChar w:fldCharType="begin"/>
          </w:r>
          <w:r>
            <w:instrText xml:space="preserve"> CITATION PSyR \l 2057 </w:instrText>
          </w:r>
          <w:r>
            <w:fldChar w:fldCharType="separate"/>
          </w:r>
          <w:r w:rsidR="00AB0D39" w:rsidRPr="00AB0D39">
            <w:t>[28]</w:t>
          </w:r>
          <w:r>
            <w:fldChar w:fldCharType="end"/>
          </w:r>
        </w:sdtContent>
      </w:sdt>
      <w:r>
        <w:t xml:space="preserve">) and held a number of meetings to brief the regulators on the generic design. Collectively these increased ONR’s understanding of the design and provided useful information regarding the design, functions, justifications, and approaches likely to be adopted in future E3S submissions. They formed the basis of the initial technical discussions between ONR and the RP during </w:t>
      </w:r>
      <w:r w:rsidR="006C3244">
        <w:t>Step</w:t>
      </w:r>
      <w:r>
        <w:t xml:space="preserve"> 1, towards agreement of the GDA scope and production of ONR’s assessment plans for </w:t>
      </w:r>
      <w:r w:rsidR="006C3244">
        <w:t>Step</w:t>
      </w:r>
      <w:r>
        <w:t xml:space="preserve"> 2. </w:t>
      </w:r>
    </w:p>
    <w:p w14:paraId="68B75E85" w14:textId="036A149B" w:rsidR="00C94F61" w:rsidRPr="00E47E70" w:rsidRDefault="00C94F61">
      <w:pPr>
        <w:pStyle w:val="NumList1"/>
      </w:pPr>
      <w:r>
        <w:t xml:space="preserve">We judge that this information is sufficient to meet requirement [1.8] from </w:t>
      </w:r>
      <w:r w:rsidR="002163EB">
        <w:t>Guidance to Requesting Parties</w:t>
      </w:r>
      <w:r>
        <w:t xml:space="preserve"> (ref. </w:t>
      </w:r>
      <w:sdt>
        <w:sdtPr>
          <w:id w:val="302739005"/>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p>
    <w:p w14:paraId="5DB1F379" w14:textId="31C21B83" w:rsidR="00C94F61" w:rsidRPr="00153614" w:rsidRDefault="00C94F61" w:rsidP="00C558E5">
      <w:pPr>
        <w:pStyle w:val="Heading3"/>
      </w:pPr>
      <w:bookmarkStart w:id="128" w:name="_Toc129080996"/>
      <w:bookmarkStart w:id="129" w:name="_Toc129081803"/>
      <w:r w:rsidRPr="00153614">
        <w:lastRenderedPageBreak/>
        <w:t xml:space="preserve">Fundamental </w:t>
      </w:r>
      <w:r w:rsidR="00F51D00">
        <w:t>d</w:t>
      </w:r>
      <w:r w:rsidRPr="00153614">
        <w:t xml:space="preserve">esign </w:t>
      </w:r>
      <w:r w:rsidR="00F51D00">
        <w:t>p</w:t>
      </w:r>
      <w:r w:rsidRPr="00153614">
        <w:t>hilosophy</w:t>
      </w:r>
      <w:bookmarkEnd w:id="128"/>
      <w:bookmarkEnd w:id="129"/>
    </w:p>
    <w:p w14:paraId="0ED65D06" w14:textId="042DBC39" w:rsidR="00C94F61" w:rsidRDefault="00C94F61">
      <w:pPr>
        <w:pStyle w:val="NumList1"/>
      </w:pPr>
      <w:r>
        <w:t xml:space="preserve">To aid in the </w:t>
      </w:r>
      <w:r w:rsidR="006C3244">
        <w:t>Step</w:t>
      </w:r>
      <w:r>
        <w:t xml:space="preserve"> 1 activities, ONR requested information on the design philosophy employed for the generic Rolls-Royce SMR, such that we could understand the main design features, main safety and security claims including identification of hazards, control measures and protection systems. Collectively the design overview report (ref. </w:t>
      </w:r>
      <w:sdt>
        <w:sdtPr>
          <w:id w:val="1184934905"/>
          <w:citation/>
        </w:sdtPr>
        <w:sdtEndPr/>
        <w:sdtContent>
          <w:r>
            <w:fldChar w:fldCharType="begin"/>
          </w:r>
          <w:r>
            <w:instrText xml:space="preserve"> CITATION DesOverview \l 2057 </w:instrText>
          </w:r>
          <w:r>
            <w:fldChar w:fldCharType="separate"/>
          </w:r>
          <w:r w:rsidR="00AB0D39" w:rsidRPr="00AB0D39">
            <w:t>[31]</w:t>
          </w:r>
          <w:r>
            <w:fldChar w:fldCharType="end"/>
          </w:r>
        </w:sdtContent>
      </w:sdt>
      <w:r>
        <w:t xml:space="preserve">), PSR (ref. </w:t>
      </w:r>
      <w:sdt>
        <w:sdtPr>
          <w:id w:val="1028301619"/>
          <w:citation/>
        </w:sdtPr>
        <w:sdtEndPr/>
        <w:sdtContent>
          <w:r>
            <w:fldChar w:fldCharType="begin"/>
          </w:r>
          <w:r>
            <w:instrText xml:space="preserve"> CITATION PSR \l 2057 </w:instrText>
          </w:r>
          <w:r>
            <w:fldChar w:fldCharType="separate"/>
          </w:r>
          <w:r w:rsidR="00AB0D39" w:rsidRPr="00AB0D39">
            <w:t>[6]</w:t>
          </w:r>
          <w:r>
            <w:fldChar w:fldCharType="end"/>
          </w:r>
        </w:sdtContent>
      </w:sdt>
      <w:r>
        <w:t xml:space="preserve">) and PSyR (ref. </w:t>
      </w:r>
      <w:sdt>
        <w:sdtPr>
          <w:id w:val="-1963105070"/>
          <w:citation/>
        </w:sdtPr>
        <w:sdtEndPr/>
        <w:sdtContent>
          <w:r>
            <w:fldChar w:fldCharType="begin"/>
          </w:r>
          <w:r>
            <w:instrText xml:space="preserve"> CITATION PSyR \l 2057 </w:instrText>
          </w:r>
          <w:r>
            <w:fldChar w:fldCharType="separate"/>
          </w:r>
          <w:r w:rsidR="00AB0D39" w:rsidRPr="00AB0D39">
            <w:t>[28]</w:t>
          </w:r>
          <w:r>
            <w:fldChar w:fldCharType="end"/>
          </w:r>
        </w:sdtContent>
      </w:sdt>
      <w:r>
        <w:t xml:space="preserve">) provide this information. We recognise that both the design and E3S case are maturing, but these were sufficient to develop ONR’s understanding during </w:t>
      </w:r>
      <w:r w:rsidR="006C3244">
        <w:t>Step</w:t>
      </w:r>
      <w:r>
        <w:t xml:space="preserve"> 1.</w:t>
      </w:r>
    </w:p>
    <w:p w14:paraId="50BB7084" w14:textId="776043F2" w:rsidR="00C94F61" w:rsidRPr="00570DB6" w:rsidRDefault="00C94F61">
      <w:pPr>
        <w:pStyle w:val="NumList1"/>
      </w:pPr>
      <w:r w:rsidRPr="003A2E4D">
        <w:t>We judge that this information is sufficient to meet requirement [1.</w:t>
      </w:r>
      <w:r>
        <w:t>10</w:t>
      </w:r>
      <w:r w:rsidRPr="003A2E4D">
        <w:t xml:space="preserve">] </w:t>
      </w:r>
      <w:r>
        <w:t xml:space="preserve">from </w:t>
      </w:r>
      <w:r w:rsidR="002163EB">
        <w:t>Guidance to Requesting Parties</w:t>
      </w:r>
      <w:r>
        <w:t xml:space="preserve"> (ref. </w:t>
      </w:r>
      <w:sdt>
        <w:sdtPr>
          <w:id w:val="-1717581722"/>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p>
    <w:p w14:paraId="41D860C7" w14:textId="77777777" w:rsidR="00C94F61" w:rsidRPr="00153614" w:rsidRDefault="00C94F61" w:rsidP="00C558E5">
      <w:pPr>
        <w:pStyle w:val="Heading3"/>
      </w:pPr>
      <w:bookmarkStart w:id="130" w:name="_Toc129080997"/>
      <w:bookmarkStart w:id="131" w:name="_Toc129081804"/>
      <w:r w:rsidRPr="00153614">
        <w:t>Demonstration of ALARP</w:t>
      </w:r>
      <w:bookmarkEnd w:id="130"/>
      <w:bookmarkEnd w:id="131"/>
    </w:p>
    <w:p w14:paraId="2505908E" w14:textId="38AFC2E8" w:rsidR="00C94F61" w:rsidRDefault="00C94F61">
      <w:pPr>
        <w:pStyle w:val="NumList1"/>
      </w:pPr>
      <w:r>
        <w:t xml:space="preserve">The PSR (ref. </w:t>
      </w:r>
      <w:sdt>
        <w:sdtPr>
          <w:id w:val="13973644"/>
          <w:citation/>
        </w:sdtPr>
        <w:sdtEndPr/>
        <w:sdtContent>
          <w:r>
            <w:fldChar w:fldCharType="begin"/>
          </w:r>
          <w:r>
            <w:instrText xml:space="preserve"> CITATION PSR \l 2057 </w:instrText>
          </w:r>
          <w:r>
            <w:fldChar w:fldCharType="separate"/>
          </w:r>
          <w:r w:rsidR="00AB0D39" w:rsidRPr="00AB0D39">
            <w:t>[6]</w:t>
          </w:r>
          <w:r>
            <w:fldChar w:fldCharType="end"/>
          </w:r>
        </w:sdtContent>
      </w:sdt>
      <w:r>
        <w:t xml:space="preserve">) provides an overview of the approach being adopted by Rolls-Royce SMR Limited to demonstrate that risks are ALARP (as well as BAT and SbD). In summary, the RP claims that the design is being developed with optioneering and supporting analysis, starting from compliance with Relevant Good Practice (RGP), sound engineering, and then justifying whether anything further could reasonably be done to reduce risks. This is aligned to the design decision process defined in the EMP (ref. </w:t>
      </w:r>
      <w:sdt>
        <w:sdtPr>
          <w:id w:val="-1113823348"/>
          <w:citation/>
        </w:sdtPr>
        <w:sdtEndPr/>
        <w:sdtContent>
          <w:r>
            <w:fldChar w:fldCharType="begin"/>
          </w:r>
          <w:r>
            <w:instrText xml:space="preserve"> CITATION EMP \l 2057 </w:instrText>
          </w:r>
          <w:r>
            <w:fldChar w:fldCharType="separate"/>
          </w:r>
          <w:r w:rsidR="00AB0D39" w:rsidRPr="00AB0D39">
            <w:t>[24]</w:t>
          </w:r>
          <w:r>
            <w:fldChar w:fldCharType="end"/>
          </w:r>
        </w:sdtContent>
      </w:sdt>
      <w:r>
        <w:t>), which requires all design decisions to be traceable.</w:t>
      </w:r>
      <w:r w:rsidRPr="00DA37D3">
        <w:t xml:space="preserve"> </w:t>
      </w:r>
      <w:r>
        <w:t xml:space="preserve">This includes details of the alternative options that were considered, the decision-making method used, the evaluations, the criteria considered, and the approver. A graded approach is inherent in this process, dependant on the significance. </w:t>
      </w:r>
    </w:p>
    <w:p w14:paraId="61875E64" w14:textId="43CD1A34" w:rsidR="00C94F61" w:rsidRDefault="00C94F61">
      <w:pPr>
        <w:pStyle w:val="NumList1"/>
      </w:pPr>
      <w:r w:rsidRPr="00FB6E07">
        <w:t xml:space="preserve">Design decision making is covered by process C3.2.2-2 </w:t>
      </w:r>
      <w:r>
        <w:t>c</w:t>
      </w:r>
      <w:r w:rsidRPr="00FB6E07">
        <w:t>onduct design optioneering</w:t>
      </w:r>
      <w:r>
        <w:t xml:space="preserve"> (ref. </w:t>
      </w:r>
      <w:sdt>
        <w:sdtPr>
          <w:id w:val="-583994493"/>
          <w:citation/>
        </w:sdtPr>
        <w:sdtEndPr/>
        <w:sdtContent>
          <w:r>
            <w:fldChar w:fldCharType="begin"/>
          </w:r>
          <w:r>
            <w:instrText xml:space="preserve"> CITATION C3222DesOpt \l 2057 </w:instrText>
          </w:r>
          <w:r>
            <w:fldChar w:fldCharType="separate"/>
          </w:r>
          <w:r w:rsidR="00AB0D39" w:rsidRPr="00AB0D39">
            <w:t>[32]</w:t>
          </w:r>
          <w:r>
            <w:fldChar w:fldCharType="end"/>
          </w:r>
        </w:sdtContent>
      </w:sdt>
      <w:r>
        <w:t xml:space="preserve">), which is part of the IMS. The output is recorded in a decision record template (ref. </w:t>
      </w:r>
      <w:sdt>
        <w:sdtPr>
          <w:id w:val="-2138399424"/>
          <w:citation/>
        </w:sdtPr>
        <w:sdtEndPr/>
        <w:sdtContent>
          <w:r>
            <w:fldChar w:fldCharType="begin"/>
          </w:r>
          <w:r>
            <w:instrText xml:space="preserve"> CITATION TSDD02DecRecord \l 2057 </w:instrText>
          </w:r>
          <w:r>
            <w:fldChar w:fldCharType="separate"/>
          </w:r>
          <w:r w:rsidR="00AB0D39" w:rsidRPr="00AB0D39">
            <w:t>[33]</w:t>
          </w:r>
          <w:r>
            <w:fldChar w:fldCharType="end"/>
          </w:r>
        </w:sdtContent>
      </w:sdt>
      <w:r>
        <w:t>) and recorded within the RP’s DOORS system.</w:t>
      </w:r>
    </w:p>
    <w:p w14:paraId="213D151F" w14:textId="08E010D0" w:rsidR="00C94F61" w:rsidRDefault="00C94F61">
      <w:pPr>
        <w:pStyle w:val="NumList1"/>
      </w:pPr>
      <w:r>
        <w:t>In principle we are content that this approach is aligned with ONR’s expectations</w:t>
      </w:r>
      <w:r w:rsidRPr="000D3A82">
        <w:t xml:space="preserve"> </w:t>
      </w:r>
      <w:r>
        <w:t xml:space="preserve">for an overall demonstration that the level of risk is ALARP. The consideration of ALARP as an integral part of the RP’s decision-making arrangements is advantageous. </w:t>
      </w:r>
      <w:r w:rsidRPr="00A32E84">
        <w:t xml:space="preserve">These processes demonstrate a commitment to a logical and auditable optioneering process in support of a demonstration </w:t>
      </w:r>
      <w:r w:rsidR="004A6D8A">
        <w:t>that risks are</w:t>
      </w:r>
      <w:r w:rsidR="004B1049">
        <w:t xml:space="preserve"> </w:t>
      </w:r>
      <w:r w:rsidRPr="00A32E84">
        <w:t>ALARP</w:t>
      </w:r>
      <w:r>
        <w:t>. The application of these arrangements, and whether the decisions do indeed lead to risks that are ALARP</w:t>
      </w:r>
      <w:r w:rsidR="00181CE9">
        <w:t>,</w:t>
      </w:r>
      <w:r>
        <w:t xml:space="preserve"> will be integral to ONR’s assessments for the remainder of </w:t>
      </w:r>
      <w:r w:rsidR="00CC4AFD">
        <w:t xml:space="preserve">the </w:t>
      </w:r>
      <w:r>
        <w:t>GDA.</w:t>
      </w:r>
    </w:p>
    <w:p w14:paraId="3F60043A" w14:textId="02AD5CC8" w:rsidR="00C94F61" w:rsidRPr="003A2E4D" w:rsidRDefault="00C94F61">
      <w:pPr>
        <w:pStyle w:val="NumList1"/>
      </w:pPr>
      <w:r w:rsidRPr="003A2E4D">
        <w:t>We judge that this information is sufficient to meet requirement [1.</w:t>
      </w:r>
      <w:r>
        <w:t>11</w:t>
      </w:r>
      <w:r w:rsidRPr="003A2E4D">
        <w:t xml:space="preserve">] </w:t>
      </w:r>
      <w:r>
        <w:t xml:space="preserve">from </w:t>
      </w:r>
      <w:r w:rsidR="002163EB">
        <w:t>Guidance to Requesting Parties</w:t>
      </w:r>
      <w:r>
        <w:t xml:space="preserve"> (ref. </w:t>
      </w:r>
      <w:sdt>
        <w:sdtPr>
          <w:id w:val="-1866512296"/>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r w:rsidRPr="003A2E4D">
        <w:t>.</w:t>
      </w:r>
    </w:p>
    <w:p w14:paraId="765B8D0B" w14:textId="77777777" w:rsidR="00925DD5" w:rsidRDefault="00925DD5">
      <w:pPr>
        <w:spacing w:after="0" w:line="240" w:lineRule="auto"/>
        <w:rPr>
          <w:color w:val="000000" w:themeColor="text1"/>
          <w:sz w:val="28"/>
          <w:szCs w:val="18"/>
        </w:rPr>
      </w:pPr>
      <w:bookmarkStart w:id="132" w:name="_Toc129080998"/>
      <w:bookmarkStart w:id="133" w:name="_Toc129081805"/>
      <w:r>
        <w:br w:type="page"/>
      </w:r>
    </w:p>
    <w:p w14:paraId="618F073A" w14:textId="6EA2CB3B" w:rsidR="00C94F61" w:rsidRPr="00153614" w:rsidRDefault="00C94F61" w:rsidP="00C558E5">
      <w:pPr>
        <w:pStyle w:val="Heading3"/>
      </w:pPr>
      <w:r w:rsidRPr="00153614">
        <w:lastRenderedPageBreak/>
        <w:t>Compliance with NISR</w:t>
      </w:r>
      <w:bookmarkEnd w:id="132"/>
      <w:bookmarkEnd w:id="133"/>
    </w:p>
    <w:p w14:paraId="471513F6" w14:textId="342A8607" w:rsidR="00C94F61" w:rsidRDefault="00C94F61">
      <w:pPr>
        <w:pStyle w:val="NumList1"/>
      </w:pPr>
      <w:r>
        <w:t xml:space="preserve">The </w:t>
      </w:r>
      <w:r w:rsidR="008F66CF">
        <w:t>Nuclear Industry Security Regulations (</w:t>
      </w:r>
      <w:r>
        <w:t>NISR</w:t>
      </w:r>
      <w:r w:rsidR="008F66CF">
        <w:t>)</w:t>
      </w:r>
      <w:r>
        <w:t xml:space="preserve"> 2003 (as amended) (ref. </w:t>
      </w:r>
      <w:sdt>
        <w:sdtPr>
          <w:id w:val="1874108519"/>
          <w:citation/>
        </w:sdtPr>
        <w:sdtEndPr/>
        <w:sdtContent>
          <w:r>
            <w:fldChar w:fldCharType="begin"/>
          </w:r>
          <w:r>
            <w:instrText xml:space="preserve"> CITATION NISR2003 \l 2057 </w:instrText>
          </w:r>
          <w:r>
            <w:fldChar w:fldCharType="separate"/>
          </w:r>
          <w:r w:rsidR="00AB0D39" w:rsidRPr="00AB0D39">
            <w:t>[34]</w:t>
          </w:r>
          <w:r>
            <w:fldChar w:fldCharType="end"/>
          </w:r>
        </w:sdtContent>
      </w:sdt>
      <w:r>
        <w:t>) place</w:t>
      </w:r>
      <w:r w:rsidR="00CC4AFD">
        <w:t>s</w:t>
      </w:r>
      <w:r>
        <w:t xml:space="preserve"> requirements on dutyholders regarding physical security measures for facilities, </w:t>
      </w:r>
      <w:r w:rsidR="003E64D7">
        <w:t xml:space="preserve">cyber security, </w:t>
      </w:r>
      <w:r>
        <w:t>nuclear material and the security of Sensitive Nuclear Information (SNI). During GDA</w:t>
      </w:r>
      <w:r w:rsidR="00181CE9">
        <w:t>,</w:t>
      </w:r>
      <w:r>
        <w:t xml:space="preserve"> the expectation is for the RP to demonstrate that its generic design can meet such requirements</w:t>
      </w:r>
      <w:r w:rsidR="003739E7">
        <w:t xml:space="preserve">, </w:t>
      </w:r>
      <w:r w:rsidR="00D973D0">
        <w:t>focused on</w:t>
      </w:r>
      <w:r w:rsidR="003739E7">
        <w:t xml:space="preserve"> how the </w:t>
      </w:r>
      <w:r w:rsidR="00E932AB">
        <w:t xml:space="preserve">generic security information </w:t>
      </w:r>
      <w:r w:rsidR="00F319EB">
        <w:t>developed during</w:t>
      </w:r>
      <w:r w:rsidR="00E932AB">
        <w:t xml:space="preserve"> GDA </w:t>
      </w:r>
      <w:r w:rsidR="00394010">
        <w:t>could</w:t>
      </w:r>
      <w:r w:rsidR="00E932AB">
        <w:t xml:space="preserve"> be used to inform a site specific security plan</w:t>
      </w:r>
      <w:r>
        <w:t xml:space="preserve">. This matter is explicitly noted within the PSyR (ref. </w:t>
      </w:r>
      <w:sdt>
        <w:sdtPr>
          <w:id w:val="-747801421"/>
          <w:citation/>
        </w:sdtPr>
        <w:sdtEndPr/>
        <w:sdtContent>
          <w:r>
            <w:fldChar w:fldCharType="begin"/>
          </w:r>
          <w:r>
            <w:instrText xml:space="preserve"> CITATION PSyR \l 2057 </w:instrText>
          </w:r>
          <w:r>
            <w:fldChar w:fldCharType="separate"/>
          </w:r>
          <w:r w:rsidR="00AB0D39" w:rsidRPr="00AB0D39">
            <w:t>[28]</w:t>
          </w:r>
          <w:r>
            <w:fldChar w:fldCharType="end"/>
          </w:r>
        </w:sdtContent>
      </w:sdt>
      <w:r>
        <w:t>), and it is the RP</w:t>
      </w:r>
      <w:r w:rsidR="00AE0113">
        <w:t>’</w:t>
      </w:r>
      <w:r>
        <w:t>s stated intention to address relevant matters during GDA.</w:t>
      </w:r>
    </w:p>
    <w:p w14:paraId="0EABA0AF" w14:textId="6B6A57B6" w:rsidR="00C94F61" w:rsidRDefault="00C94F61">
      <w:pPr>
        <w:pStyle w:val="NumList1"/>
      </w:pPr>
      <w:r w:rsidRPr="003A2E4D">
        <w:t>We judge that this information is sufficient to meet requirement [1.</w:t>
      </w:r>
      <w:r>
        <w:t>12</w:t>
      </w:r>
      <w:r w:rsidRPr="003A2E4D">
        <w:t xml:space="preserve">] </w:t>
      </w:r>
      <w:r>
        <w:t>from</w:t>
      </w:r>
      <w:r w:rsidRPr="003A2E4D">
        <w:t xml:space="preserve"> </w:t>
      </w:r>
      <w:r w:rsidR="002163EB">
        <w:t>Guidance to Requesting Parties</w:t>
      </w:r>
      <w:r>
        <w:t xml:space="preserve"> (ref. </w:t>
      </w:r>
      <w:sdt>
        <w:sdtPr>
          <w:id w:val="1500690678"/>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p>
    <w:p w14:paraId="694004A8" w14:textId="4F000A12" w:rsidR="00C94F61" w:rsidRPr="00153614" w:rsidRDefault="00C94F61" w:rsidP="00C558E5">
      <w:pPr>
        <w:pStyle w:val="Heading3"/>
      </w:pPr>
      <w:bookmarkStart w:id="134" w:name="_Toc129080999"/>
      <w:bookmarkStart w:id="135" w:name="_Toc129081806"/>
      <w:r w:rsidRPr="00153614">
        <w:t xml:space="preserve">Regulatory </w:t>
      </w:r>
      <w:r w:rsidR="00F51D00">
        <w:t>f</w:t>
      </w:r>
      <w:r w:rsidRPr="00153614">
        <w:t xml:space="preserve">ramework and </w:t>
      </w:r>
      <w:r w:rsidR="00F51D00">
        <w:t>p</w:t>
      </w:r>
      <w:r w:rsidRPr="00153614">
        <w:t>rinciples</w:t>
      </w:r>
      <w:bookmarkEnd w:id="134"/>
      <w:bookmarkEnd w:id="135"/>
    </w:p>
    <w:p w14:paraId="57FF8BE1" w14:textId="1306BE23" w:rsidR="00C94F61" w:rsidRDefault="00C94F61">
      <w:pPr>
        <w:pStyle w:val="NumList1"/>
      </w:pPr>
      <w:r>
        <w:t xml:space="preserve">The PSR (ref. </w:t>
      </w:r>
      <w:sdt>
        <w:sdtPr>
          <w:id w:val="33084848"/>
          <w:citation/>
        </w:sdtPr>
        <w:sdtEndPr/>
        <w:sdtContent>
          <w:r>
            <w:fldChar w:fldCharType="begin"/>
          </w:r>
          <w:r>
            <w:instrText xml:space="preserve"> CITATION PSR \l 2057 </w:instrText>
          </w:r>
          <w:r>
            <w:fldChar w:fldCharType="separate"/>
          </w:r>
          <w:r w:rsidR="00AB0D39" w:rsidRPr="00AB0D39">
            <w:t>[6]</w:t>
          </w:r>
          <w:r>
            <w:fldChar w:fldCharType="end"/>
          </w:r>
        </w:sdtContent>
      </w:sdt>
      <w:r>
        <w:t>) summarises the nuclear safety case for the generic design. It describes the design philosophy, the safety principles and how they are/will be applied, a summary of the design, the claims made, and assessment undertaken to date by the RP. It therefore touches on many areas of the regulatory framework and principles including how these have been considered. This includes matters such as defence in depth, numerical targets, hierarchy of controls, common cause failure, segregation, redundancy and diversity, amongst others. Ultimately</w:t>
      </w:r>
      <w:r w:rsidR="00181CE9">
        <w:t>,</w:t>
      </w:r>
      <w:r>
        <w:t xml:space="preserve"> it is how these have been included and delivered by the design and E3S case that will be examined during </w:t>
      </w:r>
      <w:r w:rsidR="003C4B3E">
        <w:t xml:space="preserve">the </w:t>
      </w:r>
      <w:r>
        <w:t>GDA.</w:t>
      </w:r>
    </w:p>
    <w:p w14:paraId="01A61155" w14:textId="6C8FF61F" w:rsidR="00C94F61" w:rsidRDefault="00C94F61">
      <w:pPr>
        <w:pStyle w:val="NumList1"/>
      </w:pPr>
      <w:r>
        <w:t xml:space="preserve">We are </w:t>
      </w:r>
      <w:r w:rsidRPr="00183D09">
        <w:t>content that the PSR provides an adequate overview of the main design features and safety claims</w:t>
      </w:r>
      <w:r>
        <w:t xml:space="preserve"> for </w:t>
      </w:r>
      <w:r w:rsidR="006C3244">
        <w:t>Step</w:t>
      </w:r>
      <w:r>
        <w:t xml:space="preserve"> 1</w:t>
      </w:r>
      <w:r w:rsidRPr="00183D09">
        <w:t xml:space="preserve">, </w:t>
      </w:r>
      <w:r>
        <w:t xml:space="preserve">consistent with the </w:t>
      </w:r>
      <w:r w:rsidRPr="00183D09">
        <w:t>time it was produced. It demonstrates a good understanding of UK practice and regulatory expectations for safety cases and should provide a good foundation for the future development of the PCSR.</w:t>
      </w:r>
    </w:p>
    <w:p w14:paraId="5AF38E25" w14:textId="2DAAA7EB" w:rsidR="00C94F61" w:rsidRPr="00183D09" w:rsidRDefault="00C94F61">
      <w:pPr>
        <w:pStyle w:val="NumList1"/>
      </w:pPr>
      <w:r>
        <w:t xml:space="preserve">Similarly, the PSyR (ref. </w:t>
      </w:r>
      <w:sdt>
        <w:sdtPr>
          <w:id w:val="-1200391488"/>
          <w:citation/>
        </w:sdtPr>
        <w:sdtEndPr/>
        <w:sdtContent>
          <w:r>
            <w:fldChar w:fldCharType="begin"/>
          </w:r>
          <w:r>
            <w:instrText xml:space="preserve"> CITATION PSyR \l 2057 </w:instrText>
          </w:r>
          <w:r>
            <w:fldChar w:fldCharType="separate"/>
          </w:r>
          <w:r w:rsidR="00AB0D39" w:rsidRPr="00AB0D39">
            <w:t>[28]</w:t>
          </w:r>
          <w:r>
            <w:fldChar w:fldCharType="end"/>
          </w:r>
        </w:sdtContent>
      </w:sdt>
      <w:r>
        <w:t xml:space="preserve">) provides a high-level overview of the basis on which the nuclear security arrangements for the Rolls-Royce SMR will be developed, including how the requirements of the UK regulatory regime for nuclear security and RGP will inform this. This includes application of key expectations of relevance to security such as use of a secure by design approach, application of defence in depth and a graded approach. We are content that, sufficient for </w:t>
      </w:r>
      <w:r w:rsidR="006C3244">
        <w:t>Step</w:t>
      </w:r>
      <w:r>
        <w:t xml:space="preserve"> 1, this demonstrates the RP’s understanding of the regulatory framework and principles. </w:t>
      </w:r>
    </w:p>
    <w:p w14:paraId="4CA0F7FC" w14:textId="062A82FC" w:rsidR="00C94F61" w:rsidRDefault="00C94F61">
      <w:pPr>
        <w:pStyle w:val="NumList1"/>
      </w:pPr>
      <w:r>
        <w:t xml:space="preserve">Corresponding information relevant to the safeguards approach was not provided. However, we are content that this is a </w:t>
      </w:r>
      <w:r w:rsidR="00BB32FB">
        <w:t xml:space="preserve">programme </w:t>
      </w:r>
      <w:r>
        <w:t xml:space="preserve">matter that will be resolved during later steps. </w:t>
      </w:r>
      <w:r w:rsidR="00237428">
        <w:t>Based on our interactions</w:t>
      </w:r>
      <w:r w:rsidR="00CF015E">
        <w:t>, w</w:t>
      </w:r>
      <w:r>
        <w:t xml:space="preserve">e are </w:t>
      </w:r>
      <w:r w:rsidR="00BF3150">
        <w:t xml:space="preserve">confident </w:t>
      </w:r>
      <w:r>
        <w:t>that the RP has a sufficient understanding of these matters.</w:t>
      </w:r>
    </w:p>
    <w:p w14:paraId="515F17CB" w14:textId="77777777" w:rsidR="00925DD5" w:rsidRDefault="00925DD5">
      <w:pPr>
        <w:spacing w:after="0" w:line="240" w:lineRule="auto"/>
        <w:rPr>
          <w:rFonts w:asciiTheme="minorHAnsi" w:eastAsiaTheme="minorHAnsi" w:hAnsiTheme="minorHAnsi" w:cstheme="minorBidi"/>
          <w:noProof/>
          <w:lang w:bidi="ar-SA"/>
        </w:rPr>
      </w:pPr>
      <w:r>
        <w:br w:type="page"/>
      </w:r>
    </w:p>
    <w:p w14:paraId="56565BFB" w14:textId="313ECD84" w:rsidR="00C94F61" w:rsidRDefault="00CF613A">
      <w:pPr>
        <w:pStyle w:val="NumList1"/>
      </w:pPr>
      <w:r>
        <w:lastRenderedPageBreak/>
        <w:t>T</w:t>
      </w:r>
      <w:r w:rsidR="00C94F61">
        <w:t xml:space="preserve">he RP submitted its methodology for the categorisation of functions and classifications of SSCs (ref. </w:t>
      </w:r>
      <w:sdt>
        <w:sdtPr>
          <w:id w:val="-1342008901"/>
          <w:citation/>
        </w:sdtPr>
        <w:sdtEndPr/>
        <w:sdtContent>
          <w:r w:rsidR="00C94F61">
            <w:fldChar w:fldCharType="begin"/>
          </w:r>
          <w:r w:rsidR="00C94F61">
            <w:instrText xml:space="preserve"> CITATION CatClassMethod \l 2057 </w:instrText>
          </w:r>
          <w:r w:rsidR="00C94F61">
            <w:fldChar w:fldCharType="separate"/>
          </w:r>
          <w:r w:rsidR="00AB0D39" w:rsidRPr="00AB0D39">
            <w:t>[35]</w:t>
          </w:r>
          <w:r w:rsidR="00C94F61">
            <w:fldChar w:fldCharType="end"/>
          </w:r>
        </w:sdtContent>
      </w:sdt>
      <w:r w:rsidR="00C94F61">
        <w:t xml:space="preserve">) during </w:t>
      </w:r>
      <w:r w:rsidR="006C3244">
        <w:t>Step</w:t>
      </w:r>
      <w:r w:rsidR="00C94F61">
        <w:t xml:space="preserve"> 1.</w:t>
      </w:r>
      <w:r w:rsidR="000C4906">
        <w:t xml:space="preserve"> This is consistent with the summary provided in the </w:t>
      </w:r>
      <w:r w:rsidR="0081112E">
        <w:t xml:space="preserve">PSR (ref. </w:t>
      </w:r>
      <w:sdt>
        <w:sdtPr>
          <w:id w:val="142393418"/>
          <w:citation/>
        </w:sdtPr>
        <w:sdtEndPr/>
        <w:sdtContent>
          <w:r w:rsidR="0081112E">
            <w:fldChar w:fldCharType="begin"/>
          </w:r>
          <w:r w:rsidR="0081112E">
            <w:instrText xml:space="preserve"> CITATION PSR \l 2057 </w:instrText>
          </w:r>
          <w:r w:rsidR="0081112E">
            <w:fldChar w:fldCharType="separate"/>
          </w:r>
          <w:r w:rsidR="00AB0D39" w:rsidRPr="00AB0D39">
            <w:t>[6]</w:t>
          </w:r>
          <w:r w:rsidR="0081112E">
            <w:fldChar w:fldCharType="end"/>
          </w:r>
        </w:sdtContent>
      </w:sdt>
      <w:r w:rsidR="0081112E">
        <w:t xml:space="preserve">), </w:t>
      </w:r>
      <w:r w:rsidR="00C94F61">
        <w:t>Th</w:t>
      </w:r>
      <w:r w:rsidR="000C4906">
        <w:t>e method</w:t>
      </w:r>
      <w:r w:rsidR="00C94F61">
        <w:t xml:space="preserve"> describes the structured </w:t>
      </w:r>
      <w:r w:rsidR="001B4F54">
        <w:t>approach</w:t>
      </w:r>
      <w:r w:rsidR="00C94F61">
        <w:t xml:space="preserve"> for deriving classifications such that appropriate engineering quality can be applied in the design. In addition, it describes the intent and approaches adopted in the overall plant design, which involves minimising highly classified SSCs where practicable, and assigning high classifications to simple and reliable SSCs that deliver protection functionality against a wide array of faults. The method is based upon international guidance, lessons </w:t>
      </w:r>
      <w:r w:rsidR="006C3244">
        <w:t xml:space="preserve">learnt </w:t>
      </w:r>
      <w:r w:rsidR="00C94F61">
        <w:t>and the RP’s previous experience.</w:t>
      </w:r>
    </w:p>
    <w:p w14:paraId="4A13996E" w14:textId="2AEB089F" w:rsidR="00C94F61" w:rsidRDefault="00C94F61">
      <w:pPr>
        <w:pStyle w:val="NumList1"/>
      </w:pPr>
      <w:r>
        <w:t>The philosophy described in the methodology is consistent with other approaches used for GDA. We</w:t>
      </w:r>
      <w:r w:rsidRPr="008F6CBF">
        <w:t xml:space="preserve"> welcome the consideration of ONR’s SAPs</w:t>
      </w:r>
      <w:r>
        <w:t xml:space="preserve"> (ref. </w:t>
      </w:r>
      <w:sdt>
        <w:sdtPr>
          <w:id w:val="1633440027"/>
          <w:citation/>
        </w:sdtPr>
        <w:sdtEndPr/>
        <w:sdtContent>
          <w:r>
            <w:fldChar w:fldCharType="begin"/>
          </w:r>
          <w:r>
            <w:instrText xml:space="preserve">CITATION SAPs \l 2057 </w:instrText>
          </w:r>
          <w:r>
            <w:fldChar w:fldCharType="separate"/>
          </w:r>
          <w:r w:rsidR="00AB0D39" w:rsidRPr="00AB0D39">
            <w:t>[36]</w:t>
          </w:r>
          <w:r>
            <w:fldChar w:fldCharType="end"/>
          </w:r>
        </w:sdtContent>
      </w:sdt>
      <w:r>
        <w:t>)</w:t>
      </w:r>
      <w:r w:rsidRPr="008F6CBF">
        <w:t xml:space="preserve">, </w:t>
      </w:r>
      <w:r>
        <w:t>TAG</w:t>
      </w:r>
      <w:r w:rsidRPr="008F6CBF">
        <w:t xml:space="preserve"> </w:t>
      </w:r>
      <w:r>
        <w:t xml:space="preserve">(ref. </w:t>
      </w:r>
      <w:sdt>
        <w:sdtPr>
          <w:id w:val="881442484"/>
          <w:citation/>
        </w:sdtPr>
        <w:sdtEndPr/>
        <w:sdtContent>
          <w:r>
            <w:fldChar w:fldCharType="begin"/>
          </w:r>
          <w:r>
            <w:instrText xml:space="preserve"> CITATION TAG094 \l 2057 </w:instrText>
          </w:r>
          <w:r>
            <w:fldChar w:fldCharType="separate"/>
          </w:r>
          <w:r w:rsidR="00AB0D39" w:rsidRPr="00AB0D39">
            <w:t>[37]</w:t>
          </w:r>
          <w:r>
            <w:fldChar w:fldCharType="end"/>
          </w:r>
        </w:sdtContent>
      </w:sdt>
      <w:r>
        <w:t>) a</w:t>
      </w:r>
      <w:r w:rsidRPr="008F6CBF">
        <w:t xml:space="preserve">nd IAEA SSG-30 </w:t>
      </w:r>
      <w:r>
        <w:t xml:space="preserve">(ref. </w:t>
      </w:r>
      <w:sdt>
        <w:sdtPr>
          <w:id w:val="1934634073"/>
          <w:citation/>
        </w:sdtPr>
        <w:sdtEndPr/>
        <w:sdtContent>
          <w:r>
            <w:fldChar w:fldCharType="begin"/>
          </w:r>
          <w:r>
            <w:instrText xml:space="preserve">CITATION SSG30 \l 2057 </w:instrText>
          </w:r>
          <w:r>
            <w:fldChar w:fldCharType="separate"/>
          </w:r>
          <w:r w:rsidR="00AB0D39" w:rsidRPr="00AB0D39">
            <w:t>[38]</w:t>
          </w:r>
          <w:r>
            <w:fldChar w:fldCharType="end"/>
          </w:r>
        </w:sdtContent>
      </w:sdt>
      <w:r>
        <w:t>) and we are content that these</w:t>
      </w:r>
      <w:r w:rsidRPr="008F6CBF">
        <w:t xml:space="preserve"> should provide a sound basis for </w:t>
      </w:r>
      <w:r>
        <w:t xml:space="preserve">use in </w:t>
      </w:r>
      <w:r w:rsidRPr="008F6CBF">
        <w:t>the safety case.</w:t>
      </w:r>
      <w:r w:rsidRPr="003D23D8">
        <w:t xml:space="preserve"> </w:t>
      </w:r>
      <w:r>
        <w:t xml:space="preserve">However, the method </w:t>
      </w:r>
      <w:r w:rsidRPr="003D23D8">
        <w:t xml:space="preserve">is intended to </w:t>
      </w:r>
      <w:r>
        <w:t xml:space="preserve">also </w:t>
      </w:r>
      <w:r w:rsidRPr="003D23D8">
        <w:t>cover</w:t>
      </w:r>
      <w:r>
        <w:t xml:space="preserve"> s</w:t>
      </w:r>
      <w:r w:rsidRPr="003D23D8">
        <w:t xml:space="preserve">ecurity, </w:t>
      </w:r>
      <w:r>
        <w:t>s</w:t>
      </w:r>
      <w:r w:rsidRPr="003D23D8">
        <w:t>afeguards</w:t>
      </w:r>
      <w:r>
        <w:t xml:space="preserve"> and environment</w:t>
      </w:r>
      <w:r w:rsidRPr="003D23D8">
        <w:t xml:space="preserve"> but there is little d</w:t>
      </w:r>
      <w:r>
        <w:t>etail</w:t>
      </w:r>
      <w:r w:rsidRPr="003D23D8">
        <w:t xml:space="preserve"> o</w:t>
      </w:r>
      <w:r>
        <w:t>n</w:t>
      </w:r>
      <w:r w:rsidRPr="003D23D8">
        <w:t xml:space="preserve"> how this relates to purposes other than safety.</w:t>
      </w:r>
      <w:r>
        <w:t xml:space="preserve"> We judge that ha</w:t>
      </w:r>
      <w:r w:rsidRPr="003D23D8">
        <w:t>ving a single process for all purposes is ambitious and there may need to be some adaption to ensure that appropriate outcomes are delivered for all functions.</w:t>
      </w:r>
      <w:r>
        <w:t xml:space="preserve"> Similarly, there are several matters related to the application of the method where we expect to need to seek further clarity. These will be part of the assessment of the application of this method to the design during the remainder of </w:t>
      </w:r>
      <w:r w:rsidR="00363B1B">
        <w:t xml:space="preserve">the </w:t>
      </w:r>
      <w:r>
        <w:t>GDA.</w:t>
      </w:r>
    </w:p>
    <w:p w14:paraId="6CF1E45B" w14:textId="5C151A5E" w:rsidR="00C94F61" w:rsidRDefault="00C94F61">
      <w:pPr>
        <w:pStyle w:val="NumList1"/>
      </w:pPr>
      <w:r w:rsidRPr="003A2E4D">
        <w:t>We judge that this information is sufficient to meet requirement [1.</w:t>
      </w:r>
      <w:r>
        <w:t>13</w:t>
      </w:r>
      <w:r w:rsidRPr="003A2E4D">
        <w:t xml:space="preserve">] </w:t>
      </w:r>
      <w:r>
        <w:t xml:space="preserve">from </w:t>
      </w:r>
      <w:r w:rsidR="002163EB">
        <w:t>Guidance to Requesting Parties</w:t>
      </w:r>
      <w:r>
        <w:t xml:space="preserve"> (ref. </w:t>
      </w:r>
      <w:sdt>
        <w:sdtPr>
          <w:id w:val="-1332834165"/>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r w:rsidRPr="003A2E4D">
        <w:t xml:space="preserve"> </w:t>
      </w:r>
    </w:p>
    <w:p w14:paraId="16D25745" w14:textId="0ED7DA6A" w:rsidR="00C94F61" w:rsidRPr="00153614" w:rsidRDefault="00C94F61" w:rsidP="00C558E5">
      <w:pPr>
        <w:pStyle w:val="Heading3"/>
      </w:pPr>
      <w:bookmarkStart w:id="136" w:name="_Toc129081000"/>
      <w:bookmarkStart w:id="137" w:name="_Toc129081807"/>
      <w:r w:rsidRPr="00153614">
        <w:t xml:space="preserve">E3S </w:t>
      </w:r>
      <w:r w:rsidR="00F51D00">
        <w:t>design p</w:t>
      </w:r>
      <w:r w:rsidRPr="00153614">
        <w:t>rinciples</w:t>
      </w:r>
      <w:bookmarkEnd w:id="136"/>
      <w:bookmarkEnd w:id="137"/>
    </w:p>
    <w:p w14:paraId="1E6AAE3C" w14:textId="4194F03D" w:rsidR="00C94F61" w:rsidRDefault="00C94F61">
      <w:pPr>
        <w:pStyle w:val="NumList1"/>
      </w:pPr>
      <w:r>
        <w:t xml:space="preserve">The RP submitted its </w:t>
      </w:r>
      <w:r w:rsidRPr="00477E28">
        <w:t xml:space="preserve">environmental, safety, security and safeguards principles </w:t>
      </w:r>
      <w:r>
        <w:t xml:space="preserve">(ref. </w:t>
      </w:r>
      <w:sdt>
        <w:sdtPr>
          <w:id w:val="302202234"/>
          <w:citation/>
        </w:sdtPr>
        <w:sdtEndPr/>
        <w:sdtContent>
          <w:r>
            <w:fldChar w:fldCharType="begin"/>
          </w:r>
          <w:r>
            <w:instrText xml:space="preserve"> CITATION DesPrinciples \l 2057 </w:instrText>
          </w:r>
          <w:r>
            <w:fldChar w:fldCharType="separate"/>
          </w:r>
          <w:r w:rsidR="00AB0D39" w:rsidRPr="00AB0D39">
            <w:t>[39]</w:t>
          </w:r>
          <w:r>
            <w:fldChar w:fldCharType="end"/>
          </w:r>
        </w:sdtContent>
      </w:sdt>
      <w:r>
        <w:t xml:space="preserve">) </w:t>
      </w:r>
      <w:r w:rsidRPr="00477E28">
        <w:t xml:space="preserve">that </w:t>
      </w:r>
      <w:r>
        <w:t>will be</w:t>
      </w:r>
      <w:r w:rsidRPr="00477E28">
        <w:t xml:space="preserve"> used to </w:t>
      </w:r>
      <w:r>
        <w:t>inform</w:t>
      </w:r>
      <w:r w:rsidRPr="00477E28">
        <w:t xml:space="preserve"> the Rolls</w:t>
      </w:r>
      <w:r>
        <w:t>-</w:t>
      </w:r>
      <w:r w:rsidRPr="00477E28">
        <w:t xml:space="preserve">Royce </w:t>
      </w:r>
      <w:r>
        <w:t>SMR</w:t>
      </w:r>
      <w:r w:rsidRPr="00477E28">
        <w:t xml:space="preserve"> design.</w:t>
      </w:r>
      <w:r w:rsidRPr="000A5165">
        <w:t xml:space="preserve"> </w:t>
      </w:r>
      <w:r>
        <w:t>The principles present a distillation of international practices for plant and site design.</w:t>
      </w:r>
      <w:r w:rsidRPr="007A06B0">
        <w:t xml:space="preserve"> </w:t>
      </w:r>
      <w:r>
        <w:t>The approach uses a hierarchical decomposition to a set of design principles that cover distinct thematic areas and leads to mandatory (shall) and advisory (should) principles. These cover a broad range of topics, from design through engineering and operational aspects across the full plant lifecycle.</w:t>
      </w:r>
    </w:p>
    <w:p w14:paraId="7DAB082A" w14:textId="77777777" w:rsidR="00C94F61" w:rsidRDefault="00C94F61">
      <w:pPr>
        <w:pStyle w:val="NumList1"/>
      </w:pPr>
      <w:r>
        <w:t>As the backbone for the E3S case, the CAE structure is currently being developed by the RP. This includes mapping the principles against the developing CAE structure to determine those principles that will be specified as design requirements. The aim of this exercise is to demonstrate that all principles will be addressed by claims and suitably supported by evidence. Given the approach adopted by Rolls-Royce SMR Limited this is an important pre-requisite to development of its E3S case.</w:t>
      </w:r>
    </w:p>
    <w:p w14:paraId="25652154" w14:textId="2CBE2F6C" w:rsidR="00C94F61" w:rsidRDefault="00C94F61">
      <w:pPr>
        <w:pStyle w:val="NumList1"/>
      </w:pPr>
      <w:r>
        <w:t xml:space="preserve">The PSR (ref. </w:t>
      </w:r>
      <w:sdt>
        <w:sdtPr>
          <w:id w:val="273833240"/>
          <w:citation/>
        </w:sdtPr>
        <w:sdtEndPr/>
        <w:sdtContent>
          <w:r>
            <w:fldChar w:fldCharType="begin"/>
          </w:r>
          <w:r>
            <w:instrText xml:space="preserve"> CITATION PSR \l 2057 </w:instrText>
          </w:r>
          <w:r>
            <w:fldChar w:fldCharType="separate"/>
          </w:r>
          <w:r w:rsidR="00AB0D39" w:rsidRPr="00AB0D39">
            <w:t>[6]</w:t>
          </w:r>
          <w:r>
            <w:fldChar w:fldCharType="end"/>
          </w:r>
        </w:sdtContent>
      </w:sdt>
      <w:r>
        <w:t xml:space="preserve">) and PSyR (ref. </w:t>
      </w:r>
      <w:sdt>
        <w:sdtPr>
          <w:id w:val="183870205"/>
          <w:citation/>
        </w:sdtPr>
        <w:sdtEndPr/>
        <w:sdtContent>
          <w:r>
            <w:fldChar w:fldCharType="begin"/>
          </w:r>
          <w:r>
            <w:instrText xml:space="preserve"> CITATION PSyR \l 2057 </w:instrText>
          </w:r>
          <w:r>
            <w:fldChar w:fldCharType="separate"/>
          </w:r>
          <w:r w:rsidR="00AB0D39" w:rsidRPr="00AB0D39">
            <w:t>[28]</w:t>
          </w:r>
          <w:r>
            <w:fldChar w:fldCharType="end"/>
          </w:r>
        </w:sdtContent>
      </w:sdt>
      <w:r>
        <w:t>) both describe a range of principles that have influenced the design in terms of safety measures, SSCs and layout. These differ in wording, but not intent from the principles report. This is mainly an artifact of timing and demonstrate</w:t>
      </w:r>
      <w:r w:rsidR="00D462F4">
        <w:t>s</w:t>
      </w:r>
      <w:r>
        <w:t xml:space="preserve"> that such principles have already informed the design.</w:t>
      </w:r>
    </w:p>
    <w:p w14:paraId="33BC66E9" w14:textId="664F39F5" w:rsidR="00C94F61" w:rsidRDefault="00C94F61">
      <w:pPr>
        <w:pStyle w:val="NumList1"/>
      </w:pPr>
      <w:r>
        <w:lastRenderedPageBreak/>
        <w:t>We judge that the document c</w:t>
      </w:r>
      <w:r w:rsidRPr="007950DC">
        <w:t>learly sets out the principles that will be applied to the design</w:t>
      </w:r>
      <w:r>
        <w:t xml:space="preserve">. The </w:t>
      </w:r>
      <w:r w:rsidRPr="007950DC">
        <w:t xml:space="preserve">principles appear consistent with good practice guidance, such as that published by IAEA and </w:t>
      </w:r>
      <w:r w:rsidR="008550A8">
        <w:t>the Western European Nuclear Regulators Associateion (</w:t>
      </w:r>
      <w:r w:rsidRPr="007950DC">
        <w:t>WENRA</w:t>
      </w:r>
      <w:r w:rsidR="008550A8">
        <w:t>)</w:t>
      </w:r>
      <w:r>
        <w:t xml:space="preserve">, and refer to relevant ONR guidance. Their integration in the development of the E3S case is commended. </w:t>
      </w:r>
      <w:r w:rsidRPr="007950DC">
        <w:t>Application of the principles</w:t>
      </w:r>
      <w:r>
        <w:t>, both in terms of the design and E3S case,</w:t>
      </w:r>
      <w:r w:rsidRPr="007950DC">
        <w:t xml:space="preserve"> will form future areas of </w:t>
      </w:r>
      <w:r>
        <w:t xml:space="preserve">assessment during </w:t>
      </w:r>
      <w:r w:rsidR="006C3244">
        <w:t>Step</w:t>
      </w:r>
      <w:r>
        <w:t xml:space="preserve"> 2. </w:t>
      </w:r>
    </w:p>
    <w:p w14:paraId="5DC4D8DA" w14:textId="150C4DF1" w:rsidR="00C94F61" w:rsidRDefault="00C94F61">
      <w:pPr>
        <w:pStyle w:val="NumList1"/>
      </w:pPr>
      <w:r w:rsidRPr="003A2E4D">
        <w:t>We judge that this information is sufficient to meet requirement [1.</w:t>
      </w:r>
      <w:r>
        <w:t>15</w:t>
      </w:r>
      <w:r w:rsidRPr="003A2E4D">
        <w:t xml:space="preserve">] </w:t>
      </w:r>
      <w:r>
        <w:t xml:space="preserve">from </w:t>
      </w:r>
      <w:r w:rsidR="002163EB">
        <w:t>Guidance to Requesting Parties</w:t>
      </w:r>
      <w:r>
        <w:t xml:space="preserve"> (ref. </w:t>
      </w:r>
      <w:sdt>
        <w:sdtPr>
          <w:id w:val="-213115185"/>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r w:rsidRPr="003A2E4D">
        <w:t>.</w:t>
      </w:r>
    </w:p>
    <w:p w14:paraId="63C005B9" w14:textId="5A22171C" w:rsidR="00C94F61" w:rsidRPr="00153614" w:rsidRDefault="00C94F61" w:rsidP="00C558E5">
      <w:pPr>
        <w:pStyle w:val="Heading3"/>
      </w:pPr>
      <w:bookmarkStart w:id="138" w:name="_Toc129081001"/>
      <w:bookmarkStart w:id="139" w:name="_Toc129081808"/>
      <w:r w:rsidRPr="00153614">
        <w:t xml:space="preserve">Site </w:t>
      </w:r>
      <w:r w:rsidR="00F51D00">
        <w:t>c</w:t>
      </w:r>
      <w:r w:rsidRPr="00153614">
        <w:t>haracteristics</w:t>
      </w:r>
      <w:bookmarkEnd w:id="138"/>
      <w:bookmarkEnd w:id="139"/>
    </w:p>
    <w:p w14:paraId="58A884F0" w14:textId="37B44CB6" w:rsidR="00C94F61" w:rsidRDefault="00C94F61">
      <w:pPr>
        <w:pStyle w:val="NumList1"/>
      </w:pPr>
      <w:r>
        <w:t xml:space="preserve">The RP submitted its GSE (ref. </w:t>
      </w:r>
      <w:sdt>
        <w:sdtPr>
          <w:id w:val="-691836065"/>
          <w:citation/>
        </w:sdtPr>
        <w:sdtEndPr/>
        <w:sdtContent>
          <w:r>
            <w:fldChar w:fldCharType="begin"/>
          </w:r>
          <w:r>
            <w:instrText xml:space="preserve"> CITATION GSE \l 2057 </w:instrText>
          </w:r>
          <w:r>
            <w:fldChar w:fldCharType="separate"/>
          </w:r>
          <w:r w:rsidR="00AB0D39" w:rsidRPr="00AB0D39">
            <w:t>[27]</w:t>
          </w:r>
          <w:r>
            <w:fldChar w:fldCharType="end"/>
          </w:r>
        </w:sdtContent>
      </w:sdt>
      <w:r>
        <w:t>) which bounds the site characteristics within which the generic Rolls-Royce SMR is capable of being built and operated.</w:t>
      </w:r>
    </w:p>
    <w:p w14:paraId="5400D942" w14:textId="0652C2A6" w:rsidR="00C94F61" w:rsidRDefault="00C94F61">
      <w:pPr>
        <w:pStyle w:val="NumList1"/>
      </w:pPr>
      <w:r>
        <w:t>We are content that the scope and coverage of the GSE is reasonable</w:t>
      </w:r>
      <w:r w:rsidR="0072671D">
        <w:t xml:space="preserve">, </w:t>
      </w:r>
      <w:r w:rsidR="00C736B1">
        <w:t>that it</w:t>
      </w:r>
      <w:r w:rsidR="0052197C">
        <w:t xml:space="preserve"> is suitably representative of a generic GB site</w:t>
      </w:r>
      <w:r w:rsidR="003E2A17">
        <w:t>,</w:t>
      </w:r>
      <w:r w:rsidR="0052197C">
        <w:t xml:space="preserve"> and</w:t>
      </w:r>
      <w:r w:rsidR="00C736B1">
        <w:t xml:space="preserve"> </w:t>
      </w:r>
      <w:r>
        <w:t xml:space="preserve">is consistent with previous GDAs. During </w:t>
      </w:r>
      <w:r w:rsidR="006C3244">
        <w:t>Step</w:t>
      </w:r>
      <w:r>
        <w:t xml:space="preserve"> 2 we will assess the adequacy of the values</w:t>
      </w:r>
      <w:r w:rsidR="003E2A17">
        <w:t xml:space="preserve"> proposed by the RP</w:t>
      </w:r>
      <w:r>
        <w:t xml:space="preserve">, noting that </w:t>
      </w:r>
      <w:r w:rsidR="00575C17">
        <w:t xml:space="preserve">we have identified that </w:t>
      </w:r>
      <w:r>
        <w:t xml:space="preserve">further work </w:t>
      </w:r>
      <w:r w:rsidR="00575C17">
        <w:t xml:space="preserve">will be </w:t>
      </w:r>
      <w:r>
        <w:t xml:space="preserve">required to justify some aspects including conservatisms, beyond design-basis hazards and grid connections. We note such aspects are normal business and will be refined as the design matures.  </w:t>
      </w:r>
    </w:p>
    <w:p w14:paraId="3F9B8C4C" w14:textId="7E1CEEE5" w:rsidR="00C94F61" w:rsidRPr="003A2E4D" w:rsidRDefault="00C94F61">
      <w:pPr>
        <w:pStyle w:val="NumList1"/>
      </w:pPr>
      <w:r w:rsidRPr="003A2E4D">
        <w:t>We judge that this information is sufficient to meet requirement [1.</w:t>
      </w:r>
      <w:r>
        <w:t>16</w:t>
      </w:r>
      <w:r w:rsidRPr="003A2E4D">
        <w:t xml:space="preserve">] </w:t>
      </w:r>
      <w:r>
        <w:t xml:space="preserve">from </w:t>
      </w:r>
      <w:r w:rsidR="002163EB">
        <w:t>Guidance to Requesting Parties</w:t>
      </w:r>
      <w:r>
        <w:t xml:space="preserve"> (ref. </w:t>
      </w:r>
      <w:sdt>
        <w:sdtPr>
          <w:id w:val="1879663045"/>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r w:rsidRPr="003A2E4D">
        <w:t>.</w:t>
      </w:r>
    </w:p>
    <w:p w14:paraId="4D6218D9" w14:textId="10C88FA3" w:rsidR="00C94F61" w:rsidRPr="00153614" w:rsidRDefault="00C94F61" w:rsidP="00C558E5">
      <w:pPr>
        <w:pStyle w:val="Heading3"/>
      </w:pPr>
      <w:bookmarkStart w:id="140" w:name="_Toc129081002"/>
      <w:bookmarkStart w:id="141" w:name="_Toc129081809"/>
      <w:r w:rsidRPr="00153614">
        <w:t xml:space="preserve">Codes and </w:t>
      </w:r>
      <w:r w:rsidR="00F51D00">
        <w:t>s</w:t>
      </w:r>
      <w:r w:rsidRPr="00153614">
        <w:t>tandards</w:t>
      </w:r>
      <w:bookmarkEnd w:id="140"/>
      <w:bookmarkEnd w:id="141"/>
    </w:p>
    <w:p w14:paraId="4760237C" w14:textId="14E7DDCE" w:rsidR="00C94F61" w:rsidRDefault="00C94F61">
      <w:pPr>
        <w:pStyle w:val="NumList1"/>
      </w:pPr>
      <w:r>
        <w:t xml:space="preserve">The EMP (ref. </w:t>
      </w:r>
      <w:sdt>
        <w:sdtPr>
          <w:id w:val="-1620841387"/>
          <w:citation/>
        </w:sdtPr>
        <w:sdtEndPr/>
        <w:sdtContent>
          <w:r>
            <w:fldChar w:fldCharType="begin"/>
          </w:r>
          <w:r>
            <w:instrText xml:space="preserve"> CITATION EMP \l 2057 </w:instrText>
          </w:r>
          <w:r>
            <w:fldChar w:fldCharType="separate"/>
          </w:r>
          <w:r w:rsidR="00AB0D39" w:rsidRPr="00AB0D39">
            <w:t>[24]</w:t>
          </w:r>
          <w:r>
            <w:fldChar w:fldCharType="end"/>
          </w:r>
        </w:sdtContent>
      </w:sdt>
      <w:r>
        <w:t xml:space="preserve">) presents the RP’s policy for the selection of codes and standards for the Rolls-Royce SMR design, utilising good practice and addressing lessons </w:t>
      </w:r>
      <w:r w:rsidR="006C3244">
        <w:t>learnt</w:t>
      </w:r>
      <w:r>
        <w:t xml:space="preserve">. The </w:t>
      </w:r>
      <w:r w:rsidRPr="00A17999">
        <w:t>Rolls-Royce Small Modular Reactor Codes and Standards</w:t>
      </w:r>
      <w:r>
        <w:t xml:space="preserve"> report (ref. </w:t>
      </w:r>
      <w:sdt>
        <w:sdtPr>
          <w:id w:val="-3673651"/>
          <w:citation/>
        </w:sdtPr>
        <w:sdtEndPr/>
        <w:sdtContent>
          <w:r>
            <w:fldChar w:fldCharType="begin"/>
          </w:r>
          <w:r>
            <w:instrText xml:space="preserve"> CITATION CodeStandards \l 2057 </w:instrText>
          </w:r>
          <w:r>
            <w:fldChar w:fldCharType="separate"/>
          </w:r>
          <w:r w:rsidR="00AB0D39" w:rsidRPr="00AB0D39">
            <w:t>[40]</w:t>
          </w:r>
          <w:r>
            <w:fldChar w:fldCharType="end"/>
          </w:r>
        </w:sdtContent>
      </w:sdt>
      <w:r>
        <w:t xml:space="preserve">) presents a summary of outputs from this policy for mechanical, electrical C&amp;I, civil and structural design. In addition, it defines a set of principles against which codes and standards are chosen. The RP recognise that this is a snapshot of a point in time, and that further refinement will be necessary as the design matures, in particular at the FCD engineering milestone. </w:t>
      </w:r>
      <w:r w:rsidRPr="00FE794F">
        <w:t>Codes and standards are being identified within the requirement set for each SSC</w:t>
      </w:r>
      <w:r>
        <w:t>.</w:t>
      </w:r>
    </w:p>
    <w:p w14:paraId="4E3E200A" w14:textId="4E77AC36" w:rsidR="00C94F61" w:rsidRDefault="00C94F61">
      <w:pPr>
        <w:pStyle w:val="NumList1"/>
      </w:pPr>
      <w:r>
        <w:t>The codes and standards cited by the RP are familiar to ONR, as the generic Rolls-Royce SMR has a UK origin. At a high level the content is reasonable, and we take confidence in the systematic approach adopted to identification and use of relevant design inputs. However, whil</w:t>
      </w:r>
      <w:r w:rsidR="00923F6B">
        <w:t>e</w:t>
      </w:r>
      <w:r>
        <w:t xml:space="preserve"> further development is acknowledged, several notable absences were observed. We will follow up this matter, alongside implementation of these codes and standards into the design during assessment in </w:t>
      </w:r>
      <w:r w:rsidR="006C3244">
        <w:t>Step</w:t>
      </w:r>
      <w:r>
        <w:t xml:space="preserve"> 2.</w:t>
      </w:r>
    </w:p>
    <w:p w14:paraId="40601139" w14:textId="5A7A8880" w:rsidR="00C94F61" w:rsidRDefault="00C94F61">
      <w:pPr>
        <w:pStyle w:val="NumList1"/>
      </w:pPr>
      <w:r w:rsidRPr="003A2E4D">
        <w:t>We judge that this information is sufficient to meet requirement [1.</w:t>
      </w:r>
      <w:r>
        <w:t>17</w:t>
      </w:r>
      <w:r w:rsidRPr="003A2E4D">
        <w:t xml:space="preserve">] </w:t>
      </w:r>
      <w:r>
        <w:t xml:space="preserve">from </w:t>
      </w:r>
      <w:r w:rsidR="002163EB">
        <w:t>Guidance to Requesting Parties</w:t>
      </w:r>
      <w:r>
        <w:t xml:space="preserve"> (ref. </w:t>
      </w:r>
      <w:sdt>
        <w:sdtPr>
          <w:id w:val="-2000261367"/>
          <w:citation/>
        </w:sdtPr>
        <w:sdtEndPr/>
        <w:sdtContent>
          <w:r>
            <w:fldChar w:fldCharType="begin"/>
          </w:r>
          <w:r>
            <w:instrText xml:space="preserve"> CITATION GtoRPs \l 2057 </w:instrText>
          </w:r>
          <w:r>
            <w:fldChar w:fldCharType="separate"/>
          </w:r>
          <w:r w:rsidR="00AB0D39" w:rsidRPr="00AB0D39">
            <w:t>[1]</w:t>
          </w:r>
          <w:r>
            <w:fldChar w:fldCharType="end"/>
          </w:r>
        </w:sdtContent>
      </w:sdt>
      <w:r>
        <w:t>)</w:t>
      </w:r>
      <w:r w:rsidRPr="003A2E4D">
        <w:t>.</w:t>
      </w:r>
    </w:p>
    <w:p w14:paraId="40819FA2" w14:textId="2A0CABAF" w:rsidR="00C94F61" w:rsidRPr="00153614" w:rsidRDefault="00F51D00" w:rsidP="00C558E5">
      <w:pPr>
        <w:pStyle w:val="Heading3"/>
      </w:pPr>
      <w:bookmarkStart w:id="142" w:name="_Toc129081003"/>
      <w:bookmarkStart w:id="143" w:name="_Toc129081810"/>
      <w:r>
        <w:lastRenderedPageBreak/>
        <w:t>Gap analysis</w:t>
      </w:r>
      <w:bookmarkEnd w:id="142"/>
      <w:bookmarkEnd w:id="143"/>
    </w:p>
    <w:p w14:paraId="47D5E138" w14:textId="009E8522" w:rsidR="00C94F61" w:rsidRDefault="00C94F61">
      <w:pPr>
        <w:pStyle w:val="NumList1"/>
      </w:pPr>
      <w:r>
        <w:t xml:space="preserve">Guidance to requesting parties (ref. [1]) requires the RP to undertake a gap analysis of the submissions planned to support </w:t>
      </w:r>
      <w:r w:rsidR="006C3244">
        <w:t>Step</w:t>
      </w:r>
      <w:r>
        <w:t xml:space="preserve"> 2 against regulatory expectations and to propose how any identified gaps would be resolved. This requirement was included based on lesson </w:t>
      </w:r>
      <w:r w:rsidR="006C3244">
        <w:t xml:space="preserve">learnt </w:t>
      </w:r>
      <w:r>
        <w:t xml:space="preserve">from previous GDAs with non-UK based organisations. In those instances, gaps commonly existed due to lack of familiarity and experience with UK regulatory expectations, such as ALARP, and when the generic designs or safety, security or safeguards cases were not developed with these in mind. </w:t>
      </w:r>
    </w:p>
    <w:p w14:paraId="44D95974" w14:textId="422CAF95" w:rsidR="00C94F61" w:rsidRDefault="00477506" w:rsidP="00E10644">
      <w:pPr>
        <w:pStyle w:val="NumList1"/>
      </w:pPr>
      <w:r>
        <w:t xml:space="preserve">The RP’s gap analysis report (ref. </w:t>
      </w:r>
      <w:sdt>
        <w:sdtPr>
          <w:id w:val="-1766829988"/>
          <w:citation/>
        </w:sdtPr>
        <w:sdtEndPr/>
        <w:sdtContent>
          <w:r w:rsidR="001B128A">
            <w:fldChar w:fldCharType="begin"/>
          </w:r>
          <w:r w:rsidR="001B128A">
            <w:instrText xml:space="preserve"> CITATION GapAnalysis \l 2057 </w:instrText>
          </w:r>
          <w:r w:rsidR="001B128A">
            <w:fldChar w:fldCharType="separate"/>
          </w:r>
          <w:r w:rsidR="00AB0D39" w:rsidRPr="00AB0D39">
            <w:t>[41]</w:t>
          </w:r>
          <w:r w:rsidR="001B128A">
            <w:fldChar w:fldCharType="end"/>
          </w:r>
        </w:sdtContent>
      </w:sdt>
      <w:r>
        <w:t xml:space="preserve">) provides a narrative of its review. As </w:t>
      </w:r>
      <w:r w:rsidR="00CD3DB9">
        <w:t>the</w:t>
      </w:r>
      <w:r w:rsidR="001B3D2A">
        <w:t xml:space="preserve"> </w:t>
      </w:r>
      <w:r w:rsidR="00C94F61">
        <w:t>Rolls-Royce SMR</w:t>
      </w:r>
      <w:r w:rsidR="00A22F30">
        <w:t xml:space="preserve"> is being developed </w:t>
      </w:r>
      <w:r w:rsidR="00C94F61">
        <w:t>by an organisation familiar with current UK requirements and expectations</w:t>
      </w:r>
      <w:r w:rsidR="007645E6">
        <w:t>,</w:t>
      </w:r>
      <w:r w:rsidR="00A22F30">
        <w:t xml:space="preserve"> the </w:t>
      </w:r>
      <w:r w:rsidR="00CD3DB9">
        <w:t xml:space="preserve">gap analysis </w:t>
      </w:r>
      <w:r w:rsidR="008851F6">
        <w:t>wa</w:t>
      </w:r>
      <w:r w:rsidR="00A73A5E">
        <w:t xml:space="preserve">s </w:t>
      </w:r>
      <w:r w:rsidR="00CD3DB9">
        <w:t>simpler</w:t>
      </w:r>
      <w:r w:rsidR="00C94F61">
        <w:t xml:space="preserve">. It considers the RP’s planned </w:t>
      </w:r>
      <w:r w:rsidR="006C3244">
        <w:t>Step</w:t>
      </w:r>
      <w:r w:rsidR="00C94F61">
        <w:t xml:space="preserve"> 2 submissions (as part of its wider E3S case) against regulatory requirements and expectations and the RP’s own E3S principles. A range of other input</w:t>
      </w:r>
      <w:r w:rsidR="006B1B9F">
        <w:t>s</w:t>
      </w:r>
      <w:r w:rsidR="00C94F61">
        <w:t xml:space="preserve">, including key learning from previous GDAs and regulatory interactions throughout </w:t>
      </w:r>
      <w:r w:rsidR="006C3244">
        <w:t>Step</w:t>
      </w:r>
      <w:r w:rsidR="00C94F61">
        <w:t xml:space="preserve"> 1 were factored into the review. The evaluation was undertaken with inputs from safety and regulatory affairs, engineering and E3S case personnel.</w:t>
      </w:r>
    </w:p>
    <w:p w14:paraId="61499F5D" w14:textId="75DDBA94" w:rsidR="00C94F61" w:rsidRDefault="00C94F61">
      <w:pPr>
        <w:pStyle w:val="NumList1"/>
      </w:pPr>
      <w:r>
        <w:t xml:space="preserve">As an activity and output to respond to requirement [1.20] from </w:t>
      </w:r>
      <w:r w:rsidR="002163EB">
        <w:t>Guidance to Requesting Parties</w:t>
      </w:r>
      <w:r>
        <w:t xml:space="preserve"> (ref. </w:t>
      </w:r>
      <w:sdt>
        <w:sdtPr>
          <w:id w:val="1455594835"/>
          <w:citation/>
        </w:sdtPr>
        <w:sdtEndPr/>
        <w:sdtContent>
          <w:r>
            <w:fldChar w:fldCharType="begin"/>
          </w:r>
          <w:r>
            <w:instrText xml:space="preserve"> CITATION GtoRPs \l 2057 </w:instrText>
          </w:r>
          <w:r>
            <w:fldChar w:fldCharType="separate"/>
          </w:r>
          <w:r w:rsidR="00AB0D39" w:rsidRPr="00AB0D39">
            <w:t>[1]</w:t>
          </w:r>
          <w:r>
            <w:fldChar w:fldCharType="end"/>
          </w:r>
        </w:sdtContent>
      </w:sdt>
      <w:r>
        <w:t xml:space="preserve">) to undertake such a review, the submission is considered adequate. The RP has undertaken a systematic review, considering a reasonable range of inputs and has identified a number of gaps and plans for </w:t>
      </w:r>
      <w:r w:rsidR="00FA10A8">
        <w:t xml:space="preserve">how they can be </w:t>
      </w:r>
      <w:r>
        <w:t>resol</w:t>
      </w:r>
      <w:r w:rsidR="00FA10A8">
        <w:t>ved</w:t>
      </w:r>
      <w:r>
        <w:t>.</w:t>
      </w:r>
    </w:p>
    <w:p w14:paraId="6073A606" w14:textId="49635DFA" w:rsidR="00C94F61" w:rsidRPr="0021378E" w:rsidRDefault="00C94F61">
      <w:pPr>
        <w:pStyle w:val="NumList1"/>
      </w:pPr>
      <w:r>
        <w:t xml:space="preserve">The identified gaps are mainly associated with capacity and capability of the RP’s organisation to deliver the design and E3S case on GDA timescales. There is therefore considerable overlap with the actions that arise from the RP’s review of its readiness to proceed to </w:t>
      </w:r>
      <w:r w:rsidR="006C3244">
        <w:t>Step</w:t>
      </w:r>
      <w:r>
        <w:t xml:space="preserve"> 2. </w:t>
      </w:r>
      <w:r w:rsidR="002E19C0">
        <w:t xml:space="preserve">Whilst our guidance </w:t>
      </w:r>
      <w:r w:rsidR="00AD7138">
        <w:t xml:space="preserve">(ref, </w:t>
      </w:r>
      <w:sdt>
        <w:sdtPr>
          <w:id w:val="-890505203"/>
          <w:citation/>
        </w:sdtPr>
        <w:sdtEndPr/>
        <w:sdtContent>
          <w:r w:rsidR="00AD7138">
            <w:fldChar w:fldCharType="begin"/>
          </w:r>
          <w:r w:rsidR="00AD7138">
            <w:instrText xml:space="preserve"> CITATION GtoRPs \l 2057 </w:instrText>
          </w:r>
          <w:r w:rsidR="00AD7138">
            <w:fldChar w:fldCharType="separate"/>
          </w:r>
          <w:r w:rsidR="00AB0D39" w:rsidRPr="00AB0D39">
            <w:t>[1]</w:t>
          </w:r>
          <w:r w:rsidR="00AD7138">
            <w:fldChar w:fldCharType="end"/>
          </w:r>
        </w:sdtContent>
      </w:sdt>
      <w:r w:rsidR="00AD7138">
        <w:t xml:space="preserve">) </w:t>
      </w:r>
      <w:r w:rsidR="002E19C0">
        <w:t>expects resolution plans to be prepared for these gaps</w:t>
      </w:r>
      <w:r w:rsidR="00AD7138">
        <w:t xml:space="preserve">, we agreed that </w:t>
      </w:r>
      <w:r w:rsidR="001F18F1">
        <w:t xml:space="preserve">combining these with the readiness review actions is a pragmatic approach. </w:t>
      </w:r>
      <w:r>
        <w:t xml:space="preserve">These </w:t>
      </w:r>
      <w:r w:rsidR="00D47A04">
        <w:t>actions</w:t>
      </w:r>
      <w:r>
        <w:t xml:space="preserve"> are </w:t>
      </w:r>
      <w:r w:rsidRPr="0021378E">
        <w:t>discussed further in Section 4.</w:t>
      </w:r>
      <w:r w:rsidR="00C82C0E">
        <w:t>6</w:t>
      </w:r>
      <w:r w:rsidRPr="0021378E">
        <w:t>.1, as part of the RP’s readiness review.</w:t>
      </w:r>
    </w:p>
    <w:p w14:paraId="4FB51BF4" w14:textId="2C47BFA2" w:rsidR="00C94F61" w:rsidRPr="00153614" w:rsidRDefault="002F5259" w:rsidP="00C558E5">
      <w:pPr>
        <w:pStyle w:val="Heading2"/>
      </w:pPr>
      <w:bookmarkStart w:id="144" w:name="_Toc129081004"/>
      <w:bookmarkStart w:id="145" w:name="_Toc129081811"/>
      <w:r>
        <w:t xml:space="preserve">ONR’s </w:t>
      </w:r>
      <w:r w:rsidR="00F51D00">
        <w:t>Step 2 assessment plans</w:t>
      </w:r>
      <w:bookmarkEnd w:id="144"/>
      <w:bookmarkEnd w:id="145"/>
    </w:p>
    <w:p w14:paraId="71FE4F6E" w14:textId="1A645D83" w:rsidR="00C94F61" w:rsidRDefault="00C94F61">
      <w:pPr>
        <w:pStyle w:val="NumList1"/>
      </w:pPr>
      <w:r>
        <w:t xml:space="preserve">A total of 21 assessment plans have been produced </w:t>
      </w:r>
      <w:r w:rsidR="006B1B9F">
        <w:t xml:space="preserve">by ONR </w:t>
      </w:r>
      <w:r>
        <w:t xml:space="preserve">for </w:t>
      </w:r>
      <w:r w:rsidR="006C3244">
        <w:t>Step</w:t>
      </w:r>
      <w:r>
        <w:t xml:space="preserve"> 2. These cover each of the technical topics that will assess the RP’s submissions, in addition to a project assessment plan that covers matters that need coordination and assessment at a strategic level. All the plans are consistent with our delivery strategy (ref. </w:t>
      </w:r>
      <w:sdt>
        <w:sdtPr>
          <w:id w:val="-473372594"/>
          <w:citation/>
        </w:sdtPr>
        <w:sdtEndPr/>
        <w:sdtContent>
          <w:r>
            <w:fldChar w:fldCharType="begin"/>
          </w:r>
          <w:r w:rsidR="00374937">
            <w:instrText xml:space="preserve">CITATION ONR \l 2057 </w:instrText>
          </w:r>
          <w:r>
            <w:fldChar w:fldCharType="separate"/>
          </w:r>
          <w:r w:rsidR="00AB0D39" w:rsidRPr="00AB0D39">
            <w:t>[8]</w:t>
          </w:r>
          <w:r>
            <w:fldChar w:fldCharType="end"/>
          </w:r>
        </w:sdtContent>
      </w:sdt>
      <w:r>
        <w:t>).</w:t>
      </w:r>
    </w:p>
    <w:p w14:paraId="1F80394E" w14:textId="77777777" w:rsidR="00925DD5" w:rsidRDefault="00925DD5">
      <w:pPr>
        <w:spacing w:after="0" w:line="240" w:lineRule="auto"/>
        <w:rPr>
          <w:rFonts w:asciiTheme="minorHAnsi" w:eastAsiaTheme="minorHAnsi" w:hAnsiTheme="minorHAnsi" w:cstheme="minorBidi"/>
          <w:noProof/>
          <w:lang w:bidi="ar-SA"/>
        </w:rPr>
      </w:pPr>
      <w:r>
        <w:br w:type="page"/>
      </w:r>
    </w:p>
    <w:p w14:paraId="443A2F77" w14:textId="738A6637" w:rsidR="00C94F61" w:rsidRDefault="00C94F61">
      <w:pPr>
        <w:pStyle w:val="NumList1"/>
      </w:pPr>
      <w:r>
        <w:lastRenderedPageBreak/>
        <w:t>Our assessment plans have been informed by:</w:t>
      </w:r>
    </w:p>
    <w:p w14:paraId="073BAF7E" w14:textId="77777777" w:rsidR="00C94F61" w:rsidRDefault="00C94F61" w:rsidP="00925DD5">
      <w:pPr>
        <w:pStyle w:val="Bulletlist2"/>
      </w:pPr>
      <w:r>
        <w:t>The agreed GDA scope;</w:t>
      </w:r>
    </w:p>
    <w:p w14:paraId="17C81E49" w14:textId="3FCD8F95" w:rsidR="00C94F61" w:rsidRDefault="00C94F61" w:rsidP="00925DD5">
      <w:pPr>
        <w:pStyle w:val="Bulletlist2"/>
      </w:pPr>
      <w:r>
        <w:t>Our understanding of the generic design and E3S case; and</w:t>
      </w:r>
    </w:p>
    <w:p w14:paraId="733EA21F" w14:textId="4C0A1880" w:rsidR="00C94F61" w:rsidRDefault="00C94F61" w:rsidP="00925DD5">
      <w:pPr>
        <w:pStyle w:val="Bulletlist2"/>
      </w:pPr>
      <w:r>
        <w:t>Discussions with the RP</w:t>
      </w:r>
      <w:r w:rsidRPr="005B1CAA">
        <w:t xml:space="preserve"> to understand the scope and maturity of submissions planned for </w:t>
      </w:r>
      <w:r w:rsidR="006C3244">
        <w:t>Step</w:t>
      </w:r>
      <w:r w:rsidRPr="005B1CAA">
        <w:t xml:space="preserve"> 2. </w:t>
      </w:r>
    </w:p>
    <w:p w14:paraId="44DE63AA" w14:textId="570D107D" w:rsidR="00C94F61" w:rsidRPr="005B554F" w:rsidRDefault="00C94F61">
      <w:pPr>
        <w:pStyle w:val="NumList1"/>
      </w:pPr>
      <w:r>
        <w:t xml:space="preserve">The submissions we need to undertake our assessments during </w:t>
      </w:r>
      <w:r w:rsidR="006C3244">
        <w:t>Step</w:t>
      </w:r>
      <w:r>
        <w:t xml:space="preserve"> 2 have formed the basis of the RP’s submission schedule (ref. </w:t>
      </w:r>
      <w:sdt>
        <w:sdtPr>
          <w:id w:val="1729878025"/>
          <w:citation/>
        </w:sdtPr>
        <w:sdtEndPr/>
        <w:sdtContent>
          <w:r>
            <w:fldChar w:fldCharType="begin"/>
          </w:r>
          <w:r>
            <w:instrText xml:space="preserve"> CITATION S2SubSchedule \l 2057 </w:instrText>
          </w:r>
          <w:r>
            <w:fldChar w:fldCharType="separate"/>
          </w:r>
          <w:r w:rsidR="00AB0D39" w:rsidRPr="00AB0D39">
            <w:t>[9]</w:t>
          </w:r>
          <w:r>
            <w:fldChar w:fldCharType="end"/>
          </w:r>
        </w:sdtContent>
      </w:sdt>
      <w:r>
        <w:t xml:space="preserve">). In total the RP is currently planning to submit </w:t>
      </w:r>
      <w:r w:rsidR="00AC11E6">
        <w:t xml:space="preserve">more than </w:t>
      </w:r>
      <w:r>
        <w:t xml:space="preserve">500 individual documents during </w:t>
      </w:r>
      <w:r w:rsidR="006C3244">
        <w:t>Step</w:t>
      </w:r>
      <w:r>
        <w:t xml:space="preserve"> 2, but this number will increase due to regulatory questions and interactions.</w:t>
      </w:r>
    </w:p>
    <w:p w14:paraId="22A259E2" w14:textId="77777777" w:rsidR="00C94F61" w:rsidRPr="00153614" w:rsidRDefault="00C94F61" w:rsidP="00C558E5">
      <w:pPr>
        <w:pStyle w:val="Heading2"/>
      </w:pPr>
      <w:bookmarkStart w:id="146" w:name="_Toc129081005"/>
      <w:bookmarkStart w:id="147" w:name="_Toc129081812"/>
      <w:r w:rsidRPr="00153614">
        <w:t>Readiness reviews</w:t>
      </w:r>
      <w:bookmarkEnd w:id="146"/>
      <w:bookmarkEnd w:id="147"/>
    </w:p>
    <w:p w14:paraId="495F06DF" w14:textId="0414E763" w:rsidR="00C94F61" w:rsidRPr="00153614" w:rsidRDefault="00C94F61" w:rsidP="00C558E5">
      <w:pPr>
        <w:pStyle w:val="Heading3"/>
      </w:pPr>
      <w:bookmarkStart w:id="148" w:name="_Toc129081006"/>
      <w:bookmarkStart w:id="149" w:name="_Toc129081813"/>
      <w:r w:rsidRPr="00153614">
        <w:t>Roll</w:t>
      </w:r>
      <w:r w:rsidR="00F51D00">
        <w:t>s-Royce</w:t>
      </w:r>
      <w:r w:rsidRPr="00153614">
        <w:t xml:space="preserve"> SMR L</w:t>
      </w:r>
      <w:r w:rsidR="00F51D00">
        <w:t>imited</w:t>
      </w:r>
      <w:bookmarkEnd w:id="148"/>
      <w:bookmarkEnd w:id="149"/>
    </w:p>
    <w:p w14:paraId="5D9775B2" w14:textId="29B793F9" w:rsidR="00C94F61" w:rsidRDefault="00C94F61">
      <w:pPr>
        <w:pStyle w:val="NumList1"/>
      </w:pPr>
      <w:r>
        <w:t xml:space="preserve">In accordance with requirement [1.30] of </w:t>
      </w:r>
      <w:r w:rsidR="002163EB">
        <w:t>Guidance to Requesting Parties</w:t>
      </w:r>
      <w:r>
        <w:t xml:space="preserve"> (ref. </w:t>
      </w:r>
      <w:sdt>
        <w:sdtPr>
          <w:id w:val="-1772848369"/>
          <w:citation/>
        </w:sdtPr>
        <w:sdtEndPr/>
        <w:sdtContent>
          <w:r>
            <w:fldChar w:fldCharType="begin"/>
          </w:r>
          <w:r>
            <w:instrText xml:space="preserve"> CITATION GtoRPs \l 2057 </w:instrText>
          </w:r>
          <w:r>
            <w:fldChar w:fldCharType="separate"/>
          </w:r>
          <w:r w:rsidR="00AB0D39" w:rsidRPr="00AB0D39">
            <w:t>[1]</w:t>
          </w:r>
          <w:r>
            <w:fldChar w:fldCharType="end"/>
          </w:r>
        </w:sdtContent>
      </w:sdt>
      <w:r>
        <w:t xml:space="preserve">), Rolls-Royce SMR Limited undertook a self-assessment and review of its readiness to proceed to </w:t>
      </w:r>
      <w:r w:rsidR="006C3244">
        <w:t>Step</w:t>
      </w:r>
      <w:r>
        <w:t xml:space="preserve"> 2 of </w:t>
      </w:r>
      <w:r w:rsidR="009A1C5C">
        <w:t xml:space="preserve">the </w:t>
      </w:r>
      <w:r>
        <w:t xml:space="preserve">GDA. The evidence presented to ONR to support the outcomes of this review is spread across three documents: the readiness review report (ref. </w:t>
      </w:r>
      <w:sdt>
        <w:sdtPr>
          <w:id w:val="291176359"/>
          <w:citation/>
        </w:sdtPr>
        <w:sdtEndPr/>
        <w:sdtContent>
          <w:r>
            <w:fldChar w:fldCharType="begin"/>
          </w:r>
          <w:r>
            <w:instrText xml:space="preserve"> CITATION RedReview \l 2057 </w:instrText>
          </w:r>
          <w:r>
            <w:fldChar w:fldCharType="separate"/>
          </w:r>
          <w:r w:rsidR="00AB0D39" w:rsidRPr="00AB0D39">
            <w:t>[42]</w:t>
          </w:r>
          <w:r>
            <w:fldChar w:fldCharType="end"/>
          </w:r>
        </w:sdtContent>
      </w:sdt>
      <w:r>
        <w:t xml:space="preserve">), the gap analysis report (ref. </w:t>
      </w:r>
      <w:sdt>
        <w:sdtPr>
          <w:id w:val="-1246497580"/>
          <w:citation/>
        </w:sdtPr>
        <w:sdtEndPr/>
        <w:sdtContent>
          <w:r>
            <w:fldChar w:fldCharType="begin"/>
          </w:r>
          <w:r>
            <w:instrText xml:space="preserve"> CITATION GapAnalysis \l 2057 </w:instrText>
          </w:r>
          <w:r>
            <w:fldChar w:fldCharType="separate"/>
          </w:r>
          <w:r w:rsidR="00AB0D39" w:rsidRPr="00AB0D39">
            <w:t>[41]</w:t>
          </w:r>
          <w:r>
            <w:fldChar w:fldCharType="end"/>
          </w:r>
        </w:sdtContent>
      </w:sdt>
      <w:r>
        <w:t xml:space="preserve">) and the organisational capability report (ref. </w:t>
      </w:r>
      <w:sdt>
        <w:sdtPr>
          <w:id w:val="-1085228861"/>
          <w:citation/>
        </w:sdtPr>
        <w:sdtEndPr/>
        <w:sdtContent>
          <w:r>
            <w:fldChar w:fldCharType="begin"/>
          </w:r>
          <w:r>
            <w:instrText xml:space="preserve">CITATION OrgCap \l 2057 </w:instrText>
          </w:r>
          <w:r>
            <w:fldChar w:fldCharType="separate"/>
          </w:r>
          <w:r w:rsidR="00AB0D39" w:rsidRPr="00AB0D39">
            <w:t>[43]</w:t>
          </w:r>
          <w:r>
            <w:fldChar w:fldCharType="end"/>
          </w:r>
        </w:sdtContent>
      </w:sdt>
      <w:r>
        <w:t>). Each of these is described individually below.</w:t>
      </w:r>
    </w:p>
    <w:p w14:paraId="168B21F5" w14:textId="4048EF03" w:rsidR="00C94F61" w:rsidRDefault="00C94F61">
      <w:pPr>
        <w:pStyle w:val="NumList1"/>
      </w:pPr>
      <w:r>
        <w:t xml:space="preserve">There is overlap between these three documents, especially regarding the identified improvement actions needed as part of proceeding to </w:t>
      </w:r>
      <w:r w:rsidR="006C3244">
        <w:t>Step</w:t>
      </w:r>
      <w:r>
        <w:t xml:space="preserve"> 2. Therefore we also summarise the overall outcomes from the RP’s readiness review below, alongside our views on it.</w:t>
      </w:r>
    </w:p>
    <w:p w14:paraId="72A263E1" w14:textId="14A7724A" w:rsidR="00C94F61" w:rsidRPr="00153614" w:rsidRDefault="00C94F61" w:rsidP="00160651">
      <w:pPr>
        <w:pStyle w:val="TSNumberedParagraph1"/>
        <w:numPr>
          <w:ilvl w:val="0"/>
          <w:numId w:val="0"/>
        </w:numPr>
        <w:ind w:left="851"/>
        <w:rPr>
          <w:b/>
          <w:bCs/>
        </w:rPr>
      </w:pPr>
      <w:bookmarkStart w:id="150" w:name="_Toc129081007"/>
      <w:bookmarkStart w:id="151" w:name="_Toc129081814"/>
      <w:r w:rsidRPr="00153614">
        <w:rPr>
          <w:b/>
          <w:bCs/>
        </w:rPr>
        <w:t xml:space="preserve">Readiness </w:t>
      </w:r>
      <w:r w:rsidR="00F51D00">
        <w:rPr>
          <w:b/>
          <w:bCs/>
        </w:rPr>
        <w:t>r</w:t>
      </w:r>
      <w:r w:rsidRPr="00153614">
        <w:rPr>
          <w:b/>
          <w:bCs/>
        </w:rPr>
        <w:t xml:space="preserve">eview </w:t>
      </w:r>
      <w:r w:rsidR="00F51D00">
        <w:rPr>
          <w:b/>
          <w:bCs/>
        </w:rPr>
        <w:t>r</w:t>
      </w:r>
      <w:r w:rsidRPr="00153614">
        <w:rPr>
          <w:b/>
          <w:bCs/>
        </w:rPr>
        <w:t>eport</w:t>
      </w:r>
      <w:bookmarkEnd w:id="150"/>
      <w:bookmarkEnd w:id="151"/>
    </w:p>
    <w:p w14:paraId="5ADEB190" w14:textId="63A28FFA" w:rsidR="00C94F61" w:rsidRDefault="00C94F61">
      <w:pPr>
        <w:pStyle w:val="NumList1"/>
      </w:pPr>
      <w:r>
        <w:t xml:space="preserve">The readiness review report (ref. </w:t>
      </w:r>
      <w:sdt>
        <w:sdtPr>
          <w:id w:val="1034622900"/>
          <w:citation/>
        </w:sdtPr>
        <w:sdtEndPr/>
        <w:sdtContent>
          <w:r>
            <w:fldChar w:fldCharType="begin"/>
          </w:r>
          <w:r>
            <w:instrText xml:space="preserve"> CITATION RedReview \l 2057 </w:instrText>
          </w:r>
          <w:r>
            <w:fldChar w:fldCharType="separate"/>
          </w:r>
          <w:r w:rsidR="00AB0D39" w:rsidRPr="00AB0D39">
            <w:t>[42]</w:t>
          </w:r>
          <w:r>
            <w:fldChar w:fldCharType="end"/>
          </w:r>
        </w:sdtContent>
      </w:sdt>
      <w:r>
        <w:t xml:space="preserve">) documents the internal review undertaken by the RP. This was undertaken in early 2023, in advance of the planned entry to </w:t>
      </w:r>
      <w:r w:rsidR="006C3244">
        <w:t>Step</w:t>
      </w:r>
      <w:r>
        <w:t xml:space="preserve"> 2, to allow time for review by the regulators. </w:t>
      </w:r>
    </w:p>
    <w:p w14:paraId="2C4EC0D9" w14:textId="0971513E" w:rsidR="00C94F61" w:rsidRDefault="00C94F61">
      <w:pPr>
        <w:pStyle w:val="NumList1"/>
      </w:pPr>
      <w:r>
        <w:t xml:space="preserve">The approach taken by the RP was to identify a series of expectations and success criteria against which to judge the project. Evidence was collated by the RP against each criteria and judged by its regulatory affairs team. Where gaps in readiness were identified, these were ranked in terms of significance and action plans developed to resolve them. This was also independently assured through the activities of Rolls-Royce SMR Limited’s internal nuclear assurance function. We judge that the process undertaken by the RP </w:t>
      </w:r>
      <w:r w:rsidR="006B5DE2">
        <w:t>wa</w:t>
      </w:r>
      <w:r>
        <w:t>s reasonable, proportionate and sufficiently robust for this step of GDA.</w:t>
      </w:r>
    </w:p>
    <w:p w14:paraId="7E92B432" w14:textId="77777777" w:rsidR="00925DD5" w:rsidRDefault="00925DD5">
      <w:pPr>
        <w:spacing w:after="0" w:line="240" w:lineRule="auto"/>
        <w:rPr>
          <w:rFonts w:asciiTheme="minorHAnsi" w:eastAsiaTheme="minorHAnsi" w:hAnsiTheme="minorHAnsi" w:cstheme="minorBidi"/>
          <w:noProof/>
          <w:lang w:bidi="ar-SA"/>
        </w:rPr>
      </w:pPr>
      <w:r>
        <w:br w:type="page"/>
      </w:r>
    </w:p>
    <w:p w14:paraId="64490F02" w14:textId="1523196A" w:rsidR="00C94F61" w:rsidRPr="0021378E" w:rsidRDefault="00C94F61">
      <w:pPr>
        <w:pStyle w:val="NumList1"/>
      </w:pPr>
      <w:r>
        <w:lastRenderedPageBreak/>
        <w:t xml:space="preserve">The four high level expectations defined by the RP were against project maturity, arrangements to undertake GDA, status of the design and E3S case, and organisational capacity and capability. A number of more detailed expectations sit below each of these. The overall conclusion of the RP’s readiness review is that it considers itself ready to begin </w:t>
      </w:r>
      <w:r w:rsidR="006C3244">
        <w:t>Step</w:t>
      </w:r>
      <w:r>
        <w:t xml:space="preserve"> 2, subject to completion of several improvement actions. The review also confirmed that the RP considered it had met all of the relevant requirements in Appendix 2 of </w:t>
      </w:r>
      <w:r w:rsidR="002163EB">
        <w:t>Guidance to Requesting Parties</w:t>
      </w:r>
      <w:r w:rsidRPr="0021378E">
        <w:t xml:space="preserve"> (ref. </w:t>
      </w:r>
      <w:sdt>
        <w:sdtPr>
          <w:id w:val="-2051447912"/>
          <w:citation/>
        </w:sdtPr>
        <w:sdtEndPr/>
        <w:sdtContent>
          <w:r w:rsidRPr="0021378E">
            <w:fldChar w:fldCharType="begin"/>
          </w:r>
          <w:r w:rsidRPr="0021378E">
            <w:instrText xml:space="preserve"> CITATION GtoRPs \l 2057 </w:instrText>
          </w:r>
          <w:r w:rsidRPr="0021378E">
            <w:fldChar w:fldCharType="separate"/>
          </w:r>
          <w:r w:rsidR="00AB0D39" w:rsidRPr="00AB0D39">
            <w:t>[1]</w:t>
          </w:r>
          <w:r w:rsidRPr="0021378E">
            <w:fldChar w:fldCharType="end"/>
          </w:r>
        </w:sdtContent>
      </w:sdt>
      <w:r w:rsidRPr="0021378E">
        <w:t>), as Table 1.</w:t>
      </w:r>
    </w:p>
    <w:p w14:paraId="61D1B92F" w14:textId="0151B571" w:rsidR="00C94F61" w:rsidRPr="00392E63" w:rsidRDefault="00C94F61">
      <w:pPr>
        <w:pStyle w:val="NumList1"/>
      </w:pPr>
      <w:r w:rsidRPr="00392E63">
        <w:t xml:space="preserve">In our </w:t>
      </w:r>
      <w:r w:rsidR="006B5DE2">
        <w:t>assessment</w:t>
      </w:r>
      <w:r w:rsidR="006B5DE2" w:rsidRPr="00392E63">
        <w:t xml:space="preserve"> </w:t>
      </w:r>
      <w:r w:rsidRPr="00392E63">
        <w:t xml:space="preserve">of the RP’s readiness review we </w:t>
      </w:r>
      <w:r>
        <w:t xml:space="preserve">also </w:t>
      </w:r>
      <w:r w:rsidRPr="00392E63">
        <w:t>sought further information in various areas relating to information management, design maturity and organisational arrangements</w:t>
      </w:r>
      <w:r>
        <w:t xml:space="preserve"> amongst others</w:t>
      </w:r>
      <w:r w:rsidRPr="00392E63">
        <w:t>. The responses provide by the RP were satisfactory.</w:t>
      </w:r>
      <w:r w:rsidRPr="00E50E56">
        <w:t xml:space="preserve"> </w:t>
      </w:r>
      <w:r>
        <w:t xml:space="preserve">The information supplied by the RP confirmed that requirements [1.4] to [1.7], [1.28] and [1.29] </w:t>
      </w:r>
      <w:r w:rsidRPr="000B5F07">
        <w:t xml:space="preserve">from </w:t>
      </w:r>
      <w:r w:rsidR="002163EB">
        <w:t>Guidance to Requesting Parties</w:t>
      </w:r>
      <w:r w:rsidRPr="000B5F07">
        <w:t xml:space="preserve"> (ref. [1])</w:t>
      </w:r>
      <w:r>
        <w:t xml:space="preserve"> had been satisfied.</w:t>
      </w:r>
    </w:p>
    <w:p w14:paraId="45BA2AC6" w14:textId="36AA70DD" w:rsidR="00C94F61" w:rsidRDefault="00C94F61">
      <w:pPr>
        <w:pStyle w:val="NumList1"/>
      </w:pPr>
      <w:r>
        <w:t xml:space="preserve">Overall, we are content that the information provided is sufficient to satisfy requirement [1.30] from </w:t>
      </w:r>
      <w:r w:rsidR="002163EB">
        <w:t>Guidance to Requesting Parties</w:t>
      </w:r>
      <w:r>
        <w:t xml:space="preserve">, for the RP to undertake its own readiness review, albeit it also relies on the gap analysis and organisational capability report outputs. </w:t>
      </w:r>
    </w:p>
    <w:p w14:paraId="1207BA96" w14:textId="6C24FC28" w:rsidR="00C94F61" w:rsidRPr="00153614" w:rsidRDefault="00C94F61" w:rsidP="00160651">
      <w:pPr>
        <w:pStyle w:val="TSNumberedParagraph1"/>
        <w:numPr>
          <w:ilvl w:val="0"/>
          <w:numId w:val="0"/>
        </w:numPr>
        <w:ind w:left="851"/>
        <w:rPr>
          <w:b/>
          <w:bCs/>
        </w:rPr>
      </w:pPr>
      <w:bookmarkStart w:id="152" w:name="_Toc129081008"/>
      <w:bookmarkStart w:id="153" w:name="_Toc129081815"/>
      <w:r w:rsidRPr="00153614">
        <w:rPr>
          <w:b/>
          <w:bCs/>
        </w:rPr>
        <w:t xml:space="preserve">Gap </w:t>
      </w:r>
      <w:r w:rsidR="00F51D00">
        <w:rPr>
          <w:b/>
          <w:bCs/>
        </w:rPr>
        <w:t>a</w:t>
      </w:r>
      <w:r w:rsidRPr="00153614">
        <w:rPr>
          <w:b/>
          <w:bCs/>
        </w:rPr>
        <w:t>nalysis</w:t>
      </w:r>
      <w:bookmarkEnd w:id="152"/>
      <w:r w:rsidR="00F51D00">
        <w:rPr>
          <w:b/>
          <w:bCs/>
        </w:rPr>
        <w:t xml:space="preserve"> report</w:t>
      </w:r>
      <w:bookmarkEnd w:id="153"/>
    </w:p>
    <w:p w14:paraId="4D8DB900" w14:textId="708A0E89" w:rsidR="00C94F61" w:rsidRDefault="00C94F61">
      <w:pPr>
        <w:pStyle w:val="NumList1"/>
      </w:pPr>
      <w:bookmarkStart w:id="154" w:name="_Hlk128551905"/>
      <w:r>
        <w:t xml:space="preserve">The RP’s gap analysis report (ref. </w:t>
      </w:r>
      <w:sdt>
        <w:sdtPr>
          <w:id w:val="-436603560"/>
          <w:citation/>
        </w:sdtPr>
        <w:sdtEndPr/>
        <w:sdtContent>
          <w:r>
            <w:fldChar w:fldCharType="begin"/>
          </w:r>
          <w:r>
            <w:instrText xml:space="preserve"> CITATION GapAnalysis \l 2057 </w:instrText>
          </w:r>
          <w:r>
            <w:fldChar w:fldCharType="separate"/>
          </w:r>
          <w:r w:rsidR="00AB0D39" w:rsidRPr="00AB0D39">
            <w:t>[41]</w:t>
          </w:r>
          <w:r>
            <w:fldChar w:fldCharType="end"/>
          </w:r>
        </w:sdtContent>
      </w:sdt>
      <w:r>
        <w:t xml:space="preserve">) identifies gaps that </w:t>
      </w:r>
      <w:r w:rsidRPr="007F2CD9">
        <w:t xml:space="preserve">cover </w:t>
      </w:r>
      <w:r>
        <w:t xml:space="preserve">aspects relating to </w:t>
      </w:r>
      <w:r w:rsidRPr="007F2CD9">
        <w:t xml:space="preserve">change control, DRP, intelligent customer arrangements, knowledge management and </w:t>
      </w:r>
      <w:r>
        <w:t xml:space="preserve">the </w:t>
      </w:r>
      <w:r w:rsidRPr="007F2CD9">
        <w:t xml:space="preserve">impacts </w:t>
      </w:r>
      <w:r>
        <w:t xml:space="preserve">of </w:t>
      </w:r>
      <w:r w:rsidRPr="007F2CD9">
        <w:t xml:space="preserve">design maturity on several safety analysis </w:t>
      </w:r>
      <w:r>
        <w:t xml:space="preserve">technical </w:t>
      </w:r>
      <w:r w:rsidRPr="007F2CD9">
        <w:t xml:space="preserve">topics. </w:t>
      </w:r>
    </w:p>
    <w:p w14:paraId="50FF0ACB" w14:textId="1EC608E0" w:rsidR="00C94F61" w:rsidRPr="007F2CD9" w:rsidRDefault="00C94F61">
      <w:pPr>
        <w:pStyle w:val="NumList1"/>
      </w:pPr>
      <w:r w:rsidRPr="007F2CD9">
        <w:t xml:space="preserve">The first four of these </w:t>
      </w:r>
      <w:r>
        <w:t xml:space="preserve">aspects </w:t>
      </w:r>
      <w:r w:rsidRPr="007F2CD9">
        <w:t xml:space="preserve">are consistent with the findings from ONR’s </w:t>
      </w:r>
      <w:r w:rsidRPr="0021378E">
        <w:t xml:space="preserve">activities during </w:t>
      </w:r>
      <w:r w:rsidR="006C3244">
        <w:t>Step</w:t>
      </w:r>
      <w:r w:rsidRPr="0021378E">
        <w:t xml:space="preserve"> 1, as discussed in Sections 4.1 and 4.4. The resolution for each of these gaps is captured in the actions described below. We are</w:t>
      </w:r>
      <w:r w:rsidRPr="007F2CD9">
        <w:t xml:space="preserve"> content with the on-going activities to resolve these and will </w:t>
      </w:r>
      <w:r>
        <w:t>hold the RP to account for delivery of these</w:t>
      </w:r>
      <w:r w:rsidRPr="007F2CD9">
        <w:t xml:space="preserve"> during </w:t>
      </w:r>
      <w:r w:rsidR="006C3244">
        <w:t>Step</w:t>
      </w:r>
      <w:r w:rsidRPr="007F2CD9">
        <w:t xml:space="preserve"> 2</w:t>
      </w:r>
      <w:r>
        <w:t xml:space="preserve"> as part of normal business</w:t>
      </w:r>
      <w:r w:rsidRPr="007F2CD9">
        <w:t>.</w:t>
      </w:r>
    </w:p>
    <w:p w14:paraId="634DE6C2" w14:textId="77777777" w:rsidR="00C94F61" w:rsidRDefault="00C94F61">
      <w:pPr>
        <w:pStyle w:val="NumList1"/>
      </w:pPr>
      <w:r>
        <w:t xml:space="preserve">The remaining gaps, covering the impacts of design maturity on safety analysis technical topics, are considered further as part of the RP’s organisational capability review, in particular how these may be resolved. </w:t>
      </w:r>
    </w:p>
    <w:p w14:paraId="3E9A9896" w14:textId="5C9E411C" w:rsidR="00C94F61" w:rsidRPr="00153614" w:rsidRDefault="00C94F61" w:rsidP="00160651">
      <w:pPr>
        <w:pStyle w:val="TSNumberedParagraph1"/>
        <w:numPr>
          <w:ilvl w:val="0"/>
          <w:numId w:val="0"/>
        </w:numPr>
        <w:ind w:left="851"/>
        <w:rPr>
          <w:b/>
          <w:bCs/>
        </w:rPr>
      </w:pPr>
      <w:bookmarkStart w:id="155" w:name="_Toc129081009"/>
      <w:bookmarkStart w:id="156" w:name="_Toc129081816"/>
      <w:bookmarkEnd w:id="154"/>
      <w:r w:rsidRPr="00153614">
        <w:rPr>
          <w:b/>
          <w:bCs/>
        </w:rPr>
        <w:t xml:space="preserve">Organisational </w:t>
      </w:r>
      <w:r w:rsidR="00F51D00">
        <w:rPr>
          <w:b/>
          <w:bCs/>
        </w:rPr>
        <w:t>c</w:t>
      </w:r>
      <w:r w:rsidRPr="00153614">
        <w:rPr>
          <w:b/>
          <w:bCs/>
        </w:rPr>
        <w:t>apability report</w:t>
      </w:r>
      <w:bookmarkEnd w:id="155"/>
      <w:bookmarkEnd w:id="156"/>
    </w:p>
    <w:p w14:paraId="4BDC92D9" w14:textId="16E38F75" w:rsidR="00C94F61" w:rsidRDefault="00C94F61">
      <w:pPr>
        <w:pStyle w:val="NumList1"/>
      </w:pPr>
      <w:r>
        <w:t xml:space="preserve">The Rolls-Royce SMR Organisational </w:t>
      </w:r>
      <w:r w:rsidR="003E32F5">
        <w:t>c</w:t>
      </w:r>
      <w:r>
        <w:t xml:space="preserve">apability report (ref. </w:t>
      </w:r>
      <w:sdt>
        <w:sdtPr>
          <w:id w:val="-71817885"/>
          <w:citation/>
        </w:sdtPr>
        <w:sdtEndPr/>
        <w:sdtContent>
          <w:r>
            <w:fldChar w:fldCharType="begin"/>
          </w:r>
          <w:r>
            <w:instrText xml:space="preserve"> CITATION OrgCap \l 2057 </w:instrText>
          </w:r>
          <w:r>
            <w:fldChar w:fldCharType="separate"/>
          </w:r>
          <w:r w:rsidR="00AB0D39" w:rsidRPr="00AB0D39">
            <w:t>[43]</w:t>
          </w:r>
          <w:r>
            <w:fldChar w:fldCharType="end"/>
          </w:r>
        </w:sdtContent>
      </w:sdt>
      <w:r>
        <w:t xml:space="preserve">) describes the results of audits and internal reviews (pertinent to organisational capability) that compare the capability within Rolls-Royce SMR Limited with that considered necessary to mature the generic design, develop the E3S case and support GDA </w:t>
      </w:r>
      <w:r w:rsidR="006C3244">
        <w:t>Step</w:t>
      </w:r>
      <w:r>
        <w:t xml:space="preserve"> 2. The report also touches upon wider considerations pertinent to </w:t>
      </w:r>
      <w:r w:rsidR="004A180B">
        <w:t xml:space="preserve">the </w:t>
      </w:r>
      <w:r>
        <w:t xml:space="preserve">capability of the RP, such as organisational structures, competency assessments and succession planning. The review is compared against the RP’s extant baseline programme for </w:t>
      </w:r>
      <w:r w:rsidR="006C3244">
        <w:t>Step</w:t>
      </w:r>
      <w:r>
        <w:t xml:space="preserve"> 2, which includes the agreed GDA scope and submission schedule.</w:t>
      </w:r>
    </w:p>
    <w:p w14:paraId="67FA7F4C" w14:textId="77777777" w:rsidR="00C94F61" w:rsidRDefault="00C94F61">
      <w:pPr>
        <w:pStyle w:val="NumList1"/>
      </w:pPr>
      <w:r>
        <w:lastRenderedPageBreak/>
        <w:t>A number of improvement actions are identified by the RP. Again, these are described below.</w:t>
      </w:r>
    </w:p>
    <w:p w14:paraId="0FF2791A" w14:textId="387688D6" w:rsidR="00C94F61" w:rsidRPr="00153614" w:rsidRDefault="00C94F61" w:rsidP="00160651">
      <w:pPr>
        <w:pStyle w:val="TSNumberedParagraph1"/>
        <w:numPr>
          <w:ilvl w:val="0"/>
          <w:numId w:val="0"/>
        </w:numPr>
        <w:ind w:left="851"/>
        <w:rPr>
          <w:b/>
          <w:bCs/>
        </w:rPr>
      </w:pPr>
      <w:bookmarkStart w:id="157" w:name="_Toc129081010"/>
      <w:bookmarkStart w:id="158" w:name="_Toc129081817"/>
      <w:r w:rsidRPr="00153614">
        <w:rPr>
          <w:b/>
          <w:bCs/>
        </w:rPr>
        <w:t xml:space="preserve">Readiness </w:t>
      </w:r>
      <w:r w:rsidR="00F51D00">
        <w:rPr>
          <w:b/>
          <w:bCs/>
        </w:rPr>
        <w:t>r</w:t>
      </w:r>
      <w:r w:rsidRPr="00153614">
        <w:rPr>
          <w:b/>
          <w:bCs/>
        </w:rPr>
        <w:t xml:space="preserve">eview </w:t>
      </w:r>
      <w:r w:rsidR="00F51D00">
        <w:rPr>
          <w:b/>
          <w:bCs/>
        </w:rPr>
        <w:t>o</w:t>
      </w:r>
      <w:r w:rsidRPr="00153614">
        <w:rPr>
          <w:b/>
          <w:bCs/>
        </w:rPr>
        <w:t>utcomes</w:t>
      </w:r>
      <w:bookmarkEnd w:id="157"/>
      <w:bookmarkEnd w:id="158"/>
    </w:p>
    <w:p w14:paraId="641CA2E6" w14:textId="50A89B73" w:rsidR="00C94F61" w:rsidRDefault="00C94F61">
      <w:pPr>
        <w:pStyle w:val="NumList1"/>
      </w:pPr>
      <w:r>
        <w:t xml:space="preserve">The </w:t>
      </w:r>
      <w:r w:rsidR="00E2155C">
        <w:t xml:space="preserve">RP’s </w:t>
      </w:r>
      <w:r>
        <w:t xml:space="preserve">overall conclusion from </w:t>
      </w:r>
      <w:r w:rsidR="00E2155C">
        <w:t>its</w:t>
      </w:r>
      <w:r>
        <w:t xml:space="preserve"> readiness review, when considering all </w:t>
      </w:r>
      <w:r w:rsidR="006B5DE2">
        <w:t>three</w:t>
      </w:r>
      <w:r>
        <w:t xml:space="preserve"> reports holistically, is that it is ready to proceed to </w:t>
      </w:r>
      <w:r w:rsidR="006C3244">
        <w:t>Step</w:t>
      </w:r>
      <w:r>
        <w:t xml:space="preserve"> 2 of GDA and has satisfactorily completed all the requirements for </w:t>
      </w:r>
      <w:r w:rsidR="006C3244">
        <w:t>Step</w:t>
      </w:r>
      <w:r>
        <w:t xml:space="preserve"> 1.</w:t>
      </w:r>
    </w:p>
    <w:p w14:paraId="39A24432" w14:textId="6F607C5E" w:rsidR="00C94F61" w:rsidRDefault="00C94F61">
      <w:pPr>
        <w:pStyle w:val="NumList1"/>
      </w:pPr>
      <w:r>
        <w:t xml:space="preserve">In total the RP identified 57 individual actions across the </w:t>
      </w:r>
      <w:r w:rsidR="006B5DE2">
        <w:t xml:space="preserve">three </w:t>
      </w:r>
      <w:r>
        <w:t>reports that contribute to its readiness review. However, when rationalised, the number of actions is lower as:</w:t>
      </w:r>
    </w:p>
    <w:p w14:paraId="211F088F" w14:textId="77777777" w:rsidR="00C94F61" w:rsidRDefault="00C94F61" w:rsidP="00925DD5">
      <w:pPr>
        <w:pStyle w:val="Bulletlist2"/>
      </w:pPr>
      <w:r>
        <w:t>There is overlap between the actions described in each of the reports;</w:t>
      </w:r>
    </w:p>
    <w:p w14:paraId="3E9819FC" w14:textId="63900A12" w:rsidR="00C94F61" w:rsidRDefault="00C94F61" w:rsidP="00925DD5">
      <w:pPr>
        <w:pStyle w:val="Bulletlist2"/>
      </w:pPr>
      <w:r>
        <w:t xml:space="preserve">Several have subsequently been completed, or sufficiently progressed to be considered resolved for the purpose of </w:t>
      </w:r>
      <w:r w:rsidR="006C3244">
        <w:t>Step</w:t>
      </w:r>
      <w:r>
        <w:t xml:space="preserve"> 1; and</w:t>
      </w:r>
    </w:p>
    <w:p w14:paraId="6C29AFB0" w14:textId="27DF5258" w:rsidR="00C94F61" w:rsidRDefault="00C94F61" w:rsidP="00925DD5">
      <w:pPr>
        <w:pStyle w:val="Bulletlist2"/>
      </w:pPr>
      <w:r>
        <w:t xml:space="preserve">Some are not considered necessary to proceed to </w:t>
      </w:r>
      <w:r w:rsidR="006C3244">
        <w:t>Step</w:t>
      </w:r>
      <w:r>
        <w:t xml:space="preserve"> 2, but are improvements recognised by the RP that it intends to implement.</w:t>
      </w:r>
    </w:p>
    <w:p w14:paraId="1B545E15" w14:textId="55457B98" w:rsidR="005C70FB" w:rsidRDefault="00C94F61">
      <w:pPr>
        <w:pStyle w:val="NumList1"/>
      </w:pPr>
      <w:r>
        <w:t xml:space="preserve">Therefore, the RP identified 49 individual improvement actions as the outcome from its readiness review process (ref. </w:t>
      </w:r>
      <w:sdt>
        <w:sdtPr>
          <w:id w:val="374901569"/>
          <w:citation/>
        </w:sdtPr>
        <w:sdtEndPr/>
        <w:sdtContent>
          <w:r>
            <w:fldChar w:fldCharType="begin"/>
          </w:r>
          <w:r w:rsidR="00717A83">
            <w:instrText xml:space="preserve">CITATION RRActions \l 2057 </w:instrText>
          </w:r>
          <w:r>
            <w:fldChar w:fldCharType="separate"/>
          </w:r>
          <w:r w:rsidR="00AB0D39" w:rsidRPr="00AB0D39">
            <w:t>[44]</w:t>
          </w:r>
          <w:r>
            <w:fldChar w:fldCharType="end"/>
          </w:r>
        </w:sdtContent>
      </w:sdt>
      <w:r>
        <w:t xml:space="preserve">). </w:t>
      </w:r>
      <w:r w:rsidR="005C70FB">
        <w:t>We are content that the self-identified actions accurately reflect the outcomes from the RP’s readiness review.</w:t>
      </w:r>
    </w:p>
    <w:p w14:paraId="1645D64C" w14:textId="04A6326B" w:rsidR="00C94F61" w:rsidRDefault="0035762F">
      <w:pPr>
        <w:pStyle w:val="NumList1"/>
      </w:pPr>
      <w:r>
        <w:t>Seven</w:t>
      </w:r>
      <w:r w:rsidR="003372A8">
        <w:t xml:space="preserve"> </w:t>
      </w:r>
      <w:r w:rsidR="00C94F61">
        <w:t xml:space="preserve">of these are considered pre-requisites for entry to </w:t>
      </w:r>
      <w:r w:rsidR="006C3244">
        <w:t>Step</w:t>
      </w:r>
      <w:r w:rsidR="00C94F61">
        <w:t xml:space="preserve"> 2 by the RP, with the remainder representing enablers needed at appropriate points during </w:t>
      </w:r>
      <w:r w:rsidR="006C3244">
        <w:t>Step</w:t>
      </w:r>
      <w:r w:rsidR="00C94F61">
        <w:t xml:space="preserve"> 2.</w:t>
      </w:r>
      <w:r w:rsidR="00F859AC" w:rsidRPr="00F859AC">
        <w:t xml:space="preserve"> The RP </w:t>
      </w:r>
      <w:r w:rsidR="00221AC1">
        <w:t xml:space="preserve">subsequently </w:t>
      </w:r>
      <w:r w:rsidR="00F859AC" w:rsidRPr="00F859AC">
        <w:t>confirmed that it has resolved the seven</w:t>
      </w:r>
      <w:r w:rsidR="00221AC1">
        <w:t xml:space="preserve"> </w:t>
      </w:r>
      <w:r w:rsidR="00F859AC" w:rsidRPr="00F859AC">
        <w:t>actions</w:t>
      </w:r>
      <w:r w:rsidR="00221AC1">
        <w:t xml:space="preserve"> needed for </w:t>
      </w:r>
      <w:r w:rsidR="0095124B">
        <w:t>entry to Step 2</w:t>
      </w:r>
      <w:r w:rsidR="00F859AC" w:rsidRPr="00F859AC">
        <w:t>.</w:t>
      </w:r>
    </w:p>
    <w:p w14:paraId="103ACFB2" w14:textId="38CCC51A" w:rsidR="00C94F61" w:rsidRDefault="00C94F61">
      <w:pPr>
        <w:pStyle w:val="NumList1"/>
      </w:pPr>
      <w:r>
        <w:t>The actions are recorded in the RP’s action tracker, which we judge to offer a suitable means to manage these outcomes. We will review progress and hold the RP to account on delivery of these as appropriate.</w:t>
      </w:r>
    </w:p>
    <w:p w14:paraId="27F95465" w14:textId="77777777" w:rsidR="00925DD5" w:rsidRDefault="00925DD5">
      <w:pPr>
        <w:spacing w:after="0" w:line="240" w:lineRule="auto"/>
        <w:rPr>
          <w:rFonts w:asciiTheme="minorHAnsi" w:eastAsiaTheme="minorHAnsi" w:hAnsiTheme="minorHAnsi" w:cstheme="minorBidi"/>
          <w:noProof/>
          <w:lang w:bidi="ar-SA"/>
        </w:rPr>
      </w:pPr>
      <w:r>
        <w:br w:type="page"/>
      </w:r>
    </w:p>
    <w:p w14:paraId="68F35104" w14:textId="3E0D86CE" w:rsidR="00C94F61" w:rsidRDefault="00C94F61">
      <w:pPr>
        <w:pStyle w:val="NumList1"/>
      </w:pPr>
      <w:r>
        <w:lastRenderedPageBreak/>
        <w:t>It is notable that a large proportion of the actions relate to the gap</w:t>
      </w:r>
      <w:r w:rsidR="003B3C0D">
        <w:t>s</w:t>
      </w:r>
      <w:r>
        <w:t xml:space="preserve"> identified (ref. </w:t>
      </w:r>
      <w:sdt>
        <w:sdtPr>
          <w:id w:val="-21717543"/>
          <w:citation/>
        </w:sdtPr>
        <w:sdtEndPr/>
        <w:sdtContent>
          <w:r>
            <w:fldChar w:fldCharType="begin"/>
          </w:r>
          <w:r>
            <w:instrText xml:space="preserve"> CITATION GapAnalysis \l 2057 </w:instrText>
          </w:r>
          <w:r>
            <w:fldChar w:fldCharType="separate"/>
          </w:r>
          <w:r w:rsidR="00AB0D39" w:rsidRPr="00AB0D39">
            <w:t>[41]</w:t>
          </w:r>
          <w:r>
            <w:fldChar w:fldCharType="end"/>
          </w:r>
        </w:sdtContent>
      </w:sdt>
      <w:r>
        <w:t xml:space="preserve">) </w:t>
      </w:r>
      <w:r w:rsidR="003B3C0D">
        <w:t>associated with</w:t>
      </w:r>
      <w:r>
        <w:t xml:space="preserve"> the impacts of design maturity on </w:t>
      </w:r>
      <w:r w:rsidR="00D8691A">
        <w:t xml:space="preserve">the </w:t>
      </w:r>
      <w:r>
        <w:t xml:space="preserve">safety analysis technical topics. The root cause is difficulty in aligning design maturity, progress with the underlying analysis needed to substantiate the design, and submissions which provide for a meaningful regulatory assessment during </w:t>
      </w:r>
      <w:r w:rsidR="006C3244">
        <w:t>Step</w:t>
      </w:r>
      <w:r>
        <w:t xml:space="preserve"> 2. In practice this is a programme </w:t>
      </w:r>
      <w:r w:rsidR="00E70231">
        <w:t xml:space="preserve">risk </w:t>
      </w:r>
      <w:r>
        <w:t xml:space="preserve">that requires iterations of the design process, and ultimately time and </w:t>
      </w:r>
      <w:r w:rsidR="00F522E4">
        <w:t>suitable</w:t>
      </w:r>
      <w:r>
        <w:t xml:space="preserve"> resource to deliver it. This has therefore manifested itself in several broad aspects relating to:</w:t>
      </w:r>
    </w:p>
    <w:p w14:paraId="5978066E" w14:textId="27DD8171" w:rsidR="00C94F61" w:rsidRDefault="00C94F61" w:rsidP="00925DD5">
      <w:pPr>
        <w:pStyle w:val="Bulletlist2"/>
      </w:pPr>
      <w:r>
        <w:t>Capacity and capability in the RP to deliver these technical topics, including intelligent customer and effective leadership aspects</w:t>
      </w:r>
      <w:r w:rsidR="0035762F">
        <w:t>;</w:t>
      </w:r>
    </w:p>
    <w:p w14:paraId="6C9B8D17" w14:textId="77BB8751" w:rsidR="00C94F61" w:rsidRDefault="00C94F61" w:rsidP="00925DD5">
      <w:pPr>
        <w:pStyle w:val="Bulletlist2"/>
      </w:pPr>
      <w:r>
        <w:t xml:space="preserve">The ability of the analysis to influence the design and E3S </w:t>
      </w:r>
      <w:r w:rsidR="003B6DFA">
        <w:t xml:space="preserve">case </w:t>
      </w:r>
      <w:r>
        <w:t>development, risk inform</w:t>
      </w:r>
      <w:r w:rsidR="007A4706">
        <w:t>ed</w:t>
      </w:r>
      <w:r>
        <w:t xml:space="preserve"> decision making and support ALARP justifications</w:t>
      </w:r>
      <w:r w:rsidR="0035762F">
        <w:t>; and</w:t>
      </w:r>
    </w:p>
    <w:p w14:paraId="2680911C" w14:textId="77777777" w:rsidR="00C94F61" w:rsidRDefault="00C94F61" w:rsidP="00925DD5">
      <w:pPr>
        <w:pStyle w:val="Bulletlist2"/>
      </w:pPr>
      <w:r>
        <w:t>The scope of analysis and design maturity expected for the remainder of GDA and the programme to produce this in timescales compatible with the regulators undertaking a meaningful assessment.</w:t>
      </w:r>
    </w:p>
    <w:p w14:paraId="2D4BAC6D" w14:textId="14235985" w:rsidR="00C94F61" w:rsidRDefault="00C94F61">
      <w:pPr>
        <w:pStyle w:val="NumList1"/>
      </w:pPr>
      <w:r>
        <w:t xml:space="preserve">The organisational capability report (ref. </w:t>
      </w:r>
      <w:sdt>
        <w:sdtPr>
          <w:id w:val="-1274780704"/>
          <w:citation/>
        </w:sdtPr>
        <w:sdtEndPr/>
        <w:sdtContent>
          <w:r>
            <w:fldChar w:fldCharType="begin"/>
          </w:r>
          <w:r>
            <w:instrText xml:space="preserve"> CITATION OrgCap \l 2057 </w:instrText>
          </w:r>
          <w:r>
            <w:fldChar w:fldCharType="separate"/>
          </w:r>
          <w:r w:rsidR="00AB0D39" w:rsidRPr="00AB0D39">
            <w:t>[43]</w:t>
          </w:r>
          <w:r>
            <w:fldChar w:fldCharType="end"/>
          </w:r>
        </w:sdtContent>
      </w:sdt>
      <w:r>
        <w:t xml:space="preserve">) identifies that to resolve the first of these, it will be necessary to supplement its resources for PSA, severe accidents, internal hazards and external hazards. In addition, it will strengthen its E3S case and engineering interface teams. This will be through a mixture of direct recruitment and technical support, as well as changes to processes and organisation. We consider these actions to be credible to address the identified gaps. </w:t>
      </w:r>
    </w:p>
    <w:p w14:paraId="4B228F7D" w14:textId="14F39069" w:rsidR="00C94F61" w:rsidRDefault="00C94F61">
      <w:pPr>
        <w:pStyle w:val="NumList1"/>
      </w:pPr>
      <w:r>
        <w:t xml:space="preserve">A combined response to the second and third points will be provided in strategy documents that will be submitted early in </w:t>
      </w:r>
      <w:r w:rsidR="006C3244">
        <w:t>Step</w:t>
      </w:r>
      <w:r>
        <w:t xml:space="preserve"> 2 for PSA, severe accidents, and internal hazards. These are captured within the delivery schedule (ref. </w:t>
      </w:r>
      <w:sdt>
        <w:sdtPr>
          <w:id w:val="-1103339669"/>
          <w:citation/>
        </w:sdtPr>
        <w:sdtEndPr/>
        <w:sdtContent>
          <w:r>
            <w:fldChar w:fldCharType="begin"/>
          </w:r>
          <w:r>
            <w:instrText xml:space="preserve"> CITATION S2SubSchedule \l 2057 </w:instrText>
          </w:r>
          <w:r>
            <w:fldChar w:fldCharType="separate"/>
          </w:r>
          <w:r w:rsidR="00AB0D39" w:rsidRPr="00AB0D39">
            <w:t>[9]</w:t>
          </w:r>
          <w:r>
            <w:fldChar w:fldCharType="end"/>
          </w:r>
        </w:sdtContent>
      </w:sdt>
      <w:r>
        <w:t xml:space="preserve">). We consider it important that these documents address the difficulties and provide realistic solutions. We judge these plans credible and will assess the detailed responses upon receipt in addition to continuing to engage with the RP on these gaps in the interim. </w:t>
      </w:r>
    </w:p>
    <w:p w14:paraId="07E7899A" w14:textId="6FC38623" w:rsidR="00C94F61" w:rsidRDefault="00C94F61">
      <w:pPr>
        <w:pStyle w:val="NumList1"/>
      </w:pPr>
      <w:r>
        <w:t xml:space="preserve">We will monitor the impact of these improvements on the above points as normal business during </w:t>
      </w:r>
      <w:r w:rsidR="006C3244">
        <w:t>Step</w:t>
      </w:r>
      <w:r>
        <w:t xml:space="preserve"> 2.</w:t>
      </w:r>
    </w:p>
    <w:p w14:paraId="58968E98" w14:textId="3AFDEEF1" w:rsidR="00C94F61" w:rsidRDefault="00C94F61">
      <w:pPr>
        <w:pStyle w:val="NumList1"/>
      </w:pPr>
      <w:r>
        <w:t>We consider it significant and positive that the RP has recognised that these are gaps that need to be resolved and has declared plans with specific credible actions to do so.</w:t>
      </w:r>
    </w:p>
    <w:p w14:paraId="22E93928" w14:textId="1AE4FB2D" w:rsidR="00C94F61" w:rsidRDefault="00C94F61">
      <w:pPr>
        <w:pStyle w:val="NumList1"/>
      </w:pPr>
      <w:r>
        <w:t xml:space="preserve">On this basis we are content that these gaps do not preclude progression to </w:t>
      </w:r>
      <w:r w:rsidR="006C3244">
        <w:t>Step</w:t>
      </w:r>
      <w:r>
        <w:t xml:space="preserve"> 2. However, they do represent risks that will need to be managed for the remainder of the GDA. We expect that they will also need to be revisited by the RP as part of any readiness review for progression to </w:t>
      </w:r>
      <w:r w:rsidR="006C3244">
        <w:t>Step</w:t>
      </w:r>
      <w:r>
        <w:t xml:space="preserve"> 3 of the GDA.</w:t>
      </w:r>
    </w:p>
    <w:p w14:paraId="6842887F" w14:textId="77777777" w:rsidR="00C94F61" w:rsidRPr="00153614" w:rsidRDefault="00C94F61" w:rsidP="00C558E5">
      <w:pPr>
        <w:pStyle w:val="Heading3"/>
      </w:pPr>
      <w:bookmarkStart w:id="159" w:name="_Toc129081011"/>
      <w:bookmarkStart w:id="160" w:name="_Toc129081818"/>
      <w:r w:rsidRPr="00153614">
        <w:lastRenderedPageBreak/>
        <w:t>ONR</w:t>
      </w:r>
      <w:bookmarkEnd w:id="159"/>
      <w:bookmarkEnd w:id="160"/>
    </w:p>
    <w:p w14:paraId="5B7B6F97" w14:textId="019484AF" w:rsidR="00C94F61" w:rsidRDefault="00C94F61">
      <w:pPr>
        <w:pStyle w:val="NumList1"/>
      </w:pPr>
      <w:r>
        <w:t xml:space="preserve">In line with the requirements of </w:t>
      </w:r>
      <w:r w:rsidR="002163EB">
        <w:t>Guidance to Requesting Parties</w:t>
      </w:r>
      <w:r>
        <w:t xml:space="preserve"> (ref. </w:t>
      </w:r>
      <w:sdt>
        <w:sdtPr>
          <w:id w:val="-1988235644"/>
          <w:citation/>
        </w:sdtPr>
        <w:sdtEndPr/>
        <w:sdtContent>
          <w:r>
            <w:fldChar w:fldCharType="begin"/>
          </w:r>
          <w:r>
            <w:instrText xml:space="preserve"> CITATION GtoRPs \l 2057 </w:instrText>
          </w:r>
          <w:r>
            <w:fldChar w:fldCharType="separate"/>
          </w:r>
          <w:r w:rsidR="00AB0D39" w:rsidRPr="00AB0D39">
            <w:t>[1]</w:t>
          </w:r>
          <w:r>
            <w:fldChar w:fldCharType="end"/>
          </w:r>
        </w:sdtContent>
      </w:sdt>
      <w:r>
        <w:t xml:space="preserve">), ONR undertook a review of our own readiness to progress to </w:t>
      </w:r>
      <w:r w:rsidR="006C3244">
        <w:t>Step</w:t>
      </w:r>
      <w:r>
        <w:t xml:space="preserve"> 2</w:t>
      </w:r>
      <w:r w:rsidR="00420ACB">
        <w:t xml:space="preserve"> (ref. </w:t>
      </w:r>
      <w:sdt>
        <w:sdtPr>
          <w:id w:val="412663876"/>
          <w:citation/>
        </w:sdtPr>
        <w:sdtEndPr/>
        <w:sdtContent>
          <w:r w:rsidR="008624B8">
            <w:fldChar w:fldCharType="begin"/>
          </w:r>
          <w:r w:rsidR="008624B8">
            <w:instrText xml:space="preserve"> CITATION ERRM \l 2057 </w:instrText>
          </w:r>
          <w:r w:rsidR="008624B8">
            <w:fldChar w:fldCharType="separate"/>
          </w:r>
          <w:r w:rsidR="00AB0D39" w:rsidRPr="00AB0D39">
            <w:t>[45]</w:t>
          </w:r>
          <w:r w:rsidR="008624B8">
            <w:fldChar w:fldCharType="end"/>
          </w:r>
        </w:sdtContent>
      </w:sdt>
      <w:r w:rsidR="00420ACB">
        <w:t>)</w:t>
      </w:r>
      <w:r>
        <w:t>. In addition to considering the outcomes from the RP’s readiness review, we also confirmed that we:</w:t>
      </w:r>
    </w:p>
    <w:p w14:paraId="2974CC93" w14:textId="2531E52E" w:rsidR="00C94F61" w:rsidRPr="0021378E" w:rsidRDefault="00C94F61" w:rsidP="00925DD5">
      <w:pPr>
        <w:pStyle w:val="Bulletlist2"/>
      </w:pPr>
      <w:r>
        <w:t xml:space="preserve">Agree that the RP has met requirements [1.1] to [1.30] of </w:t>
      </w:r>
      <w:r w:rsidR="002163EB">
        <w:t>Guidance to Requesting Parties</w:t>
      </w:r>
      <w:r w:rsidRPr="0021378E">
        <w:t>, as Table 1, as described in this report;</w:t>
      </w:r>
    </w:p>
    <w:p w14:paraId="00D8D948" w14:textId="4241A29B" w:rsidR="00C94F61" w:rsidRDefault="00C94F61" w:rsidP="00925DD5">
      <w:pPr>
        <w:pStyle w:val="Bulletlist2"/>
      </w:pPr>
      <w:r>
        <w:t xml:space="preserve">Agree that the RP has resolved the </w:t>
      </w:r>
      <w:r w:rsidR="0035762F">
        <w:t>seven</w:t>
      </w:r>
      <w:r w:rsidR="006E407A">
        <w:t xml:space="preserve"> </w:t>
      </w:r>
      <w:r>
        <w:t xml:space="preserve">improvements actions it identified as prerequisites for </w:t>
      </w:r>
      <w:r w:rsidR="006C3244">
        <w:t>Step</w:t>
      </w:r>
      <w:r>
        <w:t xml:space="preserve"> 2;</w:t>
      </w:r>
    </w:p>
    <w:p w14:paraId="1A144346" w14:textId="6B07E7DA" w:rsidR="00C94F61" w:rsidRDefault="00C94F61" w:rsidP="00925DD5">
      <w:pPr>
        <w:pStyle w:val="Bulletlist2"/>
      </w:pPr>
      <w:r>
        <w:t xml:space="preserve">Have completed all of the requirements against us as defined in Appendix 2 of </w:t>
      </w:r>
      <w:r w:rsidR="002163EB">
        <w:t>Guidance to Requesting Parties</w:t>
      </w:r>
      <w:r>
        <w:t>, namely [1.31] to [1.40];</w:t>
      </w:r>
    </w:p>
    <w:p w14:paraId="16659D0A" w14:textId="77777777" w:rsidR="00C94F61" w:rsidRDefault="00C94F61" w:rsidP="00925DD5">
      <w:pPr>
        <w:pStyle w:val="Bulletlist2"/>
      </w:pPr>
      <w:r>
        <w:t>Have implemented suitable project management and arrangements to undertake the GDA;</w:t>
      </w:r>
    </w:p>
    <w:p w14:paraId="6560CCAC" w14:textId="29568457" w:rsidR="00F448D0" w:rsidRDefault="00C94F61" w:rsidP="00925DD5">
      <w:pPr>
        <w:pStyle w:val="Bulletlist2"/>
      </w:pPr>
      <w:r>
        <w:t xml:space="preserve">Have secured sufficient internal resources to undertake the activities identified in our assessment plans for </w:t>
      </w:r>
      <w:r w:rsidR="006C3244">
        <w:t>Step</w:t>
      </w:r>
      <w:r>
        <w:t xml:space="preserve"> 2</w:t>
      </w:r>
    </w:p>
    <w:p w14:paraId="534647FC" w14:textId="68BF67AF" w:rsidR="00C94F61" w:rsidRDefault="00F85804" w:rsidP="00925DD5">
      <w:pPr>
        <w:pStyle w:val="Bulletlist2"/>
      </w:pPr>
      <w:r>
        <w:t>Have taken account of the outcome of the Environment Agency’s own readiness review</w:t>
      </w:r>
      <w:r w:rsidR="00C94F61">
        <w:t>; and</w:t>
      </w:r>
    </w:p>
    <w:p w14:paraId="4A446B58" w14:textId="31603BC3" w:rsidR="00C94F61" w:rsidRDefault="00C94F61" w:rsidP="00925DD5">
      <w:pPr>
        <w:pStyle w:val="Bulletlist2"/>
      </w:pPr>
      <w:r>
        <w:t xml:space="preserve">Consider that, based on the agreed GDA scope (ref. </w:t>
      </w:r>
      <w:sdt>
        <w:sdtPr>
          <w:id w:val="-1509521989"/>
          <w:citation/>
        </w:sdtPr>
        <w:sdtEndPr/>
        <w:sdtContent>
          <w:r>
            <w:fldChar w:fldCharType="begin"/>
          </w:r>
          <w:r>
            <w:instrText xml:space="preserve"> CITATION GDAScope \l 2057 </w:instrText>
          </w:r>
          <w:r>
            <w:fldChar w:fldCharType="separate"/>
          </w:r>
          <w:r w:rsidR="00AB0D39" w:rsidRPr="00AB0D39">
            <w:t>[26]</w:t>
          </w:r>
          <w:r>
            <w:fldChar w:fldCharType="end"/>
          </w:r>
        </w:sdtContent>
      </w:sdt>
      <w:r>
        <w:t xml:space="preserve">) and submission schedule (ref. </w:t>
      </w:r>
      <w:sdt>
        <w:sdtPr>
          <w:id w:val="-172888049"/>
          <w:citation/>
        </w:sdtPr>
        <w:sdtEndPr/>
        <w:sdtContent>
          <w:r>
            <w:fldChar w:fldCharType="begin"/>
          </w:r>
          <w:r>
            <w:instrText xml:space="preserve"> CITATION S2SubSchedule \l 2057 </w:instrText>
          </w:r>
          <w:r>
            <w:fldChar w:fldCharType="separate"/>
          </w:r>
          <w:r w:rsidR="00AB0D39" w:rsidRPr="00AB0D39">
            <w:t>[9]</w:t>
          </w:r>
          <w:r>
            <w:fldChar w:fldCharType="end"/>
          </w:r>
        </w:sdtContent>
      </w:sdt>
      <w:r>
        <w:t xml:space="preserve">), the assessment will remain meaningful during </w:t>
      </w:r>
      <w:r w:rsidR="006C3244">
        <w:t>Step</w:t>
      </w:r>
      <w:r>
        <w:t xml:space="preserve"> 2, and warrants the continued deployment of regulatory resource.</w:t>
      </w:r>
    </w:p>
    <w:p w14:paraId="3DD6FA91" w14:textId="1BB0010E" w:rsidR="00C94F61" w:rsidRPr="0037080C" w:rsidRDefault="00C94F61">
      <w:pPr>
        <w:pStyle w:val="NumList1"/>
      </w:pPr>
      <w:r>
        <w:t xml:space="preserve">The outcome from our readiness review was that we consider we are ready to proceed to </w:t>
      </w:r>
      <w:r w:rsidR="006C3244">
        <w:t>Step</w:t>
      </w:r>
      <w:r>
        <w:t xml:space="preserve"> 2 of GDA for the Rolls-Royce SMR.</w:t>
      </w:r>
    </w:p>
    <w:p w14:paraId="52AEF91B" w14:textId="77777777" w:rsidR="00C94F61" w:rsidRPr="0038766B" w:rsidRDefault="00C94F61" w:rsidP="00160651">
      <w:pPr>
        <w:pStyle w:val="NumList1"/>
        <w:numPr>
          <w:ilvl w:val="0"/>
          <w:numId w:val="0"/>
        </w:numPr>
        <w:ind w:left="851"/>
      </w:pPr>
    </w:p>
    <w:p w14:paraId="574ACED6" w14:textId="77777777" w:rsidR="00160651" w:rsidRDefault="00160651">
      <w:pPr>
        <w:spacing w:after="0" w:line="240" w:lineRule="auto"/>
        <w:rPr>
          <w:color w:val="22413A"/>
          <w:sz w:val="48"/>
        </w:rPr>
      </w:pPr>
      <w:r>
        <w:rPr>
          <w:color w:val="22413A"/>
        </w:rPr>
        <w:br w:type="page"/>
      </w:r>
    </w:p>
    <w:p w14:paraId="669047B6" w14:textId="3F4F10F8" w:rsidR="00777BCE" w:rsidRPr="00C86D4A" w:rsidRDefault="00777BCE">
      <w:pPr>
        <w:pStyle w:val="Heading1"/>
        <w:ind w:left="851" w:hanging="851"/>
        <w:rPr>
          <w:color w:val="22413A"/>
        </w:rPr>
      </w:pPr>
      <w:bookmarkStart w:id="161" w:name="_Toc129081819"/>
      <w:r w:rsidRPr="00C86D4A">
        <w:rPr>
          <w:color w:val="22413A"/>
        </w:rPr>
        <w:lastRenderedPageBreak/>
        <w:t>Conclusions</w:t>
      </w:r>
      <w:bookmarkEnd w:id="161"/>
    </w:p>
    <w:p w14:paraId="66FBF7AE" w14:textId="3354D934" w:rsidR="001F63F7" w:rsidRDefault="001F63F7">
      <w:pPr>
        <w:pStyle w:val="NumList1"/>
      </w:pPr>
      <w:r>
        <w:t>This report is ONR’s first report summarising our assessment of the generic Rolls-Royce SMR</w:t>
      </w:r>
      <w:r w:rsidR="00616F50">
        <w:t>, produced</w:t>
      </w:r>
      <w:r>
        <w:t xml:space="preserve"> at the end of </w:t>
      </w:r>
      <w:r w:rsidR="006C3244">
        <w:t>Step</w:t>
      </w:r>
      <w:r>
        <w:t xml:space="preserve"> 1 of the GDA. In this step we have initiated the project and developed our understanding of the generic design, E3S case and RP. We have agreed the GDA scope and schedule, and a submission schedule for </w:t>
      </w:r>
      <w:r w:rsidR="006C3244">
        <w:t>Step</w:t>
      </w:r>
      <w:r>
        <w:t xml:space="preserve"> 2. This has allowed us to plan for our fundamental assessment to begin in </w:t>
      </w:r>
      <w:r w:rsidR="006C3244">
        <w:t>Step</w:t>
      </w:r>
      <w:r>
        <w:t xml:space="preserve"> 2 and to develop detailed assessment plans for each of our technical topics. </w:t>
      </w:r>
    </w:p>
    <w:p w14:paraId="6B59B396" w14:textId="77777777" w:rsidR="001F63F7" w:rsidRPr="003A0458" w:rsidRDefault="001F63F7">
      <w:pPr>
        <w:pStyle w:val="NumList1"/>
      </w:pPr>
      <w:r w:rsidRPr="003A0458">
        <w:t>Based on the work carried out by ONR, we are satisfied that:</w:t>
      </w:r>
    </w:p>
    <w:p w14:paraId="6B4B787A" w14:textId="5752F4F4" w:rsidR="001F63F7" w:rsidRDefault="001F63F7" w:rsidP="00925DD5">
      <w:pPr>
        <w:pStyle w:val="Bulletlist2"/>
      </w:pPr>
      <w:bookmarkStart w:id="162" w:name="_Hlk129009817"/>
      <w:r>
        <w:t xml:space="preserve">The RP has completed all the requirements for </w:t>
      </w:r>
      <w:r w:rsidR="006C3244">
        <w:t>Step</w:t>
      </w:r>
      <w:r>
        <w:t xml:space="preserve"> 1 from our guidance</w:t>
      </w:r>
      <w:r w:rsidR="00DB2C5A">
        <w:t>;</w:t>
      </w:r>
    </w:p>
    <w:p w14:paraId="4959CB3E" w14:textId="2EF9F4FE" w:rsidR="001F63F7" w:rsidRDefault="001F63F7" w:rsidP="00925DD5">
      <w:pPr>
        <w:pStyle w:val="Bulletlist2"/>
      </w:pPr>
      <w:r>
        <w:t xml:space="preserve">Interactions with the RP throughout </w:t>
      </w:r>
      <w:r w:rsidR="006C3244">
        <w:t>Step</w:t>
      </w:r>
      <w:r>
        <w:t xml:space="preserve"> 1 have been professional and constructive, and we have confidence that this will continue</w:t>
      </w:r>
      <w:r w:rsidR="00DB2C5A">
        <w:t>;</w:t>
      </w:r>
    </w:p>
    <w:p w14:paraId="14D6EB28" w14:textId="4638723D" w:rsidR="001F63F7" w:rsidRDefault="001F63F7" w:rsidP="00925DD5">
      <w:pPr>
        <w:pStyle w:val="Bulletlist2"/>
      </w:pPr>
      <w:r>
        <w:t>The RP has made good progress in developing its organisation and arrangements to support GDA, with clear evidence of improvements</w:t>
      </w:r>
      <w:r w:rsidR="00DB2C5A">
        <w:t>;</w:t>
      </w:r>
    </w:p>
    <w:p w14:paraId="14082B03" w14:textId="7E837050" w:rsidR="001F63F7" w:rsidRDefault="001F63F7" w:rsidP="00925DD5">
      <w:pPr>
        <w:pStyle w:val="Bulletlist2"/>
      </w:pPr>
      <w:r>
        <w:t>The agreements necessary to undertake the GDA are in place, or have developed sufficiently for this point in the project with clear plans for further development</w:t>
      </w:r>
      <w:r w:rsidR="00DB2C5A">
        <w:t>;</w:t>
      </w:r>
    </w:p>
    <w:p w14:paraId="1866BE86" w14:textId="17511ED1" w:rsidR="001F63F7" w:rsidRDefault="001F63F7" w:rsidP="00925DD5">
      <w:pPr>
        <w:pStyle w:val="Bulletlist2"/>
      </w:pPr>
      <w:r>
        <w:t>The RP has demonstrated a good understanding of our regulatory expectations and has confidence that these can be met by its design and E3S case</w:t>
      </w:r>
      <w:r w:rsidR="00DB2C5A">
        <w:t>;</w:t>
      </w:r>
    </w:p>
    <w:p w14:paraId="38A7E981" w14:textId="1678028D" w:rsidR="001F63F7" w:rsidRDefault="001F63F7" w:rsidP="00925DD5">
      <w:pPr>
        <w:pStyle w:val="Bulletlist2"/>
      </w:pPr>
      <w:r>
        <w:t>We have improved our understanding of the generic Rolls-Royce SMR design and E3S case, and have used this to inform our planning for further assessment activities</w:t>
      </w:r>
      <w:r w:rsidR="00DB2C5A">
        <w:t>; and</w:t>
      </w:r>
    </w:p>
    <w:p w14:paraId="1CB5D700" w14:textId="15068FD3" w:rsidR="001F63F7" w:rsidRDefault="001F63F7" w:rsidP="00925DD5">
      <w:pPr>
        <w:pStyle w:val="Bulletlist2"/>
      </w:pPr>
      <w:r>
        <w:t xml:space="preserve">We, and the RP, are ready to proceed to </w:t>
      </w:r>
      <w:r w:rsidR="006C3244">
        <w:t>Step</w:t>
      </w:r>
      <w:r>
        <w:t xml:space="preserve"> 2 of the GDA.</w:t>
      </w:r>
    </w:p>
    <w:bookmarkEnd w:id="162"/>
    <w:p w14:paraId="0705EC60" w14:textId="11CB9024" w:rsidR="001F63F7" w:rsidRDefault="001F63F7">
      <w:pPr>
        <w:pStyle w:val="NumList1"/>
      </w:pPr>
      <w:r>
        <w:t xml:space="preserve">Moving forward, there is a considerable amount of work to be undertaken by the RP, both to mature the generic design and develop the justifications for the E3S case. In addition to undertaking the work to support our assessments during </w:t>
      </w:r>
      <w:r w:rsidR="006C3244">
        <w:t>Step</w:t>
      </w:r>
      <w:r>
        <w:t xml:space="preserve"> 2, the RP will need to prepare for </w:t>
      </w:r>
      <w:r w:rsidR="006C3244">
        <w:t>Step</w:t>
      </w:r>
      <w:r>
        <w:t xml:space="preserve"> 3.</w:t>
      </w:r>
      <w:r w:rsidRPr="003A0458">
        <w:t xml:space="preserve"> </w:t>
      </w:r>
      <w:r>
        <w:t>This will require significant efforts by the RP.</w:t>
      </w:r>
    </w:p>
    <w:p w14:paraId="0949DC65" w14:textId="4965725F" w:rsidR="001F63F7" w:rsidRDefault="001F63F7">
      <w:pPr>
        <w:pStyle w:val="NumList1"/>
      </w:pPr>
      <w:r>
        <w:t xml:space="preserve">A vital element of delivery of </w:t>
      </w:r>
      <w:r w:rsidR="006C3244">
        <w:t>Step</w:t>
      </w:r>
      <w:r>
        <w:t xml:space="preserve"> 2 in line with the indicative timescales relies on the timely production of high quality E3S submissions. This may challenge the RP, and it will need to exercise a </w:t>
      </w:r>
      <w:r w:rsidRPr="003A0458">
        <w:t xml:space="preserve">high level of control to ensure that the quality of submissions is not undermined </w:t>
      </w:r>
      <w:r>
        <w:t xml:space="preserve">by </w:t>
      </w:r>
      <w:r w:rsidRPr="003A0458">
        <w:t>deliver</w:t>
      </w:r>
      <w:r>
        <w:t>y</w:t>
      </w:r>
      <w:r w:rsidRPr="003A0458">
        <w:t xml:space="preserve"> at pace.</w:t>
      </w:r>
    </w:p>
    <w:p w14:paraId="101A8797" w14:textId="77777777" w:rsidR="00925DD5" w:rsidRDefault="00925DD5">
      <w:pPr>
        <w:spacing w:after="0" w:line="240" w:lineRule="auto"/>
        <w:rPr>
          <w:rFonts w:asciiTheme="minorHAnsi" w:eastAsiaTheme="minorHAnsi" w:hAnsiTheme="minorHAnsi" w:cstheme="minorBidi"/>
          <w:noProof/>
          <w:lang w:bidi="ar-SA"/>
        </w:rPr>
      </w:pPr>
      <w:r>
        <w:br w:type="page"/>
      </w:r>
    </w:p>
    <w:p w14:paraId="38A2D861" w14:textId="0A91A2AD" w:rsidR="000814C6" w:rsidRPr="00500025" w:rsidRDefault="001F63F7">
      <w:pPr>
        <w:pStyle w:val="NumList1"/>
        <w:rPr>
          <w:color w:val="22413A"/>
        </w:rPr>
      </w:pPr>
      <w:r w:rsidRPr="003A0458">
        <w:lastRenderedPageBreak/>
        <w:t xml:space="preserve">We will continue to rigorously assess </w:t>
      </w:r>
      <w:r>
        <w:t xml:space="preserve">the RP’s </w:t>
      </w:r>
      <w:r w:rsidRPr="003A0458">
        <w:t xml:space="preserve">submissions </w:t>
      </w:r>
      <w:r>
        <w:t xml:space="preserve">in line with our assessment plans </w:t>
      </w:r>
      <w:r w:rsidRPr="003A0458">
        <w:t xml:space="preserve">and will address </w:t>
      </w:r>
      <w:r>
        <w:t xml:space="preserve">any </w:t>
      </w:r>
      <w:r w:rsidRPr="003A0458">
        <w:t xml:space="preserve">potential </w:t>
      </w:r>
      <w:r>
        <w:t>matters of concern</w:t>
      </w:r>
      <w:r w:rsidRPr="003A0458">
        <w:t xml:space="preserve"> should they arise. We will continue to assess the effectiveness of the RP’s arrangements to deliver an adequate, holistic safety</w:t>
      </w:r>
      <w:r>
        <w:t>, security and safeguards</w:t>
      </w:r>
      <w:r w:rsidRPr="003A0458">
        <w:t xml:space="preserve"> case</w:t>
      </w:r>
      <w:r>
        <w:t xml:space="preserve"> for its generic design</w:t>
      </w:r>
      <w:r w:rsidRPr="003A0458">
        <w:t xml:space="preserve">. </w:t>
      </w:r>
      <w:r w:rsidR="006B0CC6">
        <w:t xml:space="preserve">We have planned our assessments across the 20 technical topics we </w:t>
      </w:r>
      <w:r w:rsidR="00447359">
        <w:t>will</w:t>
      </w:r>
      <w:r w:rsidR="006B0CC6">
        <w:t xml:space="preserve"> assess to ensure we deliver a holistic fundamental assessment of the generic Rolls-Royce SMR design</w:t>
      </w:r>
      <w:r w:rsidR="00500025">
        <w:t xml:space="preserve"> during Step 2.</w:t>
      </w:r>
    </w:p>
    <w:p w14:paraId="5F588148" w14:textId="45AC897A" w:rsidR="001F63F7" w:rsidRDefault="001F63F7">
      <w:pPr>
        <w:spacing w:after="0" w:line="240" w:lineRule="auto"/>
        <w:rPr>
          <w:sz w:val="48"/>
        </w:rPr>
      </w:pPr>
      <w:r>
        <w:br w:type="page"/>
      </w:r>
    </w:p>
    <w:p w14:paraId="3AD06306" w14:textId="2D102497" w:rsidR="0038766B" w:rsidRPr="001F63F7" w:rsidRDefault="00777BCE">
      <w:pPr>
        <w:pStyle w:val="Heading1"/>
        <w:ind w:left="851" w:hanging="851"/>
      </w:pPr>
      <w:bookmarkStart w:id="163" w:name="_Toc129081820"/>
      <w:r w:rsidRPr="000814C6">
        <w:lastRenderedPageBreak/>
        <w:t>Recommendations</w:t>
      </w:r>
      <w:bookmarkEnd w:id="163"/>
    </w:p>
    <w:bookmarkEnd w:id="19"/>
    <w:p w14:paraId="5A336B75" w14:textId="77777777" w:rsidR="009905F2" w:rsidRPr="008B4599" w:rsidRDefault="009905F2">
      <w:pPr>
        <w:pStyle w:val="NumList1"/>
      </w:pPr>
      <w:r w:rsidRPr="008B4599">
        <w:t>Based upon the work described in this report, we recommend that:</w:t>
      </w:r>
    </w:p>
    <w:p w14:paraId="01AE417F" w14:textId="3F62D0C1" w:rsidR="009905F2" w:rsidRPr="008B4599" w:rsidRDefault="00C2513F" w:rsidP="00925DD5">
      <w:pPr>
        <w:pStyle w:val="Bulletlist2"/>
      </w:pPr>
      <w:r>
        <w:t xml:space="preserve">ONR should proceed to Step 2 of the </w:t>
      </w:r>
      <w:r w:rsidR="009905F2" w:rsidRPr="008B4599">
        <w:t>GDA for the generic Rolls-Royce SMR design</w:t>
      </w:r>
      <w:r w:rsidR="00DB2C5A">
        <w:t>.</w:t>
      </w:r>
    </w:p>
    <w:p w14:paraId="15135E63" w14:textId="5F1082E2" w:rsidR="009905F2" w:rsidRPr="008B4599" w:rsidRDefault="00C2513F" w:rsidP="00925DD5">
      <w:pPr>
        <w:pStyle w:val="Bulletlist2"/>
      </w:pPr>
      <w:r>
        <w:t xml:space="preserve">ONR should </w:t>
      </w:r>
      <w:r w:rsidR="000814C6">
        <w:t xml:space="preserve">maintain regulatory oversight of the </w:t>
      </w:r>
      <w:r w:rsidR="001F7AB8">
        <w:t xml:space="preserve">42 </w:t>
      </w:r>
      <w:r w:rsidR="009905F2">
        <w:t>remaining readiness review improvement actions identified by the RP</w:t>
      </w:r>
      <w:r w:rsidR="00DB2C5A">
        <w:t>.</w:t>
      </w:r>
    </w:p>
    <w:p w14:paraId="30AC39D5" w14:textId="77777777" w:rsidR="009905F2" w:rsidRDefault="009905F2" w:rsidP="00C2513F">
      <w:pPr>
        <w:pStyle w:val="NumList1"/>
        <w:numPr>
          <w:ilvl w:val="0"/>
          <w:numId w:val="0"/>
        </w:numPr>
        <w:ind w:left="851"/>
      </w:pPr>
    </w:p>
    <w:p w14:paraId="05E1807B" w14:textId="77777777" w:rsidR="0059276A" w:rsidRDefault="0059276A" w:rsidP="0059276A">
      <w:pPr>
        <w:pStyle w:val="NumList1"/>
        <w:numPr>
          <w:ilvl w:val="0"/>
          <w:numId w:val="0"/>
        </w:numPr>
        <w:ind w:left="851" w:hanging="851"/>
      </w:pPr>
    </w:p>
    <w:p w14:paraId="4DDEF1F4" w14:textId="77777777" w:rsidR="008C19E5" w:rsidRDefault="008C19E5" w:rsidP="0059276A">
      <w:pPr>
        <w:pStyle w:val="NumList1"/>
        <w:numPr>
          <w:ilvl w:val="0"/>
          <w:numId w:val="0"/>
        </w:numPr>
        <w:ind w:left="851" w:hanging="851"/>
      </w:pPr>
    </w:p>
    <w:p w14:paraId="7A972664" w14:textId="0A8C928D" w:rsidR="008C19E5" w:rsidRDefault="008C19E5" w:rsidP="0059276A">
      <w:pPr>
        <w:pStyle w:val="NumList1"/>
        <w:numPr>
          <w:ilvl w:val="0"/>
          <w:numId w:val="0"/>
        </w:numPr>
        <w:ind w:left="851" w:hanging="851"/>
        <w:sectPr w:rsidR="008C19E5" w:rsidSect="00B82646">
          <w:pgSz w:w="11906" w:h="16838" w:code="9"/>
          <w:pgMar w:top="1440" w:right="1080" w:bottom="1440" w:left="1080" w:header="397" w:footer="397" w:gutter="0"/>
          <w:cols w:space="312"/>
          <w:docGrid w:linePitch="360"/>
        </w:sectPr>
      </w:pPr>
    </w:p>
    <w:bookmarkStart w:id="164" w:name="_Toc129081821" w:displacedByCustomXml="next"/>
    <w:sdt>
      <w:sdtPr>
        <w:rPr>
          <w:szCs w:val="24"/>
        </w:rPr>
        <w:id w:val="1663974676"/>
        <w:docPartObj>
          <w:docPartGallery w:val="Bibliographies"/>
          <w:docPartUnique/>
        </w:docPartObj>
      </w:sdtPr>
      <w:sdtEndPr>
        <w:rPr>
          <w:szCs w:val="22"/>
        </w:rPr>
      </w:sdtEndPr>
      <w:sdtContent>
        <w:p w14:paraId="72406AC7" w14:textId="77777777" w:rsidR="00D7725D" w:rsidRPr="00903555" w:rsidRDefault="00AC2E98">
          <w:pPr>
            <w:rPr>
              <w:sz w:val="48"/>
              <w:szCs w:val="48"/>
            </w:rPr>
          </w:pPr>
          <w:r w:rsidRPr="00903555">
            <w:rPr>
              <w:sz w:val="48"/>
              <w:szCs w:val="48"/>
            </w:rPr>
            <w:t>References</w:t>
          </w:r>
          <w:bookmarkEnd w:id="164"/>
        </w:p>
        <w:sdt>
          <w:sdtPr>
            <w:rPr>
              <w:sz w:val="48"/>
              <w:szCs w:val="48"/>
            </w:rPr>
            <w:id w:val="-573587230"/>
            <w:bibliography/>
          </w:sdtPr>
          <w:sdtEndPr>
            <w:rPr>
              <w:sz w:val="24"/>
              <w:szCs w:val="22"/>
            </w:rPr>
          </w:sdtEndPr>
          <w:sdtContent>
            <w:p w14:paraId="5FB71827" w14:textId="77777777" w:rsidR="00AB0D39" w:rsidRDefault="00AC2E98" w:rsidP="00903555">
              <w:pPr>
                <w:spacing w:after="0"/>
                <w:rPr>
                  <w:rFonts w:ascii="Calibri" w:hAnsi="Calibri"/>
                  <w:noProof/>
                  <w:sz w:val="20"/>
                  <w:szCs w:val="20"/>
                  <w:lang w:eastAsia="en-GB" w:bidi="ar-SA"/>
                </w:rPr>
              </w:pPr>
              <w:r w:rsidRPr="00B209EE">
                <w:rPr>
                  <w:szCs w:val="24"/>
                </w:rPr>
                <w:fldChar w:fldCharType="begin"/>
              </w:r>
              <w:r w:rsidRPr="00B209EE">
                <w:rPr>
                  <w:szCs w:val="24"/>
                </w:rPr>
                <w:instrText xml:space="preserve"> BIBLIOGRAPHY </w:instrText>
              </w:r>
              <w:r w:rsidRPr="00B209EE">
                <w:rPr>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AB0D39" w:rsidRPr="00903555" w14:paraId="7A215483" w14:textId="77777777">
                <w:trPr>
                  <w:divId w:val="554702342"/>
                  <w:tblCellSpacing w:w="15" w:type="dxa"/>
                </w:trPr>
                <w:tc>
                  <w:tcPr>
                    <w:tcW w:w="50" w:type="pct"/>
                    <w:hideMark/>
                  </w:tcPr>
                  <w:p w14:paraId="7F2855CC" w14:textId="641DA105" w:rsidR="00AB0D39" w:rsidRPr="00903555" w:rsidRDefault="00AB0D39">
                    <w:pPr>
                      <w:pStyle w:val="Bibliography"/>
                      <w:rPr>
                        <w:noProof/>
                        <w:szCs w:val="24"/>
                      </w:rPr>
                    </w:pPr>
                    <w:r w:rsidRPr="00903555">
                      <w:rPr>
                        <w:noProof/>
                        <w:szCs w:val="24"/>
                      </w:rPr>
                      <w:t xml:space="preserve">[1] </w:t>
                    </w:r>
                  </w:p>
                </w:tc>
                <w:tc>
                  <w:tcPr>
                    <w:tcW w:w="0" w:type="auto"/>
                    <w:hideMark/>
                  </w:tcPr>
                  <w:p w14:paraId="49707410" w14:textId="77777777" w:rsidR="00AB0D39" w:rsidRPr="00903555" w:rsidRDefault="00AB0D39" w:rsidP="00903555">
                    <w:pPr>
                      <w:pStyle w:val="Bibliography"/>
                      <w:ind w:left="340"/>
                      <w:rPr>
                        <w:noProof/>
                        <w:szCs w:val="24"/>
                      </w:rPr>
                    </w:pPr>
                    <w:r w:rsidRPr="00903555">
                      <w:rPr>
                        <w:noProof/>
                        <w:szCs w:val="24"/>
                      </w:rPr>
                      <w:t xml:space="preserve">ONR, New Nuclear Power Plants: Generic Design Assessment Guidance to Requesting Parties, ONR-GDA-GD-006, Revision 0, October 2019. www.onr.org.uk/new-reactors/onr-gda-gd-006.pdf. </w:t>
                    </w:r>
                  </w:p>
                </w:tc>
              </w:tr>
              <w:tr w:rsidR="00AB0D39" w:rsidRPr="00903555" w14:paraId="2B1C5CFB" w14:textId="77777777">
                <w:trPr>
                  <w:divId w:val="554702342"/>
                  <w:tblCellSpacing w:w="15" w:type="dxa"/>
                </w:trPr>
                <w:tc>
                  <w:tcPr>
                    <w:tcW w:w="50" w:type="pct"/>
                    <w:hideMark/>
                  </w:tcPr>
                  <w:p w14:paraId="6BB42976" w14:textId="77777777" w:rsidR="00AB0D39" w:rsidRPr="00903555" w:rsidRDefault="00AB0D39">
                    <w:pPr>
                      <w:pStyle w:val="Bibliography"/>
                      <w:rPr>
                        <w:noProof/>
                        <w:szCs w:val="24"/>
                      </w:rPr>
                    </w:pPr>
                    <w:r w:rsidRPr="00903555">
                      <w:rPr>
                        <w:noProof/>
                        <w:szCs w:val="24"/>
                      </w:rPr>
                      <w:t xml:space="preserve">[2] </w:t>
                    </w:r>
                  </w:p>
                </w:tc>
                <w:tc>
                  <w:tcPr>
                    <w:tcW w:w="0" w:type="auto"/>
                    <w:hideMark/>
                  </w:tcPr>
                  <w:p w14:paraId="79A78814" w14:textId="77777777" w:rsidR="00AB0D39" w:rsidRPr="00903555" w:rsidRDefault="00AB0D39" w:rsidP="00903555">
                    <w:pPr>
                      <w:pStyle w:val="Bibliography"/>
                      <w:ind w:left="340"/>
                      <w:rPr>
                        <w:noProof/>
                        <w:szCs w:val="24"/>
                      </w:rPr>
                    </w:pPr>
                    <w:r w:rsidRPr="00903555">
                      <w:rPr>
                        <w:noProof/>
                        <w:szCs w:val="24"/>
                      </w:rPr>
                      <w:t xml:space="preserve">www.gov.uk/guidance/new-nuclear-power-stations-assessing-reactor-designs. </w:t>
                    </w:r>
                  </w:p>
                </w:tc>
              </w:tr>
              <w:tr w:rsidR="00AB0D39" w:rsidRPr="00903555" w14:paraId="67038E98" w14:textId="77777777">
                <w:trPr>
                  <w:divId w:val="554702342"/>
                  <w:tblCellSpacing w:w="15" w:type="dxa"/>
                </w:trPr>
                <w:tc>
                  <w:tcPr>
                    <w:tcW w:w="50" w:type="pct"/>
                    <w:hideMark/>
                  </w:tcPr>
                  <w:p w14:paraId="7A27CA71" w14:textId="77777777" w:rsidR="00AB0D39" w:rsidRPr="00903555" w:rsidRDefault="00AB0D39">
                    <w:pPr>
                      <w:pStyle w:val="Bibliography"/>
                      <w:rPr>
                        <w:noProof/>
                        <w:szCs w:val="24"/>
                      </w:rPr>
                    </w:pPr>
                    <w:r w:rsidRPr="00903555">
                      <w:rPr>
                        <w:noProof/>
                        <w:szCs w:val="24"/>
                      </w:rPr>
                      <w:t xml:space="preserve">[3] </w:t>
                    </w:r>
                  </w:p>
                </w:tc>
                <w:tc>
                  <w:tcPr>
                    <w:tcW w:w="0" w:type="auto"/>
                    <w:hideMark/>
                  </w:tcPr>
                  <w:p w14:paraId="638E5945" w14:textId="77777777" w:rsidR="00AB0D39" w:rsidRPr="00903555" w:rsidRDefault="00AB0D39" w:rsidP="00903555">
                    <w:pPr>
                      <w:pStyle w:val="Bibliography"/>
                      <w:ind w:left="340"/>
                      <w:rPr>
                        <w:noProof/>
                        <w:szCs w:val="24"/>
                      </w:rPr>
                    </w:pPr>
                    <w:r w:rsidRPr="00903555">
                      <w:rPr>
                        <w:noProof/>
                        <w:szCs w:val="24"/>
                      </w:rPr>
                      <w:t xml:space="preserve">EA and ONR, A guide to the regulatory process, Revision 0, September 2013. www.onr.org.uk/new-reactors/ngn01.pdf. </w:t>
                    </w:r>
                  </w:p>
                </w:tc>
              </w:tr>
              <w:tr w:rsidR="00AB0D39" w:rsidRPr="00903555" w14:paraId="56A870A7" w14:textId="77777777">
                <w:trPr>
                  <w:divId w:val="554702342"/>
                  <w:tblCellSpacing w:w="15" w:type="dxa"/>
                </w:trPr>
                <w:tc>
                  <w:tcPr>
                    <w:tcW w:w="50" w:type="pct"/>
                    <w:hideMark/>
                  </w:tcPr>
                  <w:p w14:paraId="0E8257F4" w14:textId="77777777" w:rsidR="00AB0D39" w:rsidRPr="00903555" w:rsidRDefault="00AB0D39">
                    <w:pPr>
                      <w:pStyle w:val="Bibliography"/>
                      <w:rPr>
                        <w:noProof/>
                        <w:szCs w:val="24"/>
                      </w:rPr>
                    </w:pPr>
                    <w:r w:rsidRPr="00903555">
                      <w:rPr>
                        <w:noProof/>
                        <w:szCs w:val="24"/>
                      </w:rPr>
                      <w:t xml:space="preserve">[4] </w:t>
                    </w:r>
                  </w:p>
                </w:tc>
                <w:tc>
                  <w:tcPr>
                    <w:tcW w:w="0" w:type="auto"/>
                    <w:hideMark/>
                  </w:tcPr>
                  <w:p w14:paraId="3974F359" w14:textId="77777777" w:rsidR="00AB0D39" w:rsidRPr="00903555" w:rsidRDefault="00AB0D39" w:rsidP="00903555">
                    <w:pPr>
                      <w:pStyle w:val="Bibliography"/>
                      <w:ind w:left="340"/>
                      <w:rPr>
                        <w:noProof/>
                        <w:szCs w:val="24"/>
                      </w:rPr>
                    </w:pPr>
                    <w:r w:rsidRPr="00903555">
                      <w:rPr>
                        <w:noProof/>
                        <w:szCs w:val="24"/>
                      </w:rPr>
                      <w:t xml:space="preserve">EA, New Nuclear Power Plants: Generic Design Assessment Guidance to Requesting Parties, October 2019. www.gov.uk/government/publications/new-nuclear-power-plants-generic-design-assessment-guidance-for-requesting-parties. </w:t>
                    </w:r>
                  </w:p>
                </w:tc>
              </w:tr>
              <w:tr w:rsidR="00AB0D39" w:rsidRPr="00903555" w14:paraId="4EE6ADD1" w14:textId="77777777">
                <w:trPr>
                  <w:divId w:val="554702342"/>
                  <w:tblCellSpacing w:w="15" w:type="dxa"/>
                </w:trPr>
                <w:tc>
                  <w:tcPr>
                    <w:tcW w:w="50" w:type="pct"/>
                    <w:hideMark/>
                  </w:tcPr>
                  <w:p w14:paraId="16F68FE9" w14:textId="77777777" w:rsidR="00AB0D39" w:rsidRPr="00903555" w:rsidRDefault="00AB0D39">
                    <w:pPr>
                      <w:pStyle w:val="Bibliography"/>
                      <w:rPr>
                        <w:noProof/>
                        <w:szCs w:val="24"/>
                      </w:rPr>
                    </w:pPr>
                    <w:r w:rsidRPr="00903555">
                      <w:rPr>
                        <w:noProof/>
                        <w:szCs w:val="24"/>
                      </w:rPr>
                      <w:t xml:space="preserve">[5] </w:t>
                    </w:r>
                  </w:p>
                </w:tc>
                <w:tc>
                  <w:tcPr>
                    <w:tcW w:w="0" w:type="auto"/>
                    <w:hideMark/>
                  </w:tcPr>
                  <w:p w14:paraId="0BFB9DF0" w14:textId="77777777" w:rsidR="00AB0D39" w:rsidRPr="00903555" w:rsidRDefault="00AB0D39" w:rsidP="00903555">
                    <w:pPr>
                      <w:pStyle w:val="Bibliography"/>
                      <w:ind w:left="340"/>
                      <w:rPr>
                        <w:noProof/>
                        <w:szCs w:val="24"/>
                      </w:rPr>
                    </w:pPr>
                    <w:r w:rsidRPr="00903555">
                      <w:rPr>
                        <w:noProof/>
                        <w:szCs w:val="24"/>
                      </w:rPr>
                      <w:t xml:space="preserve">www.onr.org.uk/new-reactors/index.htm. </w:t>
                    </w:r>
                  </w:p>
                </w:tc>
              </w:tr>
              <w:tr w:rsidR="00AB0D39" w:rsidRPr="00903555" w14:paraId="28E91E1C" w14:textId="77777777">
                <w:trPr>
                  <w:divId w:val="554702342"/>
                  <w:tblCellSpacing w:w="15" w:type="dxa"/>
                </w:trPr>
                <w:tc>
                  <w:tcPr>
                    <w:tcW w:w="50" w:type="pct"/>
                    <w:hideMark/>
                  </w:tcPr>
                  <w:p w14:paraId="02A71C85" w14:textId="77777777" w:rsidR="00AB0D39" w:rsidRPr="00903555" w:rsidRDefault="00AB0D39">
                    <w:pPr>
                      <w:pStyle w:val="Bibliography"/>
                      <w:rPr>
                        <w:noProof/>
                        <w:szCs w:val="24"/>
                      </w:rPr>
                    </w:pPr>
                    <w:r w:rsidRPr="00903555">
                      <w:rPr>
                        <w:noProof/>
                        <w:szCs w:val="24"/>
                      </w:rPr>
                      <w:t xml:space="preserve">[6] </w:t>
                    </w:r>
                  </w:p>
                </w:tc>
                <w:tc>
                  <w:tcPr>
                    <w:tcW w:w="0" w:type="auto"/>
                    <w:hideMark/>
                  </w:tcPr>
                  <w:p w14:paraId="5FFDDBE1" w14:textId="77777777" w:rsidR="00AB0D39" w:rsidRPr="00903555" w:rsidRDefault="00AB0D39" w:rsidP="00903555">
                    <w:pPr>
                      <w:pStyle w:val="Bibliography"/>
                      <w:ind w:left="340"/>
                      <w:rPr>
                        <w:noProof/>
                        <w:szCs w:val="24"/>
                      </w:rPr>
                    </w:pPr>
                    <w:r w:rsidRPr="00903555">
                      <w:rPr>
                        <w:noProof/>
                        <w:szCs w:val="24"/>
                      </w:rPr>
                      <w:t xml:space="preserve">Rolls-Royce SMR Limited, RR SMR Preliminary Safety Report, SMR0001510, Issue 1, August 2022. (Record ref. 2022/51262). </w:t>
                    </w:r>
                  </w:p>
                </w:tc>
              </w:tr>
              <w:tr w:rsidR="00AB0D39" w:rsidRPr="00903555" w14:paraId="5FC5243B" w14:textId="77777777">
                <w:trPr>
                  <w:divId w:val="554702342"/>
                  <w:tblCellSpacing w:w="15" w:type="dxa"/>
                </w:trPr>
                <w:tc>
                  <w:tcPr>
                    <w:tcW w:w="50" w:type="pct"/>
                    <w:hideMark/>
                  </w:tcPr>
                  <w:p w14:paraId="1234DAB6" w14:textId="77777777" w:rsidR="00AB0D39" w:rsidRPr="00903555" w:rsidRDefault="00AB0D39">
                    <w:pPr>
                      <w:pStyle w:val="Bibliography"/>
                      <w:rPr>
                        <w:noProof/>
                        <w:szCs w:val="24"/>
                      </w:rPr>
                    </w:pPr>
                    <w:r w:rsidRPr="00903555">
                      <w:rPr>
                        <w:noProof/>
                        <w:szCs w:val="24"/>
                      </w:rPr>
                      <w:t xml:space="preserve">[7] </w:t>
                    </w:r>
                  </w:p>
                </w:tc>
                <w:tc>
                  <w:tcPr>
                    <w:tcW w:w="0" w:type="auto"/>
                    <w:hideMark/>
                  </w:tcPr>
                  <w:p w14:paraId="10B736FC" w14:textId="77777777" w:rsidR="00AB0D39" w:rsidRPr="00903555" w:rsidRDefault="00AB0D39" w:rsidP="00903555">
                    <w:pPr>
                      <w:pStyle w:val="Bibliography"/>
                      <w:ind w:left="340"/>
                      <w:rPr>
                        <w:noProof/>
                        <w:szCs w:val="24"/>
                      </w:rPr>
                    </w:pPr>
                    <w:r w:rsidRPr="00903555">
                      <w:rPr>
                        <w:noProof/>
                        <w:szCs w:val="24"/>
                      </w:rPr>
                      <w:t xml:space="preserve">IAEA, Format and Content of the Safety Analsyis Report for Nuclear Power Plants, Specific Safety Guide No. SSG-61, September 2021. www.iaea.org. </w:t>
                    </w:r>
                  </w:p>
                </w:tc>
              </w:tr>
              <w:tr w:rsidR="00AB0D39" w:rsidRPr="00903555" w14:paraId="66E8EDE0" w14:textId="77777777">
                <w:trPr>
                  <w:divId w:val="554702342"/>
                  <w:tblCellSpacing w:w="15" w:type="dxa"/>
                </w:trPr>
                <w:tc>
                  <w:tcPr>
                    <w:tcW w:w="50" w:type="pct"/>
                    <w:hideMark/>
                  </w:tcPr>
                  <w:p w14:paraId="290BDE9A" w14:textId="77777777" w:rsidR="00AB0D39" w:rsidRPr="00903555" w:rsidRDefault="00AB0D39">
                    <w:pPr>
                      <w:pStyle w:val="Bibliography"/>
                      <w:rPr>
                        <w:noProof/>
                        <w:szCs w:val="24"/>
                      </w:rPr>
                    </w:pPr>
                    <w:r w:rsidRPr="00903555">
                      <w:rPr>
                        <w:noProof/>
                        <w:szCs w:val="24"/>
                      </w:rPr>
                      <w:t xml:space="preserve">[8] </w:t>
                    </w:r>
                  </w:p>
                </w:tc>
                <w:tc>
                  <w:tcPr>
                    <w:tcW w:w="0" w:type="auto"/>
                    <w:hideMark/>
                  </w:tcPr>
                  <w:p w14:paraId="47677464" w14:textId="77777777" w:rsidR="00AB0D39" w:rsidRPr="00903555" w:rsidRDefault="00AB0D39" w:rsidP="00903555">
                    <w:pPr>
                      <w:pStyle w:val="Bibliography"/>
                      <w:ind w:left="340"/>
                      <w:rPr>
                        <w:noProof/>
                        <w:szCs w:val="24"/>
                      </w:rPr>
                    </w:pPr>
                    <w:r w:rsidRPr="00903555">
                      <w:rPr>
                        <w:noProof/>
                        <w:szCs w:val="24"/>
                      </w:rPr>
                      <w:t xml:space="preserve">ONR, Delivery Strategy for the Generic Design Assessment of the Rolls-Royce Small Modular Reactor, ONR-GDA-AP-22-001, Issue No. 1, September 2022. (Record ref. 2022/43611). </w:t>
                    </w:r>
                  </w:p>
                </w:tc>
              </w:tr>
              <w:tr w:rsidR="00AB0D39" w:rsidRPr="00903555" w14:paraId="74B9552F" w14:textId="77777777">
                <w:trPr>
                  <w:divId w:val="554702342"/>
                  <w:tblCellSpacing w:w="15" w:type="dxa"/>
                </w:trPr>
                <w:tc>
                  <w:tcPr>
                    <w:tcW w:w="50" w:type="pct"/>
                    <w:hideMark/>
                  </w:tcPr>
                  <w:p w14:paraId="10FAAA81" w14:textId="77777777" w:rsidR="00AB0D39" w:rsidRPr="00903555" w:rsidRDefault="00AB0D39">
                    <w:pPr>
                      <w:pStyle w:val="Bibliography"/>
                      <w:rPr>
                        <w:noProof/>
                        <w:szCs w:val="24"/>
                      </w:rPr>
                    </w:pPr>
                    <w:r w:rsidRPr="00903555">
                      <w:rPr>
                        <w:noProof/>
                        <w:szCs w:val="24"/>
                      </w:rPr>
                      <w:t xml:space="preserve">[9] </w:t>
                    </w:r>
                  </w:p>
                </w:tc>
                <w:tc>
                  <w:tcPr>
                    <w:tcW w:w="0" w:type="auto"/>
                    <w:hideMark/>
                  </w:tcPr>
                  <w:p w14:paraId="7B6BE190" w14:textId="77777777" w:rsidR="00AB0D39" w:rsidRPr="00903555" w:rsidRDefault="00AB0D39" w:rsidP="00903555">
                    <w:pPr>
                      <w:pStyle w:val="Bibliography"/>
                      <w:ind w:left="340"/>
                      <w:rPr>
                        <w:noProof/>
                        <w:szCs w:val="24"/>
                      </w:rPr>
                    </w:pPr>
                    <w:r w:rsidRPr="00903555">
                      <w:rPr>
                        <w:noProof/>
                        <w:szCs w:val="24"/>
                      </w:rPr>
                      <w:t xml:space="preserve">Rolls-Royce SMR Limited, GDA Step 2 Submission Schedule, 2 February 2023. (Record ref. 2023/8546). </w:t>
                    </w:r>
                  </w:p>
                </w:tc>
              </w:tr>
              <w:tr w:rsidR="00AB0D39" w:rsidRPr="00903555" w14:paraId="66E52CFC" w14:textId="77777777">
                <w:trPr>
                  <w:divId w:val="554702342"/>
                  <w:tblCellSpacing w:w="15" w:type="dxa"/>
                </w:trPr>
                <w:tc>
                  <w:tcPr>
                    <w:tcW w:w="50" w:type="pct"/>
                    <w:hideMark/>
                  </w:tcPr>
                  <w:p w14:paraId="0505E04B" w14:textId="77777777" w:rsidR="00AB0D39" w:rsidRPr="00903555" w:rsidRDefault="00AB0D39">
                    <w:pPr>
                      <w:pStyle w:val="Bibliography"/>
                      <w:rPr>
                        <w:noProof/>
                        <w:szCs w:val="24"/>
                      </w:rPr>
                    </w:pPr>
                    <w:r w:rsidRPr="00903555">
                      <w:rPr>
                        <w:noProof/>
                        <w:szCs w:val="24"/>
                      </w:rPr>
                      <w:t xml:space="preserve">[10] </w:t>
                    </w:r>
                  </w:p>
                </w:tc>
                <w:tc>
                  <w:tcPr>
                    <w:tcW w:w="0" w:type="auto"/>
                    <w:hideMark/>
                  </w:tcPr>
                  <w:p w14:paraId="4D7A463B" w14:textId="77777777" w:rsidR="00AB0D39" w:rsidRPr="00903555" w:rsidRDefault="00AB0D39" w:rsidP="00903555">
                    <w:pPr>
                      <w:pStyle w:val="Bibliography"/>
                      <w:ind w:left="340"/>
                      <w:rPr>
                        <w:noProof/>
                        <w:szCs w:val="24"/>
                      </w:rPr>
                    </w:pPr>
                    <w:r w:rsidRPr="00903555">
                      <w:rPr>
                        <w:noProof/>
                        <w:szCs w:val="24"/>
                      </w:rPr>
                      <w:t xml:space="preserve">ONR, Step 1 Assessment of Management for Safety and Quality Assurance of the Rolls-Royce Small Modular Reactor, ONR-NR-AR-22-014, Issue 1, December 2022. (Record ref. 2022/72211). </w:t>
                    </w:r>
                  </w:p>
                </w:tc>
              </w:tr>
              <w:tr w:rsidR="00AB0D39" w:rsidRPr="00903555" w14:paraId="4354DD13" w14:textId="77777777">
                <w:trPr>
                  <w:divId w:val="554702342"/>
                  <w:tblCellSpacing w:w="15" w:type="dxa"/>
                </w:trPr>
                <w:tc>
                  <w:tcPr>
                    <w:tcW w:w="50" w:type="pct"/>
                    <w:hideMark/>
                  </w:tcPr>
                  <w:p w14:paraId="00FB9A70" w14:textId="77777777" w:rsidR="00AB0D39" w:rsidRPr="00903555" w:rsidRDefault="00AB0D39">
                    <w:pPr>
                      <w:pStyle w:val="Bibliography"/>
                      <w:rPr>
                        <w:noProof/>
                        <w:szCs w:val="24"/>
                      </w:rPr>
                    </w:pPr>
                    <w:r w:rsidRPr="00903555">
                      <w:rPr>
                        <w:noProof/>
                        <w:szCs w:val="24"/>
                      </w:rPr>
                      <w:t xml:space="preserve">[11] </w:t>
                    </w:r>
                  </w:p>
                </w:tc>
                <w:tc>
                  <w:tcPr>
                    <w:tcW w:w="0" w:type="auto"/>
                    <w:hideMark/>
                  </w:tcPr>
                  <w:p w14:paraId="4F607AD3" w14:textId="77777777" w:rsidR="00AB0D39" w:rsidRPr="00903555" w:rsidRDefault="00AB0D39" w:rsidP="00903555">
                    <w:pPr>
                      <w:pStyle w:val="Bibliography"/>
                      <w:ind w:left="340"/>
                      <w:rPr>
                        <w:noProof/>
                        <w:szCs w:val="24"/>
                      </w:rPr>
                    </w:pPr>
                    <w:r w:rsidRPr="00903555">
                      <w:rPr>
                        <w:noProof/>
                        <w:szCs w:val="24"/>
                      </w:rPr>
                      <w:t xml:space="preserve">Rolls-Royce SMR Limited, Integrated Management System Manual, SMR0001351, Issue 1, December 2022. (Record ref. 2023/7137). </w:t>
                    </w:r>
                  </w:p>
                </w:tc>
              </w:tr>
              <w:tr w:rsidR="00AB0D39" w:rsidRPr="00903555" w14:paraId="4CE49B9E" w14:textId="77777777">
                <w:trPr>
                  <w:divId w:val="554702342"/>
                  <w:tblCellSpacing w:w="15" w:type="dxa"/>
                </w:trPr>
                <w:tc>
                  <w:tcPr>
                    <w:tcW w:w="50" w:type="pct"/>
                    <w:hideMark/>
                  </w:tcPr>
                  <w:p w14:paraId="29B200D7" w14:textId="77777777" w:rsidR="00AB0D39" w:rsidRPr="00903555" w:rsidRDefault="00AB0D39">
                    <w:pPr>
                      <w:pStyle w:val="Bibliography"/>
                      <w:rPr>
                        <w:noProof/>
                        <w:szCs w:val="24"/>
                      </w:rPr>
                    </w:pPr>
                    <w:r w:rsidRPr="00903555">
                      <w:rPr>
                        <w:noProof/>
                        <w:szCs w:val="24"/>
                      </w:rPr>
                      <w:t xml:space="preserve">[12] </w:t>
                    </w:r>
                  </w:p>
                </w:tc>
                <w:tc>
                  <w:tcPr>
                    <w:tcW w:w="0" w:type="auto"/>
                    <w:hideMark/>
                  </w:tcPr>
                  <w:p w14:paraId="2CD6F0E7" w14:textId="77777777" w:rsidR="00AB0D39" w:rsidRPr="00903555" w:rsidRDefault="00AB0D39" w:rsidP="00903555">
                    <w:pPr>
                      <w:pStyle w:val="Bibliography"/>
                      <w:ind w:left="340"/>
                      <w:rPr>
                        <w:noProof/>
                        <w:szCs w:val="24"/>
                      </w:rPr>
                    </w:pPr>
                    <w:r w:rsidRPr="00903555">
                      <w:rPr>
                        <w:noProof/>
                        <w:szCs w:val="24"/>
                      </w:rPr>
                      <w:t xml:space="preserve">ONR, New Nuclear Power Plants: Generic Design Assessment Technical Guidance, ONR-GDA-GD-007, Revision 0, May 2019. www.onr.org.uk/new-reactors/reports/onr-gda-007.pdf. </w:t>
                    </w:r>
                  </w:p>
                </w:tc>
              </w:tr>
              <w:tr w:rsidR="00AB0D39" w:rsidRPr="00903555" w14:paraId="404F519E" w14:textId="77777777">
                <w:trPr>
                  <w:divId w:val="554702342"/>
                  <w:tblCellSpacing w:w="15" w:type="dxa"/>
                </w:trPr>
                <w:tc>
                  <w:tcPr>
                    <w:tcW w:w="50" w:type="pct"/>
                    <w:hideMark/>
                  </w:tcPr>
                  <w:p w14:paraId="7932E419" w14:textId="77777777" w:rsidR="00AB0D39" w:rsidRPr="00903555" w:rsidRDefault="00AB0D39">
                    <w:pPr>
                      <w:pStyle w:val="Bibliography"/>
                      <w:rPr>
                        <w:noProof/>
                        <w:szCs w:val="24"/>
                      </w:rPr>
                    </w:pPr>
                    <w:r w:rsidRPr="00903555">
                      <w:rPr>
                        <w:noProof/>
                        <w:szCs w:val="24"/>
                      </w:rPr>
                      <w:t xml:space="preserve">[13] </w:t>
                    </w:r>
                  </w:p>
                </w:tc>
                <w:tc>
                  <w:tcPr>
                    <w:tcW w:w="0" w:type="auto"/>
                    <w:hideMark/>
                  </w:tcPr>
                  <w:p w14:paraId="30657BE8" w14:textId="77777777" w:rsidR="00AB0D39" w:rsidRPr="00903555" w:rsidRDefault="00AB0D39" w:rsidP="00903555">
                    <w:pPr>
                      <w:pStyle w:val="Bibliography"/>
                      <w:ind w:left="340"/>
                      <w:rPr>
                        <w:noProof/>
                        <w:szCs w:val="24"/>
                      </w:rPr>
                    </w:pPr>
                    <w:r w:rsidRPr="00903555">
                      <w:rPr>
                        <w:noProof/>
                        <w:szCs w:val="24"/>
                      </w:rPr>
                      <w:t xml:space="preserve">Rolls-Royce SMR Limited, Generic Design Assessment Quality Management Plan, SMR0000963, Issue 2, October 2022. (Record ref. 2022/63726). </w:t>
                    </w:r>
                  </w:p>
                </w:tc>
              </w:tr>
              <w:tr w:rsidR="00AB0D39" w:rsidRPr="00903555" w14:paraId="5669C15F" w14:textId="77777777">
                <w:trPr>
                  <w:divId w:val="554702342"/>
                  <w:tblCellSpacing w:w="15" w:type="dxa"/>
                </w:trPr>
                <w:tc>
                  <w:tcPr>
                    <w:tcW w:w="50" w:type="pct"/>
                    <w:hideMark/>
                  </w:tcPr>
                  <w:p w14:paraId="3DFAE82D" w14:textId="77777777" w:rsidR="00AB0D39" w:rsidRPr="00903555" w:rsidRDefault="00AB0D39">
                    <w:pPr>
                      <w:pStyle w:val="Bibliography"/>
                      <w:rPr>
                        <w:noProof/>
                        <w:szCs w:val="24"/>
                      </w:rPr>
                    </w:pPr>
                    <w:r w:rsidRPr="00903555">
                      <w:rPr>
                        <w:noProof/>
                        <w:szCs w:val="24"/>
                      </w:rPr>
                      <w:lastRenderedPageBreak/>
                      <w:t xml:space="preserve">[14] </w:t>
                    </w:r>
                  </w:p>
                </w:tc>
                <w:tc>
                  <w:tcPr>
                    <w:tcW w:w="0" w:type="auto"/>
                    <w:hideMark/>
                  </w:tcPr>
                  <w:p w14:paraId="5DA9CEA7" w14:textId="77777777" w:rsidR="00AB0D39" w:rsidRPr="00903555" w:rsidRDefault="00AB0D39" w:rsidP="00903555">
                    <w:pPr>
                      <w:pStyle w:val="Bibliography"/>
                      <w:ind w:left="340"/>
                      <w:rPr>
                        <w:noProof/>
                        <w:szCs w:val="24"/>
                      </w:rPr>
                    </w:pPr>
                    <w:r w:rsidRPr="00903555">
                      <w:rPr>
                        <w:noProof/>
                        <w:szCs w:val="24"/>
                      </w:rPr>
                      <w:t xml:space="preserve">ONR, Generic Design Assessment Interface Arrangements with Rolls-Royce SMR Limited, ONR-GEN-IN-023, Issue 1, July 2022. (Record ref. 2022/40296). </w:t>
                    </w:r>
                  </w:p>
                </w:tc>
              </w:tr>
              <w:tr w:rsidR="00AB0D39" w:rsidRPr="00903555" w14:paraId="0032C98B" w14:textId="77777777">
                <w:trPr>
                  <w:divId w:val="554702342"/>
                  <w:tblCellSpacing w:w="15" w:type="dxa"/>
                </w:trPr>
                <w:tc>
                  <w:tcPr>
                    <w:tcW w:w="50" w:type="pct"/>
                    <w:hideMark/>
                  </w:tcPr>
                  <w:p w14:paraId="322C3826" w14:textId="77777777" w:rsidR="00AB0D39" w:rsidRPr="00903555" w:rsidRDefault="00AB0D39">
                    <w:pPr>
                      <w:pStyle w:val="Bibliography"/>
                      <w:rPr>
                        <w:noProof/>
                        <w:szCs w:val="24"/>
                      </w:rPr>
                    </w:pPr>
                    <w:r w:rsidRPr="00903555">
                      <w:rPr>
                        <w:noProof/>
                        <w:szCs w:val="24"/>
                      </w:rPr>
                      <w:t xml:space="preserve">[15] </w:t>
                    </w:r>
                  </w:p>
                </w:tc>
                <w:tc>
                  <w:tcPr>
                    <w:tcW w:w="0" w:type="auto"/>
                    <w:hideMark/>
                  </w:tcPr>
                  <w:p w14:paraId="6572CD17" w14:textId="77777777" w:rsidR="00AB0D39" w:rsidRPr="00903555" w:rsidRDefault="00AB0D39" w:rsidP="00903555">
                    <w:pPr>
                      <w:pStyle w:val="Bibliography"/>
                      <w:ind w:left="340"/>
                      <w:rPr>
                        <w:noProof/>
                        <w:szCs w:val="24"/>
                      </w:rPr>
                    </w:pPr>
                    <w:r w:rsidRPr="00903555">
                      <w:rPr>
                        <w:noProof/>
                        <w:szCs w:val="24"/>
                      </w:rPr>
                      <w:t xml:space="preserve">Rolls-Royce SMR Limited, Master Document Submission Lists and Document List, SMR0001724, Issue 7, February 2023. (Record ref. 2023/8388). </w:t>
                    </w:r>
                  </w:p>
                </w:tc>
              </w:tr>
              <w:tr w:rsidR="00AB0D39" w:rsidRPr="00903555" w14:paraId="20BA5FBA" w14:textId="77777777">
                <w:trPr>
                  <w:divId w:val="554702342"/>
                  <w:tblCellSpacing w:w="15" w:type="dxa"/>
                </w:trPr>
                <w:tc>
                  <w:tcPr>
                    <w:tcW w:w="50" w:type="pct"/>
                    <w:hideMark/>
                  </w:tcPr>
                  <w:p w14:paraId="376A9956" w14:textId="77777777" w:rsidR="00AB0D39" w:rsidRPr="00903555" w:rsidRDefault="00AB0D39">
                    <w:pPr>
                      <w:pStyle w:val="Bibliography"/>
                      <w:rPr>
                        <w:noProof/>
                        <w:szCs w:val="24"/>
                      </w:rPr>
                    </w:pPr>
                    <w:r w:rsidRPr="00903555">
                      <w:rPr>
                        <w:noProof/>
                        <w:szCs w:val="24"/>
                      </w:rPr>
                      <w:t xml:space="preserve">[16] </w:t>
                    </w:r>
                  </w:p>
                </w:tc>
                <w:tc>
                  <w:tcPr>
                    <w:tcW w:w="0" w:type="auto"/>
                    <w:hideMark/>
                  </w:tcPr>
                  <w:p w14:paraId="0F8948CB" w14:textId="77777777" w:rsidR="00AB0D39" w:rsidRPr="00903555" w:rsidRDefault="00AB0D39" w:rsidP="00903555">
                    <w:pPr>
                      <w:pStyle w:val="Bibliography"/>
                      <w:ind w:left="340"/>
                      <w:rPr>
                        <w:noProof/>
                        <w:szCs w:val="24"/>
                      </w:rPr>
                    </w:pPr>
                    <w:r w:rsidRPr="00903555">
                      <w:rPr>
                        <w:noProof/>
                        <w:szCs w:val="24"/>
                      </w:rPr>
                      <w:t xml:space="preserve">Rolls-Royce SMR Limited, Project Operating Instruction TITLE: Regulatory Correspondence, SMR0000967, Issue 1, September 2022. (Record ref. 2022/63735). </w:t>
                    </w:r>
                  </w:p>
                </w:tc>
              </w:tr>
              <w:tr w:rsidR="00AB0D39" w:rsidRPr="00903555" w14:paraId="17EA9A05" w14:textId="77777777">
                <w:trPr>
                  <w:divId w:val="554702342"/>
                  <w:tblCellSpacing w:w="15" w:type="dxa"/>
                </w:trPr>
                <w:tc>
                  <w:tcPr>
                    <w:tcW w:w="50" w:type="pct"/>
                    <w:hideMark/>
                  </w:tcPr>
                  <w:p w14:paraId="28F71D17" w14:textId="77777777" w:rsidR="00AB0D39" w:rsidRPr="00903555" w:rsidRDefault="00AB0D39">
                    <w:pPr>
                      <w:pStyle w:val="Bibliography"/>
                      <w:rPr>
                        <w:noProof/>
                        <w:szCs w:val="24"/>
                      </w:rPr>
                    </w:pPr>
                    <w:r w:rsidRPr="00903555">
                      <w:rPr>
                        <w:noProof/>
                        <w:szCs w:val="24"/>
                      </w:rPr>
                      <w:t xml:space="preserve">[17] </w:t>
                    </w:r>
                  </w:p>
                </w:tc>
                <w:tc>
                  <w:tcPr>
                    <w:tcW w:w="0" w:type="auto"/>
                    <w:hideMark/>
                  </w:tcPr>
                  <w:p w14:paraId="2B23CFE0" w14:textId="77777777" w:rsidR="00AB0D39" w:rsidRPr="00903555" w:rsidRDefault="00AB0D39" w:rsidP="00903555">
                    <w:pPr>
                      <w:pStyle w:val="Bibliography"/>
                      <w:ind w:left="340"/>
                      <w:rPr>
                        <w:noProof/>
                        <w:szCs w:val="24"/>
                      </w:rPr>
                    </w:pPr>
                    <w:r w:rsidRPr="00903555">
                      <w:rPr>
                        <w:noProof/>
                        <w:szCs w:val="24"/>
                      </w:rPr>
                      <w:t xml:space="preserve">Rolls-Royce SMR Limited, Project Operating Instruction TITLE: Manageing Regulatory Queries (RQs), SMR0000964, Issue 1, June 2022. (Record ref. 2022/63728). </w:t>
                    </w:r>
                  </w:p>
                </w:tc>
              </w:tr>
              <w:tr w:rsidR="00AB0D39" w:rsidRPr="00903555" w14:paraId="5C00BF51" w14:textId="77777777">
                <w:trPr>
                  <w:divId w:val="554702342"/>
                  <w:tblCellSpacing w:w="15" w:type="dxa"/>
                </w:trPr>
                <w:tc>
                  <w:tcPr>
                    <w:tcW w:w="50" w:type="pct"/>
                    <w:hideMark/>
                  </w:tcPr>
                  <w:p w14:paraId="1E237CE6" w14:textId="77777777" w:rsidR="00AB0D39" w:rsidRPr="00903555" w:rsidRDefault="00AB0D39">
                    <w:pPr>
                      <w:pStyle w:val="Bibliography"/>
                      <w:rPr>
                        <w:noProof/>
                        <w:szCs w:val="24"/>
                      </w:rPr>
                    </w:pPr>
                    <w:r w:rsidRPr="00903555">
                      <w:rPr>
                        <w:noProof/>
                        <w:szCs w:val="24"/>
                      </w:rPr>
                      <w:t xml:space="preserve">[18] </w:t>
                    </w:r>
                  </w:p>
                </w:tc>
                <w:tc>
                  <w:tcPr>
                    <w:tcW w:w="0" w:type="auto"/>
                    <w:hideMark/>
                  </w:tcPr>
                  <w:p w14:paraId="527B372E" w14:textId="77777777" w:rsidR="00AB0D39" w:rsidRPr="00903555" w:rsidRDefault="00AB0D39" w:rsidP="00903555">
                    <w:pPr>
                      <w:pStyle w:val="Bibliography"/>
                      <w:ind w:left="340"/>
                      <w:rPr>
                        <w:noProof/>
                        <w:szCs w:val="24"/>
                      </w:rPr>
                    </w:pPr>
                    <w:r w:rsidRPr="00903555">
                      <w:rPr>
                        <w:noProof/>
                        <w:szCs w:val="24"/>
                      </w:rPr>
                      <w:t xml:space="preserve">Rolls-Royce SMR Limited, Project Operating Instruction TITLE: Managing Regulatory Observations (ROs) and Regulatory Issues (RIs), SMR0000965, Issue 1, September 2022. (Record ref. 2022/63729). </w:t>
                    </w:r>
                  </w:p>
                </w:tc>
              </w:tr>
              <w:tr w:rsidR="00AB0D39" w:rsidRPr="00903555" w14:paraId="3C5222F8" w14:textId="77777777">
                <w:trPr>
                  <w:divId w:val="554702342"/>
                  <w:tblCellSpacing w:w="15" w:type="dxa"/>
                </w:trPr>
                <w:tc>
                  <w:tcPr>
                    <w:tcW w:w="50" w:type="pct"/>
                    <w:hideMark/>
                  </w:tcPr>
                  <w:p w14:paraId="23B87DF0" w14:textId="77777777" w:rsidR="00AB0D39" w:rsidRPr="00903555" w:rsidRDefault="00AB0D39">
                    <w:pPr>
                      <w:pStyle w:val="Bibliography"/>
                      <w:rPr>
                        <w:noProof/>
                        <w:szCs w:val="24"/>
                      </w:rPr>
                    </w:pPr>
                    <w:r w:rsidRPr="00903555">
                      <w:rPr>
                        <w:noProof/>
                        <w:szCs w:val="24"/>
                      </w:rPr>
                      <w:t xml:space="preserve">[19] </w:t>
                    </w:r>
                  </w:p>
                </w:tc>
                <w:tc>
                  <w:tcPr>
                    <w:tcW w:w="0" w:type="auto"/>
                    <w:hideMark/>
                  </w:tcPr>
                  <w:p w14:paraId="77C42F29" w14:textId="77777777" w:rsidR="00AB0D39" w:rsidRPr="00903555" w:rsidRDefault="00AB0D39" w:rsidP="00903555">
                    <w:pPr>
                      <w:pStyle w:val="Bibliography"/>
                      <w:ind w:left="340"/>
                      <w:rPr>
                        <w:noProof/>
                        <w:szCs w:val="24"/>
                      </w:rPr>
                    </w:pPr>
                    <w:r w:rsidRPr="00903555">
                      <w:rPr>
                        <w:noProof/>
                        <w:szCs w:val="24"/>
                      </w:rPr>
                      <w:t xml:space="preserve">Rolls-Royce SMR Limited, Rolls-Royce Small Modular Reactor Master Records Index - Reference Design 5 - In Support of Preliminary Concept Definition, SMR0001204, Issue 1, June 2022. (Record ref. 2022/69359). </w:t>
                    </w:r>
                  </w:p>
                </w:tc>
              </w:tr>
              <w:tr w:rsidR="00AB0D39" w:rsidRPr="00903555" w14:paraId="746CECCC" w14:textId="77777777">
                <w:trPr>
                  <w:divId w:val="554702342"/>
                  <w:tblCellSpacing w:w="15" w:type="dxa"/>
                </w:trPr>
                <w:tc>
                  <w:tcPr>
                    <w:tcW w:w="50" w:type="pct"/>
                    <w:hideMark/>
                  </w:tcPr>
                  <w:p w14:paraId="36144D4D" w14:textId="77777777" w:rsidR="00AB0D39" w:rsidRPr="00903555" w:rsidRDefault="00AB0D39">
                    <w:pPr>
                      <w:pStyle w:val="Bibliography"/>
                      <w:rPr>
                        <w:noProof/>
                        <w:szCs w:val="24"/>
                      </w:rPr>
                    </w:pPr>
                    <w:r w:rsidRPr="00903555">
                      <w:rPr>
                        <w:noProof/>
                        <w:szCs w:val="24"/>
                      </w:rPr>
                      <w:t xml:space="preserve">[20] </w:t>
                    </w:r>
                  </w:p>
                </w:tc>
                <w:tc>
                  <w:tcPr>
                    <w:tcW w:w="0" w:type="auto"/>
                    <w:hideMark/>
                  </w:tcPr>
                  <w:p w14:paraId="43E64835" w14:textId="77777777" w:rsidR="00AB0D39" w:rsidRPr="00903555" w:rsidRDefault="00AB0D39" w:rsidP="00903555">
                    <w:pPr>
                      <w:pStyle w:val="Bibliography"/>
                      <w:ind w:left="340"/>
                      <w:rPr>
                        <w:noProof/>
                        <w:szCs w:val="24"/>
                      </w:rPr>
                    </w:pPr>
                    <w:r w:rsidRPr="00903555">
                      <w:rPr>
                        <w:noProof/>
                        <w:szCs w:val="24"/>
                      </w:rPr>
                      <w:t xml:space="preserve">Rolls-Royce SMR Limited, Full response - Design Reference for GDA, RQ-RRSMR-0002, January 2023. (Record ref. 2023/6777). </w:t>
                    </w:r>
                  </w:p>
                </w:tc>
              </w:tr>
              <w:tr w:rsidR="00AB0D39" w:rsidRPr="00903555" w14:paraId="21FC29C8" w14:textId="77777777">
                <w:trPr>
                  <w:divId w:val="554702342"/>
                  <w:tblCellSpacing w:w="15" w:type="dxa"/>
                </w:trPr>
                <w:tc>
                  <w:tcPr>
                    <w:tcW w:w="50" w:type="pct"/>
                    <w:hideMark/>
                  </w:tcPr>
                  <w:p w14:paraId="11C53C42" w14:textId="77777777" w:rsidR="00AB0D39" w:rsidRPr="00903555" w:rsidRDefault="00AB0D39">
                    <w:pPr>
                      <w:pStyle w:val="Bibliography"/>
                      <w:rPr>
                        <w:noProof/>
                        <w:szCs w:val="24"/>
                      </w:rPr>
                    </w:pPr>
                    <w:r w:rsidRPr="00903555">
                      <w:rPr>
                        <w:noProof/>
                        <w:szCs w:val="24"/>
                      </w:rPr>
                      <w:t xml:space="preserve">[21] </w:t>
                    </w:r>
                  </w:p>
                </w:tc>
                <w:tc>
                  <w:tcPr>
                    <w:tcW w:w="0" w:type="auto"/>
                    <w:hideMark/>
                  </w:tcPr>
                  <w:p w14:paraId="56A5640D" w14:textId="77777777" w:rsidR="00AB0D39" w:rsidRPr="00903555" w:rsidRDefault="00AB0D39" w:rsidP="00903555">
                    <w:pPr>
                      <w:pStyle w:val="Bibliography"/>
                      <w:ind w:left="340"/>
                      <w:rPr>
                        <w:noProof/>
                        <w:szCs w:val="24"/>
                      </w:rPr>
                    </w:pPr>
                    <w:r w:rsidRPr="00903555">
                      <w:rPr>
                        <w:noProof/>
                        <w:szCs w:val="24"/>
                      </w:rPr>
                      <w:t xml:space="preserve">Rolls-Royce SMR Limited, Configuration Management Plan for Rolls-Royce SMR, SMR0000521, Issue 1, July 2022. (Record ref. 2022/63699). </w:t>
                    </w:r>
                  </w:p>
                </w:tc>
              </w:tr>
              <w:tr w:rsidR="00AB0D39" w:rsidRPr="00903555" w14:paraId="25E4E75B" w14:textId="77777777">
                <w:trPr>
                  <w:divId w:val="554702342"/>
                  <w:tblCellSpacing w:w="15" w:type="dxa"/>
                </w:trPr>
                <w:tc>
                  <w:tcPr>
                    <w:tcW w:w="50" w:type="pct"/>
                    <w:hideMark/>
                  </w:tcPr>
                  <w:p w14:paraId="61DB9613" w14:textId="77777777" w:rsidR="00AB0D39" w:rsidRPr="00903555" w:rsidRDefault="00AB0D39">
                    <w:pPr>
                      <w:pStyle w:val="Bibliography"/>
                      <w:rPr>
                        <w:noProof/>
                        <w:szCs w:val="24"/>
                      </w:rPr>
                    </w:pPr>
                    <w:r w:rsidRPr="00903555">
                      <w:rPr>
                        <w:noProof/>
                        <w:szCs w:val="24"/>
                      </w:rPr>
                      <w:t xml:space="preserve">[22] </w:t>
                    </w:r>
                  </w:p>
                </w:tc>
                <w:tc>
                  <w:tcPr>
                    <w:tcW w:w="0" w:type="auto"/>
                    <w:hideMark/>
                  </w:tcPr>
                  <w:p w14:paraId="40194E7D" w14:textId="77777777" w:rsidR="00AB0D39" w:rsidRPr="00903555" w:rsidRDefault="00AB0D39" w:rsidP="00903555">
                    <w:pPr>
                      <w:pStyle w:val="Bibliography"/>
                      <w:ind w:left="340"/>
                      <w:rPr>
                        <w:noProof/>
                        <w:szCs w:val="24"/>
                      </w:rPr>
                    </w:pPr>
                    <w:r w:rsidRPr="00903555">
                      <w:rPr>
                        <w:noProof/>
                        <w:szCs w:val="24"/>
                      </w:rPr>
                      <w:t xml:space="preserve">Rolls-Royce SMR Limited, Rolls-Royce SMR Engineering Change Management Policy, SMR0001441, Issue 3, October 2022. (Record ref. 2022/63713). </w:t>
                    </w:r>
                  </w:p>
                </w:tc>
              </w:tr>
              <w:tr w:rsidR="00AB0D39" w:rsidRPr="00903555" w14:paraId="25AF894F" w14:textId="77777777">
                <w:trPr>
                  <w:divId w:val="554702342"/>
                  <w:tblCellSpacing w:w="15" w:type="dxa"/>
                </w:trPr>
                <w:tc>
                  <w:tcPr>
                    <w:tcW w:w="50" w:type="pct"/>
                    <w:hideMark/>
                  </w:tcPr>
                  <w:p w14:paraId="598C4EA5" w14:textId="77777777" w:rsidR="00AB0D39" w:rsidRPr="00903555" w:rsidRDefault="00AB0D39">
                    <w:pPr>
                      <w:pStyle w:val="Bibliography"/>
                      <w:rPr>
                        <w:noProof/>
                        <w:szCs w:val="24"/>
                      </w:rPr>
                    </w:pPr>
                    <w:r w:rsidRPr="00903555">
                      <w:rPr>
                        <w:noProof/>
                        <w:szCs w:val="24"/>
                      </w:rPr>
                      <w:t xml:space="preserve">[23] </w:t>
                    </w:r>
                  </w:p>
                </w:tc>
                <w:tc>
                  <w:tcPr>
                    <w:tcW w:w="0" w:type="auto"/>
                    <w:hideMark/>
                  </w:tcPr>
                  <w:p w14:paraId="76B1FFCE" w14:textId="77777777" w:rsidR="00AB0D39" w:rsidRPr="00903555" w:rsidRDefault="00AB0D39" w:rsidP="00903555">
                    <w:pPr>
                      <w:pStyle w:val="Bibliography"/>
                      <w:ind w:left="340"/>
                      <w:rPr>
                        <w:noProof/>
                        <w:szCs w:val="24"/>
                      </w:rPr>
                    </w:pPr>
                    <w:r w:rsidRPr="00903555">
                      <w:rPr>
                        <w:noProof/>
                        <w:szCs w:val="24"/>
                      </w:rPr>
                      <w:t xml:space="preserve">Rolls-Royce SMR Limited, Full response - Change Control During GDA, RQ-RRSRM-0003, January 2023. (Record ref. 2023/2556). </w:t>
                    </w:r>
                  </w:p>
                </w:tc>
              </w:tr>
              <w:tr w:rsidR="00AB0D39" w:rsidRPr="00903555" w14:paraId="165AF977" w14:textId="77777777">
                <w:trPr>
                  <w:divId w:val="554702342"/>
                  <w:tblCellSpacing w:w="15" w:type="dxa"/>
                </w:trPr>
                <w:tc>
                  <w:tcPr>
                    <w:tcW w:w="50" w:type="pct"/>
                    <w:hideMark/>
                  </w:tcPr>
                  <w:p w14:paraId="5A335EC2" w14:textId="77777777" w:rsidR="00AB0D39" w:rsidRPr="00903555" w:rsidRDefault="00AB0D39">
                    <w:pPr>
                      <w:pStyle w:val="Bibliography"/>
                      <w:rPr>
                        <w:noProof/>
                        <w:szCs w:val="24"/>
                      </w:rPr>
                    </w:pPr>
                    <w:r w:rsidRPr="00903555">
                      <w:rPr>
                        <w:noProof/>
                        <w:szCs w:val="24"/>
                      </w:rPr>
                      <w:t xml:space="preserve">[24] </w:t>
                    </w:r>
                  </w:p>
                </w:tc>
                <w:tc>
                  <w:tcPr>
                    <w:tcW w:w="0" w:type="auto"/>
                    <w:hideMark/>
                  </w:tcPr>
                  <w:p w14:paraId="7FC7281E" w14:textId="77777777" w:rsidR="00AB0D39" w:rsidRPr="00903555" w:rsidRDefault="00AB0D39" w:rsidP="00903555">
                    <w:pPr>
                      <w:pStyle w:val="Bibliography"/>
                      <w:ind w:left="340"/>
                      <w:rPr>
                        <w:noProof/>
                        <w:szCs w:val="24"/>
                      </w:rPr>
                    </w:pPr>
                    <w:r w:rsidRPr="00903555">
                      <w:rPr>
                        <w:noProof/>
                        <w:szCs w:val="24"/>
                      </w:rPr>
                      <w:t xml:space="preserve">Rolls-Royce SMR Limited, Engineering Management Plan for Rolls-Royce SMR, SMR0000520, Issue 3, October 2022. (Record ref. 2022/63722). </w:t>
                    </w:r>
                  </w:p>
                </w:tc>
              </w:tr>
              <w:tr w:rsidR="00AB0D39" w:rsidRPr="00903555" w14:paraId="0BF41419" w14:textId="77777777">
                <w:trPr>
                  <w:divId w:val="554702342"/>
                  <w:tblCellSpacing w:w="15" w:type="dxa"/>
                </w:trPr>
                <w:tc>
                  <w:tcPr>
                    <w:tcW w:w="50" w:type="pct"/>
                    <w:hideMark/>
                  </w:tcPr>
                  <w:p w14:paraId="3B2119BB" w14:textId="77777777" w:rsidR="00AB0D39" w:rsidRPr="00903555" w:rsidRDefault="00AB0D39">
                    <w:pPr>
                      <w:pStyle w:val="Bibliography"/>
                      <w:rPr>
                        <w:noProof/>
                        <w:szCs w:val="24"/>
                      </w:rPr>
                    </w:pPr>
                    <w:r w:rsidRPr="00903555">
                      <w:rPr>
                        <w:noProof/>
                        <w:szCs w:val="24"/>
                      </w:rPr>
                      <w:t xml:space="preserve">[25] </w:t>
                    </w:r>
                  </w:p>
                </w:tc>
                <w:tc>
                  <w:tcPr>
                    <w:tcW w:w="0" w:type="auto"/>
                    <w:hideMark/>
                  </w:tcPr>
                  <w:p w14:paraId="7FE4EA0E" w14:textId="77777777" w:rsidR="00AB0D39" w:rsidRPr="00903555" w:rsidRDefault="00AB0D39" w:rsidP="00903555">
                    <w:pPr>
                      <w:pStyle w:val="Bibliography"/>
                      <w:ind w:left="340"/>
                      <w:rPr>
                        <w:noProof/>
                        <w:szCs w:val="24"/>
                      </w:rPr>
                    </w:pPr>
                    <w:r w:rsidRPr="00903555">
                      <w:rPr>
                        <w:noProof/>
                        <w:szCs w:val="24"/>
                      </w:rPr>
                      <w:t xml:space="preserve">Rolls-Royce SMR Limited, Project Operating Instruction TITLE: Identifying, recording, and tracking GDA and Licensing Assumptions and Commitments, SMR0002119, Issue 1, September 2022. (Record ref. 2022/63738). </w:t>
                    </w:r>
                  </w:p>
                </w:tc>
              </w:tr>
              <w:tr w:rsidR="00AB0D39" w:rsidRPr="00903555" w14:paraId="6EE9EA78" w14:textId="77777777">
                <w:trPr>
                  <w:divId w:val="554702342"/>
                  <w:tblCellSpacing w:w="15" w:type="dxa"/>
                </w:trPr>
                <w:tc>
                  <w:tcPr>
                    <w:tcW w:w="50" w:type="pct"/>
                    <w:hideMark/>
                  </w:tcPr>
                  <w:p w14:paraId="2DB3C40C" w14:textId="77777777" w:rsidR="00AB0D39" w:rsidRPr="00903555" w:rsidRDefault="00AB0D39">
                    <w:pPr>
                      <w:pStyle w:val="Bibliography"/>
                      <w:rPr>
                        <w:noProof/>
                        <w:szCs w:val="24"/>
                      </w:rPr>
                    </w:pPr>
                    <w:r w:rsidRPr="00903555">
                      <w:rPr>
                        <w:noProof/>
                        <w:szCs w:val="24"/>
                      </w:rPr>
                      <w:t xml:space="preserve">[26] </w:t>
                    </w:r>
                  </w:p>
                </w:tc>
                <w:tc>
                  <w:tcPr>
                    <w:tcW w:w="0" w:type="auto"/>
                    <w:hideMark/>
                  </w:tcPr>
                  <w:p w14:paraId="6474C657" w14:textId="77777777" w:rsidR="00AB0D39" w:rsidRPr="00903555" w:rsidRDefault="00AB0D39" w:rsidP="00903555">
                    <w:pPr>
                      <w:pStyle w:val="Bibliography"/>
                      <w:ind w:left="340"/>
                      <w:rPr>
                        <w:noProof/>
                        <w:szCs w:val="24"/>
                      </w:rPr>
                    </w:pPr>
                    <w:r w:rsidRPr="00903555">
                      <w:rPr>
                        <w:noProof/>
                        <w:szCs w:val="24"/>
                      </w:rPr>
                      <w:t xml:space="preserve">Rolls-Royce SMR Limited, Rolls-Royce SMR Generic Design Assessment Scope, SMR0002183, Issue 2, January 2023. (Record ref. 2023/7807). </w:t>
                    </w:r>
                  </w:p>
                </w:tc>
              </w:tr>
              <w:tr w:rsidR="00AB0D39" w:rsidRPr="00903555" w14:paraId="72E6068C" w14:textId="77777777">
                <w:trPr>
                  <w:divId w:val="554702342"/>
                  <w:tblCellSpacing w:w="15" w:type="dxa"/>
                </w:trPr>
                <w:tc>
                  <w:tcPr>
                    <w:tcW w:w="50" w:type="pct"/>
                    <w:hideMark/>
                  </w:tcPr>
                  <w:p w14:paraId="1ED4E8E5" w14:textId="77777777" w:rsidR="00AB0D39" w:rsidRPr="00903555" w:rsidRDefault="00AB0D39">
                    <w:pPr>
                      <w:pStyle w:val="Bibliography"/>
                      <w:rPr>
                        <w:noProof/>
                        <w:szCs w:val="24"/>
                      </w:rPr>
                    </w:pPr>
                    <w:r w:rsidRPr="00903555">
                      <w:rPr>
                        <w:noProof/>
                        <w:szCs w:val="24"/>
                      </w:rPr>
                      <w:t xml:space="preserve">[27] </w:t>
                    </w:r>
                  </w:p>
                </w:tc>
                <w:tc>
                  <w:tcPr>
                    <w:tcW w:w="0" w:type="auto"/>
                    <w:hideMark/>
                  </w:tcPr>
                  <w:p w14:paraId="68F750DC" w14:textId="77777777" w:rsidR="00AB0D39" w:rsidRPr="00903555" w:rsidRDefault="00AB0D39" w:rsidP="00903555">
                    <w:pPr>
                      <w:pStyle w:val="Bibliography"/>
                      <w:ind w:left="340"/>
                      <w:rPr>
                        <w:noProof/>
                        <w:szCs w:val="24"/>
                      </w:rPr>
                    </w:pPr>
                    <w:r w:rsidRPr="00903555">
                      <w:rPr>
                        <w:noProof/>
                        <w:szCs w:val="24"/>
                      </w:rPr>
                      <w:t xml:space="preserve">Rolls-Royce SMR Limited, RR SMR UK Generic Site Envelope, SMR0001535, Issue 1, August 2022. (Record ref. 2022/51248). </w:t>
                    </w:r>
                  </w:p>
                </w:tc>
              </w:tr>
              <w:tr w:rsidR="00AB0D39" w:rsidRPr="00903555" w14:paraId="3824AFEA" w14:textId="77777777">
                <w:trPr>
                  <w:divId w:val="554702342"/>
                  <w:tblCellSpacing w:w="15" w:type="dxa"/>
                </w:trPr>
                <w:tc>
                  <w:tcPr>
                    <w:tcW w:w="50" w:type="pct"/>
                    <w:hideMark/>
                  </w:tcPr>
                  <w:p w14:paraId="7D962802" w14:textId="77777777" w:rsidR="00AB0D39" w:rsidRPr="00903555" w:rsidRDefault="00AB0D39">
                    <w:pPr>
                      <w:pStyle w:val="Bibliography"/>
                      <w:rPr>
                        <w:noProof/>
                        <w:szCs w:val="24"/>
                      </w:rPr>
                    </w:pPr>
                    <w:r w:rsidRPr="00903555">
                      <w:rPr>
                        <w:noProof/>
                        <w:szCs w:val="24"/>
                      </w:rPr>
                      <w:lastRenderedPageBreak/>
                      <w:t xml:space="preserve">[28] </w:t>
                    </w:r>
                  </w:p>
                </w:tc>
                <w:tc>
                  <w:tcPr>
                    <w:tcW w:w="0" w:type="auto"/>
                    <w:hideMark/>
                  </w:tcPr>
                  <w:p w14:paraId="0489DE60" w14:textId="77777777" w:rsidR="00AB0D39" w:rsidRPr="00903555" w:rsidRDefault="00AB0D39" w:rsidP="00903555">
                    <w:pPr>
                      <w:pStyle w:val="Bibliography"/>
                      <w:ind w:left="340"/>
                      <w:rPr>
                        <w:noProof/>
                        <w:szCs w:val="24"/>
                      </w:rPr>
                    </w:pPr>
                    <w:r w:rsidRPr="00903555">
                      <w:rPr>
                        <w:noProof/>
                        <w:szCs w:val="24"/>
                      </w:rPr>
                      <w:t xml:space="preserve">Rolls-Royce SMR Limited, Rolls-Royce Small Modular Reactor (RR SMR) - Preliminary Security Report (PSyR), SMR0001610, Issue 1, August 2022. (Record ref. 2022/51267). </w:t>
                    </w:r>
                  </w:p>
                </w:tc>
              </w:tr>
              <w:tr w:rsidR="00AB0D39" w:rsidRPr="00903555" w14:paraId="74BD37C5" w14:textId="77777777">
                <w:trPr>
                  <w:divId w:val="554702342"/>
                  <w:tblCellSpacing w:w="15" w:type="dxa"/>
                </w:trPr>
                <w:tc>
                  <w:tcPr>
                    <w:tcW w:w="50" w:type="pct"/>
                    <w:hideMark/>
                  </w:tcPr>
                  <w:p w14:paraId="727D6FD5" w14:textId="77777777" w:rsidR="00AB0D39" w:rsidRPr="00903555" w:rsidRDefault="00AB0D39">
                    <w:pPr>
                      <w:pStyle w:val="Bibliography"/>
                      <w:rPr>
                        <w:noProof/>
                        <w:szCs w:val="24"/>
                      </w:rPr>
                    </w:pPr>
                    <w:r w:rsidRPr="00903555">
                      <w:rPr>
                        <w:noProof/>
                        <w:szCs w:val="24"/>
                      </w:rPr>
                      <w:t xml:space="preserve">[29] </w:t>
                    </w:r>
                  </w:p>
                </w:tc>
                <w:tc>
                  <w:tcPr>
                    <w:tcW w:w="0" w:type="auto"/>
                    <w:hideMark/>
                  </w:tcPr>
                  <w:p w14:paraId="513837B0" w14:textId="77777777" w:rsidR="00AB0D39" w:rsidRPr="00903555" w:rsidRDefault="00AB0D39" w:rsidP="00903555">
                    <w:pPr>
                      <w:pStyle w:val="Bibliography"/>
                      <w:ind w:left="340"/>
                      <w:rPr>
                        <w:noProof/>
                        <w:szCs w:val="24"/>
                      </w:rPr>
                    </w:pPr>
                    <w:r w:rsidRPr="00903555">
                      <w:rPr>
                        <w:noProof/>
                        <w:szCs w:val="24"/>
                      </w:rPr>
                      <w:t xml:space="preserve">Rolls-Royce SMR LImited, E3S Case Development Strategy, SMR0000627, Issue 1, August 2022. (Record ref. 2022/51241). </w:t>
                    </w:r>
                  </w:p>
                </w:tc>
              </w:tr>
              <w:tr w:rsidR="00AB0D39" w:rsidRPr="00903555" w14:paraId="47120357" w14:textId="77777777">
                <w:trPr>
                  <w:divId w:val="554702342"/>
                  <w:tblCellSpacing w:w="15" w:type="dxa"/>
                </w:trPr>
                <w:tc>
                  <w:tcPr>
                    <w:tcW w:w="50" w:type="pct"/>
                    <w:hideMark/>
                  </w:tcPr>
                  <w:p w14:paraId="1A1182CB" w14:textId="77777777" w:rsidR="00AB0D39" w:rsidRPr="00903555" w:rsidRDefault="00AB0D39">
                    <w:pPr>
                      <w:pStyle w:val="Bibliography"/>
                      <w:rPr>
                        <w:noProof/>
                        <w:szCs w:val="24"/>
                      </w:rPr>
                    </w:pPr>
                    <w:r w:rsidRPr="00903555">
                      <w:rPr>
                        <w:noProof/>
                        <w:szCs w:val="24"/>
                      </w:rPr>
                      <w:t xml:space="preserve">[30] </w:t>
                    </w:r>
                  </w:p>
                </w:tc>
                <w:tc>
                  <w:tcPr>
                    <w:tcW w:w="0" w:type="auto"/>
                    <w:hideMark/>
                  </w:tcPr>
                  <w:p w14:paraId="2CD373E6" w14:textId="77777777" w:rsidR="00AB0D39" w:rsidRPr="00903555" w:rsidRDefault="00AB0D39" w:rsidP="00903555">
                    <w:pPr>
                      <w:pStyle w:val="Bibliography"/>
                      <w:ind w:left="340"/>
                      <w:rPr>
                        <w:noProof/>
                        <w:szCs w:val="24"/>
                      </w:rPr>
                    </w:pPr>
                    <w:r w:rsidRPr="00903555">
                      <w:rPr>
                        <w:noProof/>
                        <w:szCs w:val="24"/>
                      </w:rPr>
                      <w:t xml:space="preserve">Rolls-Royce SMR Limited, Strategy for the Delivery of a Generic Security Report (GSR) for the RR SMR (during GDA), SMR0001611, Issue 1, August 2022. (Record ref. 2022/51268). </w:t>
                    </w:r>
                  </w:p>
                </w:tc>
              </w:tr>
              <w:tr w:rsidR="00AB0D39" w:rsidRPr="00903555" w14:paraId="15119499" w14:textId="77777777">
                <w:trPr>
                  <w:divId w:val="554702342"/>
                  <w:tblCellSpacing w:w="15" w:type="dxa"/>
                </w:trPr>
                <w:tc>
                  <w:tcPr>
                    <w:tcW w:w="50" w:type="pct"/>
                    <w:hideMark/>
                  </w:tcPr>
                  <w:p w14:paraId="1916F0B5" w14:textId="77777777" w:rsidR="00AB0D39" w:rsidRPr="00903555" w:rsidRDefault="00AB0D39">
                    <w:pPr>
                      <w:pStyle w:val="Bibliography"/>
                      <w:rPr>
                        <w:noProof/>
                        <w:szCs w:val="24"/>
                      </w:rPr>
                    </w:pPr>
                    <w:r w:rsidRPr="00903555">
                      <w:rPr>
                        <w:noProof/>
                        <w:szCs w:val="24"/>
                      </w:rPr>
                      <w:t xml:space="preserve">[31] </w:t>
                    </w:r>
                  </w:p>
                </w:tc>
                <w:tc>
                  <w:tcPr>
                    <w:tcW w:w="0" w:type="auto"/>
                    <w:hideMark/>
                  </w:tcPr>
                  <w:p w14:paraId="201D09E7" w14:textId="77777777" w:rsidR="00AB0D39" w:rsidRPr="00903555" w:rsidRDefault="00AB0D39" w:rsidP="00903555">
                    <w:pPr>
                      <w:pStyle w:val="Bibliography"/>
                      <w:ind w:left="340"/>
                      <w:rPr>
                        <w:noProof/>
                        <w:szCs w:val="24"/>
                      </w:rPr>
                    </w:pPr>
                    <w:r w:rsidRPr="00903555">
                      <w:rPr>
                        <w:noProof/>
                        <w:szCs w:val="24"/>
                      </w:rPr>
                      <w:t xml:space="preserve">Rolls-Royce SMR Limited, RR SMR Design Overview Report, SMR0000594, Issue 1, June 2022. (Record ref. 2022/37064). </w:t>
                    </w:r>
                  </w:p>
                </w:tc>
              </w:tr>
              <w:tr w:rsidR="00AB0D39" w:rsidRPr="00903555" w14:paraId="5F1B8EB4" w14:textId="77777777">
                <w:trPr>
                  <w:divId w:val="554702342"/>
                  <w:tblCellSpacing w:w="15" w:type="dxa"/>
                </w:trPr>
                <w:tc>
                  <w:tcPr>
                    <w:tcW w:w="50" w:type="pct"/>
                    <w:hideMark/>
                  </w:tcPr>
                  <w:p w14:paraId="5E7E7577" w14:textId="77777777" w:rsidR="00AB0D39" w:rsidRPr="00903555" w:rsidRDefault="00AB0D39">
                    <w:pPr>
                      <w:pStyle w:val="Bibliography"/>
                      <w:rPr>
                        <w:noProof/>
                        <w:szCs w:val="24"/>
                      </w:rPr>
                    </w:pPr>
                    <w:r w:rsidRPr="00903555">
                      <w:rPr>
                        <w:noProof/>
                        <w:szCs w:val="24"/>
                      </w:rPr>
                      <w:t xml:space="preserve">[32] </w:t>
                    </w:r>
                  </w:p>
                </w:tc>
                <w:tc>
                  <w:tcPr>
                    <w:tcW w:w="0" w:type="auto"/>
                    <w:hideMark/>
                  </w:tcPr>
                  <w:p w14:paraId="346D45CD" w14:textId="77777777" w:rsidR="00AB0D39" w:rsidRPr="00903555" w:rsidRDefault="00AB0D39" w:rsidP="00903555">
                    <w:pPr>
                      <w:pStyle w:val="Bibliography"/>
                      <w:ind w:left="340"/>
                      <w:rPr>
                        <w:noProof/>
                        <w:szCs w:val="24"/>
                      </w:rPr>
                    </w:pPr>
                    <w:r w:rsidRPr="00903555">
                      <w:rPr>
                        <w:noProof/>
                        <w:szCs w:val="24"/>
                      </w:rPr>
                      <w:t xml:space="preserve">Rolls-Royce SMR Limited, IMS Process - (C3.2.2-2) Conduct design optioneering. Last edited 5 May 2022. (Record ref. 2022/51250). </w:t>
                    </w:r>
                  </w:p>
                </w:tc>
              </w:tr>
              <w:tr w:rsidR="00AB0D39" w:rsidRPr="00903555" w14:paraId="1943C468" w14:textId="77777777">
                <w:trPr>
                  <w:divId w:val="554702342"/>
                  <w:tblCellSpacing w:w="15" w:type="dxa"/>
                </w:trPr>
                <w:tc>
                  <w:tcPr>
                    <w:tcW w:w="50" w:type="pct"/>
                    <w:hideMark/>
                  </w:tcPr>
                  <w:p w14:paraId="3F3E894D" w14:textId="77777777" w:rsidR="00AB0D39" w:rsidRPr="00903555" w:rsidRDefault="00AB0D39">
                    <w:pPr>
                      <w:pStyle w:val="Bibliography"/>
                      <w:rPr>
                        <w:noProof/>
                        <w:szCs w:val="24"/>
                      </w:rPr>
                    </w:pPr>
                    <w:r w:rsidRPr="00903555">
                      <w:rPr>
                        <w:noProof/>
                        <w:szCs w:val="24"/>
                      </w:rPr>
                      <w:t xml:space="preserve">[33] </w:t>
                    </w:r>
                  </w:p>
                </w:tc>
                <w:tc>
                  <w:tcPr>
                    <w:tcW w:w="0" w:type="auto"/>
                    <w:hideMark/>
                  </w:tcPr>
                  <w:p w14:paraId="5D2616C1" w14:textId="77777777" w:rsidR="00AB0D39" w:rsidRPr="00903555" w:rsidRDefault="00AB0D39" w:rsidP="00903555">
                    <w:pPr>
                      <w:pStyle w:val="Bibliography"/>
                      <w:ind w:left="340"/>
                      <w:rPr>
                        <w:noProof/>
                        <w:szCs w:val="24"/>
                      </w:rPr>
                    </w:pPr>
                    <w:r w:rsidRPr="00903555">
                      <w:rPr>
                        <w:noProof/>
                        <w:szCs w:val="24"/>
                      </w:rPr>
                      <w:t xml:space="preserve">Rolls-Royce SMR Limited, Decision Record Tempate, TS-DD-02, Issue 2. (Record ref. 2022/51261). </w:t>
                    </w:r>
                  </w:p>
                </w:tc>
              </w:tr>
              <w:tr w:rsidR="00AB0D39" w:rsidRPr="00903555" w14:paraId="4B7C9095" w14:textId="77777777">
                <w:trPr>
                  <w:divId w:val="554702342"/>
                  <w:tblCellSpacing w:w="15" w:type="dxa"/>
                </w:trPr>
                <w:tc>
                  <w:tcPr>
                    <w:tcW w:w="50" w:type="pct"/>
                    <w:hideMark/>
                  </w:tcPr>
                  <w:p w14:paraId="57D27889" w14:textId="77777777" w:rsidR="00AB0D39" w:rsidRPr="00903555" w:rsidRDefault="00AB0D39">
                    <w:pPr>
                      <w:pStyle w:val="Bibliography"/>
                      <w:rPr>
                        <w:noProof/>
                        <w:szCs w:val="24"/>
                      </w:rPr>
                    </w:pPr>
                    <w:r w:rsidRPr="00903555">
                      <w:rPr>
                        <w:noProof/>
                        <w:szCs w:val="24"/>
                      </w:rPr>
                      <w:t xml:space="preserve">[34] </w:t>
                    </w:r>
                  </w:p>
                </w:tc>
                <w:tc>
                  <w:tcPr>
                    <w:tcW w:w="0" w:type="auto"/>
                    <w:hideMark/>
                  </w:tcPr>
                  <w:p w14:paraId="406706CC" w14:textId="77777777" w:rsidR="00AB0D39" w:rsidRPr="00903555" w:rsidRDefault="00AB0D39" w:rsidP="00903555">
                    <w:pPr>
                      <w:pStyle w:val="Bibliography"/>
                      <w:ind w:left="340"/>
                      <w:rPr>
                        <w:noProof/>
                        <w:szCs w:val="24"/>
                      </w:rPr>
                    </w:pPr>
                    <w:r w:rsidRPr="00903555">
                      <w:rPr>
                        <w:noProof/>
                        <w:szCs w:val="24"/>
                      </w:rPr>
                      <w:t xml:space="preserve">H.M. Government, Nuclear Industry Security Regulations (NISR) 2003 (as amended). www.legislation.gov.uk/uksi/2003/403/contents/made. </w:t>
                    </w:r>
                  </w:p>
                </w:tc>
              </w:tr>
              <w:tr w:rsidR="00AB0D39" w:rsidRPr="00903555" w14:paraId="52E7EC00" w14:textId="77777777">
                <w:trPr>
                  <w:divId w:val="554702342"/>
                  <w:tblCellSpacing w:w="15" w:type="dxa"/>
                </w:trPr>
                <w:tc>
                  <w:tcPr>
                    <w:tcW w:w="50" w:type="pct"/>
                    <w:hideMark/>
                  </w:tcPr>
                  <w:p w14:paraId="04C3811E" w14:textId="77777777" w:rsidR="00AB0D39" w:rsidRPr="00903555" w:rsidRDefault="00AB0D39">
                    <w:pPr>
                      <w:pStyle w:val="Bibliography"/>
                      <w:rPr>
                        <w:noProof/>
                        <w:szCs w:val="24"/>
                      </w:rPr>
                    </w:pPr>
                    <w:r w:rsidRPr="00903555">
                      <w:rPr>
                        <w:noProof/>
                        <w:szCs w:val="24"/>
                      </w:rPr>
                      <w:t xml:space="preserve">[35] </w:t>
                    </w:r>
                  </w:p>
                </w:tc>
                <w:tc>
                  <w:tcPr>
                    <w:tcW w:w="0" w:type="auto"/>
                    <w:hideMark/>
                  </w:tcPr>
                  <w:p w14:paraId="5B3D1F55" w14:textId="77777777" w:rsidR="00AB0D39" w:rsidRPr="00903555" w:rsidRDefault="00AB0D39" w:rsidP="00903555">
                    <w:pPr>
                      <w:pStyle w:val="Bibliography"/>
                      <w:ind w:left="340"/>
                      <w:rPr>
                        <w:noProof/>
                        <w:szCs w:val="24"/>
                      </w:rPr>
                    </w:pPr>
                    <w:r w:rsidRPr="00903555">
                      <w:rPr>
                        <w:noProof/>
                        <w:szCs w:val="24"/>
                      </w:rPr>
                      <w:t xml:space="preserve">Rolls-Royce SMR Limited, UK SMR Environment, Safety, Security and Safeguards Categorisation and Classification Method, EDNS01000887611_002, Revision 2, August 2021. (Record ref. 2022/51247). </w:t>
                    </w:r>
                  </w:p>
                </w:tc>
              </w:tr>
              <w:tr w:rsidR="00AB0D39" w:rsidRPr="00903555" w14:paraId="4E30ADAB" w14:textId="77777777">
                <w:trPr>
                  <w:divId w:val="554702342"/>
                  <w:tblCellSpacing w:w="15" w:type="dxa"/>
                </w:trPr>
                <w:tc>
                  <w:tcPr>
                    <w:tcW w:w="50" w:type="pct"/>
                    <w:hideMark/>
                  </w:tcPr>
                  <w:p w14:paraId="265599F6" w14:textId="77777777" w:rsidR="00AB0D39" w:rsidRPr="00903555" w:rsidRDefault="00AB0D39">
                    <w:pPr>
                      <w:pStyle w:val="Bibliography"/>
                      <w:rPr>
                        <w:noProof/>
                        <w:szCs w:val="24"/>
                      </w:rPr>
                    </w:pPr>
                    <w:r w:rsidRPr="00903555">
                      <w:rPr>
                        <w:noProof/>
                        <w:szCs w:val="24"/>
                      </w:rPr>
                      <w:t xml:space="preserve">[36] </w:t>
                    </w:r>
                  </w:p>
                </w:tc>
                <w:tc>
                  <w:tcPr>
                    <w:tcW w:w="0" w:type="auto"/>
                    <w:hideMark/>
                  </w:tcPr>
                  <w:p w14:paraId="3D0043AA" w14:textId="77777777" w:rsidR="00AB0D39" w:rsidRPr="00903555" w:rsidRDefault="00AB0D39" w:rsidP="00903555">
                    <w:pPr>
                      <w:pStyle w:val="Bibliography"/>
                      <w:ind w:left="340"/>
                      <w:rPr>
                        <w:noProof/>
                        <w:szCs w:val="24"/>
                      </w:rPr>
                    </w:pPr>
                    <w:r w:rsidRPr="00903555">
                      <w:rPr>
                        <w:noProof/>
                        <w:szCs w:val="24"/>
                      </w:rPr>
                      <w:t xml:space="preserve">ONR, Safety Assessment Principles for Nuclear Facilities (SAPs), 2014 Edition, Revision 1, January 2020. www.onr.org.uk/saps/saps2014.pdf. </w:t>
                    </w:r>
                  </w:p>
                </w:tc>
              </w:tr>
              <w:tr w:rsidR="00AB0D39" w:rsidRPr="00903555" w14:paraId="31BBF0E7" w14:textId="77777777">
                <w:trPr>
                  <w:divId w:val="554702342"/>
                  <w:tblCellSpacing w:w="15" w:type="dxa"/>
                </w:trPr>
                <w:tc>
                  <w:tcPr>
                    <w:tcW w:w="50" w:type="pct"/>
                    <w:hideMark/>
                  </w:tcPr>
                  <w:p w14:paraId="3C835BF4" w14:textId="77777777" w:rsidR="00AB0D39" w:rsidRPr="00903555" w:rsidRDefault="00AB0D39">
                    <w:pPr>
                      <w:pStyle w:val="Bibliography"/>
                      <w:rPr>
                        <w:noProof/>
                        <w:szCs w:val="24"/>
                      </w:rPr>
                    </w:pPr>
                    <w:r w:rsidRPr="00903555">
                      <w:rPr>
                        <w:noProof/>
                        <w:szCs w:val="24"/>
                      </w:rPr>
                      <w:t xml:space="preserve">[37] </w:t>
                    </w:r>
                  </w:p>
                </w:tc>
                <w:tc>
                  <w:tcPr>
                    <w:tcW w:w="0" w:type="auto"/>
                    <w:hideMark/>
                  </w:tcPr>
                  <w:p w14:paraId="166B6986" w14:textId="77777777" w:rsidR="00AB0D39" w:rsidRPr="00903555" w:rsidRDefault="00AB0D39" w:rsidP="00903555">
                    <w:pPr>
                      <w:pStyle w:val="Bibliography"/>
                      <w:ind w:left="340"/>
                      <w:rPr>
                        <w:noProof/>
                        <w:szCs w:val="24"/>
                      </w:rPr>
                    </w:pPr>
                    <w:r w:rsidRPr="00903555">
                      <w:rPr>
                        <w:noProof/>
                        <w:szCs w:val="24"/>
                      </w:rPr>
                      <w:t xml:space="preserve">ONR, Categorisation of Safety Functions and Classification of Structures and Components, NS-TAST-GD-094, Issue 2, July 2019. www.onr.org.uk/operational/tech_asst_guides/index.htm. </w:t>
                    </w:r>
                  </w:p>
                </w:tc>
              </w:tr>
              <w:tr w:rsidR="00AB0D39" w:rsidRPr="00903555" w14:paraId="1CFFC786" w14:textId="77777777">
                <w:trPr>
                  <w:divId w:val="554702342"/>
                  <w:tblCellSpacing w:w="15" w:type="dxa"/>
                </w:trPr>
                <w:tc>
                  <w:tcPr>
                    <w:tcW w:w="50" w:type="pct"/>
                    <w:hideMark/>
                  </w:tcPr>
                  <w:p w14:paraId="1215A2BD" w14:textId="77777777" w:rsidR="00AB0D39" w:rsidRPr="00903555" w:rsidRDefault="00AB0D39">
                    <w:pPr>
                      <w:pStyle w:val="Bibliography"/>
                      <w:rPr>
                        <w:noProof/>
                        <w:szCs w:val="24"/>
                      </w:rPr>
                    </w:pPr>
                    <w:r w:rsidRPr="00903555">
                      <w:rPr>
                        <w:noProof/>
                        <w:szCs w:val="24"/>
                      </w:rPr>
                      <w:t xml:space="preserve">[38] </w:t>
                    </w:r>
                  </w:p>
                </w:tc>
                <w:tc>
                  <w:tcPr>
                    <w:tcW w:w="0" w:type="auto"/>
                    <w:hideMark/>
                  </w:tcPr>
                  <w:p w14:paraId="6310F7D0" w14:textId="77777777" w:rsidR="00AB0D39" w:rsidRPr="00903555" w:rsidRDefault="00AB0D39" w:rsidP="00903555">
                    <w:pPr>
                      <w:pStyle w:val="Bibliography"/>
                      <w:ind w:left="340"/>
                      <w:rPr>
                        <w:noProof/>
                        <w:szCs w:val="24"/>
                      </w:rPr>
                    </w:pPr>
                    <w:r w:rsidRPr="00903555">
                      <w:rPr>
                        <w:noProof/>
                        <w:szCs w:val="24"/>
                      </w:rPr>
                      <w:t xml:space="preserve">IAEA, Safety Classification of Structures, Systems and Components in Nuclaer Power Plants, Specific Safety Guide No. SSG-30, May 2014. www.iaea.org. </w:t>
                    </w:r>
                  </w:p>
                </w:tc>
              </w:tr>
              <w:tr w:rsidR="00AB0D39" w:rsidRPr="00903555" w14:paraId="57B338E0" w14:textId="77777777">
                <w:trPr>
                  <w:divId w:val="554702342"/>
                  <w:tblCellSpacing w:w="15" w:type="dxa"/>
                </w:trPr>
                <w:tc>
                  <w:tcPr>
                    <w:tcW w:w="50" w:type="pct"/>
                    <w:hideMark/>
                  </w:tcPr>
                  <w:p w14:paraId="1B9614CE" w14:textId="77777777" w:rsidR="00AB0D39" w:rsidRPr="00903555" w:rsidRDefault="00AB0D39">
                    <w:pPr>
                      <w:pStyle w:val="Bibliography"/>
                      <w:rPr>
                        <w:noProof/>
                        <w:szCs w:val="24"/>
                      </w:rPr>
                    </w:pPr>
                    <w:r w:rsidRPr="00903555">
                      <w:rPr>
                        <w:noProof/>
                        <w:szCs w:val="24"/>
                      </w:rPr>
                      <w:t xml:space="preserve">[39] </w:t>
                    </w:r>
                  </w:p>
                </w:tc>
                <w:tc>
                  <w:tcPr>
                    <w:tcW w:w="0" w:type="auto"/>
                    <w:hideMark/>
                  </w:tcPr>
                  <w:p w14:paraId="67A8F45B" w14:textId="77777777" w:rsidR="00AB0D39" w:rsidRPr="00903555" w:rsidRDefault="00AB0D39" w:rsidP="00903555">
                    <w:pPr>
                      <w:pStyle w:val="Bibliography"/>
                      <w:ind w:left="340"/>
                      <w:rPr>
                        <w:noProof/>
                        <w:szCs w:val="24"/>
                      </w:rPr>
                    </w:pPr>
                    <w:r w:rsidRPr="00903555">
                      <w:rPr>
                        <w:noProof/>
                        <w:szCs w:val="24"/>
                      </w:rPr>
                      <w:t xml:space="preserve">Rolls-Royce SMR Limited, Rolls-Royce SMR Environment, Safety, Security and Safeguards Design Principles, SMR0001603, Issue 1, August 2022. (Record ref. 2022/51243). </w:t>
                    </w:r>
                  </w:p>
                </w:tc>
              </w:tr>
              <w:tr w:rsidR="00AB0D39" w:rsidRPr="00903555" w14:paraId="0356D0FB" w14:textId="77777777">
                <w:trPr>
                  <w:divId w:val="554702342"/>
                  <w:tblCellSpacing w:w="15" w:type="dxa"/>
                </w:trPr>
                <w:tc>
                  <w:tcPr>
                    <w:tcW w:w="50" w:type="pct"/>
                    <w:hideMark/>
                  </w:tcPr>
                  <w:p w14:paraId="1199BFD8" w14:textId="77777777" w:rsidR="00AB0D39" w:rsidRPr="00903555" w:rsidRDefault="00AB0D39">
                    <w:pPr>
                      <w:pStyle w:val="Bibliography"/>
                      <w:rPr>
                        <w:noProof/>
                        <w:szCs w:val="24"/>
                      </w:rPr>
                    </w:pPr>
                    <w:r w:rsidRPr="00903555">
                      <w:rPr>
                        <w:noProof/>
                        <w:szCs w:val="24"/>
                      </w:rPr>
                      <w:t xml:space="preserve">[40] </w:t>
                    </w:r>
                  </w:p>
                </w:tc>
                <w:tc>
                  <w:tcPr>
                    <w:tcW w:w="0" w:type="auto"/>
                    <w:hideMark/>
                  </w:tcPr>
                  <w:p w14:paraId="52618C79" w14:textId="77777777" w:rsidR="00AB0D39" w:rsidRPr="00903555" w:rsidRDefault="00AB0D39" w:rsidP="00903555">
                    <w:pPr>
                      <w:pStyle w:val="Bibliography"/>
                      <w:ind w:left="340"/>
                      <w:rPr>
                        <w:noProof/>
                        <w:szCs w:val="24"/>
                      </w:rPr>
                    </w:pPr>
                    <w:r w:rsidRPr="00903555">
                      <w:rPr>
                        <w:noProof/>
                        <w:szCs w:val="24"/>
                      </w:rPr>
                      <w:t xml:space="preserve">Rolls-Royce SMR Limited, Rolls-Royce Small Modular Reactor Codes and Standards, SMR0003023, Issue 1, October 2022. (Record ref. 2022/63754). </w:t>
                    </w:r>
                  </w:p>
                </w:tc>
              </w:tr>
              <w:tr w:rsidR="00AB0D39" w:rsidRPr="00903555" w14:paraId="007A5023" w14:textId="77777777">
                <w:trPr>
                  <w:divId w:val="554702342"/>
                  <w:tblCellSpacing w:w="15" w:type="dxa"/>
                </w:trPr>
                <w:tc>
                  <w:tcPr>
                    <w:tcW w:w="50" w:type="pct"/>
                    <w:hideMark/>
                  </w:tcPr>
                  <w:p w14:paraId="349BEA8D" w14:textId="77777777" w:rsidR="00AB0D39" w:rsidRPr="00903555" w:rsidRDefault="00AB0D39">
                    <w:pPr>
                      <w:pStyle w:val="Bibliography"/>
                      <w:rPr>
                        <w:noProof/>
                        <w:szCs w:val="24"/>
                      </w:rPr>
                    </w:pPr>
                    <w:r w:rsidRPr="00903555">
                      <w:rPr>
                        <w:noProof/>
                        <w:szCs w:val="24"/>
                      </w:rPr>
                      <w:t xml:space="preserve">[41] </w:t>
                    </w:r>
                  </w:p>
                </w:tc>
                <w:tc>
                  <w:tcPr>
                    <w:tcW w:w="0" w:type="auto"/>
                    <w:hideMark/>
                  </w:tcPr>
                  <w:p w14:paraId="5C81F3FE" w14:textId="77777777" w:rsidR="00AB0D39" w:rsidRPr="00903555" w:rsidRDefault="00AB0D39" w:rsidP="00903555">
                    <w:pPr>
                      <w:pStyle w:val="Bibliography"/>
                      <w:ind w:left="340"/>
                      <w:rPr>
                        <w:noProof/>
                        <w:szCs w:val="24"/>
                      </w:rPr>
                    </w:pPr>
                    <w:r w:rsidRPr="00903555">
                      <w:rPr>
                        <w:noProof/>
                        <w:szCs w:val="24"/>
                      </w:rPr>
                      <w:t xml:space="preserve">Rolls-Royce SMR Limited, Step 2 Gap Analysis, SMR0003629, Issue 1, January 2023. (Record ref. 2023/7987). </w:t>
                    </w:r>
                  </w:p>
                </w:tc>
              </w:tr>
              <w:tr w:rsidR="00AB0D39" w:rsidRPr="00903555" w14:paraId="7B3F98B9" w14:textId="77777777">
                <w:trPr>
                  <w:divId w:val="554702342"/>
                  <w:tblCellSpacing w:w="15" w:type="dxa"/>
                </w:trPr>
                <w:tc>
                  <w:tcPr>
                    <w:tcW w:w="50" w:type="pct"/>
                    <w:hideMark/>
                  </w:tcPr>
                  <w:p w14:paraId="6F6101AA" w14:textId="77777777" w:rsidR="00AB0D39" w:rsidRPr="00903555" w:rsidRDefault="00AB0D39">
                    <w:pPr>
                      <w:pStyle w:val="Bibliography"/>
                      <w:rPr>
                        <w:noProof/>
                        <w:szCs w:val="24"/>
                      </w:rPr>
                    </w:pPr>
                    <w:r w:rsidRPr="00903555">
                      <w:rPr>
                        <w:noProof/>
                        <w:szCs w:val="24"/>
                      </w:rPr>
                      <w:lastRenderedPageBreak/>
                      <w:t xml:space="preserve">[42] </w:t>
                    </w:r>
                  </w:p>
                </w:tc>
                <w:tc>
                  <w:tcPr>
                    <w:tcW w:w="0" w:type="auto"/>
                    <w:hideMark/>
                  </w:tcPr>
                  <w:p w14:paraId="7789C460" w14:textId="77777777" w:rsidR="00AB0D39" w:rsidRPr="00903555" w:rsidRDefault="00AB0D39" w:rsidP="00903555">
                    <w:pPr>
                      <w:pStyle w:val="Bibliography"/>
                      <w:ind w:left="340"/>
                      <w:rPr>
                        <w:noProof/>
                        <w:szCs w:val="24"/>
                      </w:rPr>
                    </w:pPr>
                    <w:r w:rsidRPr="00903555">
                      <w:rPr>
                        <w:noProof/>
                        <w:szCs w:val="24"/>
                      </w:rPr>
                      <w:t xml:space="preserve">Rolls-Royce SMR Limited, GDA Step 2 Readiness Review, SMR0004327, Issue 1, February 2023. (Record ref. 2023/8386). </w:t>
                    </w:r>
                  </w:p>
                </w:tc>
              </w:tr>
              <w:tr w:rsidR="00AB0D39" w:rsidRPr="00903555" w14:paraId="18C6FD37" w14:textId="77777777">
                <w:trPr>
                  <w:divId w:val="554702342"/>
                  <w:tblCellSpacing w:w="15" w:type="dxa"/>
                </w:trPr>
                <w:tc>
                  <w:tcPr>
                    <w:tcW w:w="50" w:type="pct"/>
                    <w:hideMark/>
                  </w:tcPr>
                  <w:p w14:paraId="51D2E92B" w14:textId="77777777" w:rsidR="00AB0D39" w:rsidRPr="00903555" w:rsidRDefault="00AB0D39">
                    <w:pPr>
                      <w:pStyle w:val="Bibliography"/>
                      <w:rPr>
                        <w:noProof/>
                        <w:szCs w:val="24"/>
                      </w:rPr>
                    </w:pPr>
                    <w:r w:rsidRPr="00903555">
                      <w:rPr>
                        <w:noProof/>
                        <w:szCs w:val="24"/>
                      </w:rPr>
                      <w:t xml:space="preserve">[43] </w:t>
                    </w:r>
                  </w:p>
                </w:tc>
                <w:tc>
                  <w:tcPr>
                    <w:tcW w:w="0" w:type="auto"/>
                    <w:hideMark/>
                  </w:tcPr>
                  <w:p w14:paraId="2347E91F" w14:textId="77777777" w:rsidR="00AB0D39" w:rsidRPr="00903555" w:rsidRDefault="00AB0D39" w:rsidP="00903555">
                    <w:pPr>
                      <w:pStyle w:val="Bibliography"/>
                      <w:ind w:left="340"/>
                      <w:rPr>
                        <w:noProof/>
                        <w:szCs w:val="24"/>
                      </w:rPr>
                    </w:pPr>
                    <w:r w:rsidRPr="00903555">
                      <w:rPr>
                        <w:noProof/>
                        <w:szCs w:val="24"/>
                      </w:rPr>
                      <w:t xml:space="preserve">Rolls-Royce SMR Limited, Rolls-Royce SMR Organisation Capability, SMR0004127, Issue 1, February 2023. (Record ref. 2023/12721). </w:t>
                    </w:r>
                  </w:p>
                </w:tc>
              </w:tr>
              <w:tr w:rsidR="00AB0D39" w:rsidRPr="00903555" w14:paraId="2FFCA6E0" w14:textId="77777777">
                <w:trPr>
                  <w:divId w:val="554702342"/>
                  <w:tblCellSpacing w:w="15" w:type="dxa"/>
                </w:trPr>
                <w:tc>
                  <w:tcPr>
                    <w:tcW w:w="50" w:type="pct"/>
                    <w:hideMark/>
                  </w:tcPr>
                  <w:p w14:paraId="24ECEE3D" w14:textId="77777777" w:rsidR="00AB0D39" w:rsidRPr="00903555" w:rsidRDefault="00AB0D39">
                    <w:pPr>
                      <w:pStyle w:val="Bibliography"/>
                      <w:rPr>
                        <w:noProof/>
                        <w:szCs w:val="24"/>
                      </w:rPr>
                    </w:pPr>
                    <w:r w:rsidRPr="00903555">
                      <w:rPr>
                        <w:noProof/>
                        <w:szCs w:val="24"/>
                      </w:rPr>
                      <w:t xml:space="preserve">[44] </w:t>
                    </w:r>
                  </w:p>
                </w:tc>
                <w:tc>
                  <w:tcPr>
                    <w:tcW w:w="0" w:type="auto"/>
                    <w:hideMark/>
                  </w:tcPr>
                  <w:p w14:paraId="307C6A09" w14:textId="77777777" w:rsidR="00AB0D39" w:rsidRPr="00903555" w:rsidRDefault="00AB0D39" w:rsidP="00903555">
                    <w:pPr>
                      <w:pStyle w:val="Bibliography"/>
                      <w:ind w:left="340"/>
                      <w:rPr>
                        <w:noProof/>
                        <w:szCs w:val="24"/>
                      </w:rPr>
                    </w:pPr>
                    <w:r w:rsidRPr="00903555">
                      <w:rPr>
                        <w:noProof/>
                        <w:szCs w:val="24"/>
                      </w:rPr>
                      <w:t xml:space="preserve">Rolls-Royce SMR Limited, GDA Step 2 Readiness Combined Actions, SMR0004913, Issue 1, March 2023. (Record ref. 2023/15590). </w:t>
                    </w:r>
                  </w:p>
                </w:tc>
              </w:tr>
              <w:tr w:rsidR="00AB0D39" w:rsidRPr="00903555" w14:paraId="570B1E9F" w14:textId="77777777">
                <w:trPr>
                  <w:divId w:val="554702342"/>
                  <w:tblCellSpacing w:w="15" w:type="dxa"/>
                </w:trPr>
                <w:tc>
                  <w:tcPr>
                    <w:tcW w:w="50" w:type="pct"/>
                    <w:hideMark/>
                  </w:tcPr>
                  <w:p w14:paraId="0A9A9D6B" w14:textId="77777777" w:rsidR="00AB0D39" w:rsidRPr="00903555" w:rsidRDefault="00AB0D39">
                    <w:pPr>
                      <w:pStyle w:val="Bibliography"/>
                      <w:rPr>
                        <w:noProof/>
                        <w:szCs w:val="24"/>
                      </w:rPr>
                    </w:pPr>
                    <w:r w:rsidRPr="00903555">
                      <w:rPr>
                        <w:noProof/>
                        <w:szCs w:val="24"/>
                      </w:rPr>
                      <w:t xml:space="preserve">[45] </w:t>
                    </w:r>
                  </w:p>
                </w:tc>
                <w:tc>
                  <w:tcPr>
                    <w:tcW w:w="0" w:type="auto"/>
                    <w:hideMark/>
                  </w:tcPr>
                  <w:p w14:paraId="6895D4A1" w14:textId="77777777" w:rsidR="00AB0D39" w:rsidRPr="00903555" w:rsidRDefault="00AB0D39" w:rsidP="00903555">
                    <w:pPr>
                      <w:pStyle w:val="Bibliography"/>
                      <w:ind w:left="340"/>
                      <w:rPr>
                        <w:noProof/>
                        <w:szCs w:val="24"/>
                      </w:rPr>
                    </w:pPr>
                    <w:r w:rsidRPr="00903555">
                      <w:rPr>
                        <w:noProof/>
                        <w:szCs w:val="24"/>
                      </w:rPr>
                      <w:t xml:space="preserve">ONR, Extraordinary RRM - Minutes, 22 March 2023. (Record ref. 2023/15880). </w:t>
                    </w:r>
                  </w:p>
                </w:tc>
              </w:tr>
              <w:tr w:rsidR="00AB0D39" w:rsidRPr="00903555" w14:paraId="3CCCDAA2" w14:textId="77777777">
                <w:trPr>
                  <w:divId w:val="554702342"/>
                  <w:tblCellSpacing w:w="15" w:type="dxa"/>
                </w:trPr>
                <w:tc>
                  <w:tcPr>
                    <w:tcW w:w="50" w:type="pct"/>
                    <w:hideMark/>
                  </w:tcPr>
                  <w:p w14:paraId="60A29672" w14:textId="77777777" w:rsidR="00AB0D39" w:rsidRPr="00903555" w:rsidRDefault="00AB0D39">
                    <w:pPr>
                      <w:pStyle w:val="Bibliography"/>
                      <w:rPr>
                        <w:noProof/>
                        <w:szCs w:val="24"/>
                      </w:rPr>
                    </w:pPr>
                    <w:r w:rsidRPr="00903555">
                      <w:rPr>
                        <w:noProof/>
                        <w:szCs w:val="24"/>
                      </w:rPr>
                      <w:t xml:space="preserve">[46] </w:t>
                    </w:r>
                  </w:p>
                </w:tc>
                <w:tc>
                  <w:tcPr>
                    <w:tcW w:w="0" w:type="auto"/>
                    <w:hideMark/>
                  </w:tcPr>
                  <w:p w14:paraId="587287B4" w14:textId="77777777" w:rsidR="00AB0D39" w:rsidRPr="00903555" w:rsidRDefault="00AB0D39" w:rsidP="00903555">
                    <w:pPr>
                      <w:pStyle w:val="Bibliography"/>
                      <w:ind w:left="340"/>
                      <w:rPr>
                        <w:noProof/>
                        <w:szCs w:val="24"/>
                      </w:rPr>
                    </w:pPr>
                    <w:r w:rsidRPr="00903555">
                      <w:rPr>
                        <w:noProof/>
                        <w:szCs w:val="24"/>
                      </w:rPr>
                      <w:t xml:space="preserve">Rolls-Royce SMR Limited, Master Document Submission Lists and Document List, SMR0001724, Issue 7, February 2023. (Record ref. 2023/8388). </w:t>
                    </w:r>
                  </w:p>
                </w:tc>
              </w:tr>
            </w:tbl>
            <w:p w14:paraId="19EC5551" w14:textId="77777777" w:rsidR="00AB0D39" w:rsidRDefault="00AB0D39">
              <w:pPr>
                <w:divId w:val="554702342"/>
                <w:rPr>
                  <w:rFonts w:eastAsia="Times New Roman"/>
                  <w:noProof/>
                </w:rPr>
              </w:pPr>
            </w:p>
            <w:p w14:paraId="4EADA6DF" w14:textId="6959A94D" w:rsidR="00AC2E98" w:rsidRDefault="00AC2E98">
              <w:r w:rsidRPr="00B209EE">
                <w:rPr>
                  <w:b/>
                  <w:bCs/>
                  <w:noProof/>
                  <w:szCs w:val="24"/>
                </w:rPr>
                <w:fldChar w:fldCharType="end"/>
              </w:r>
            </w:p>
          </w:sdtContent>
        </w:sdt>
      </w:sdtContent>
    </w:sdt>
    <w:p w14:paraId="6239C3AC" w14:textId="696AA008" w:rsidR="009E0E52" w:rsidRDefault="009E0E52" w:rsidP="00AC2E98">
      <w:pPr>
        <w:pStyle w:val="NumList1"/>
        <w:numPr>
          <w:ilvl w:val="0"/>
          <w:numId w:val="0"/>
        </w:numPr>
      </w:pPr>
    </w:p>
    <w:p w14:paraId="6B7ABE6C" w14:textId="77777777" w:rsidR="002A1622" w:rsidRDefault="002A1622">
      <w:pPr>
        <w:spacing w:after="0" w:line="240" w:lineRule="auto"/>
        <w:rPr>
          <w:b/>
        </w:rPr>
      </w:pPr>
      <w:r>
        <w:rPr>
          <w:b/>
        </w:rPr>
        <w:br w:type="page"/>
      </w:r>
    </w:p>
    <w:p w14:paraId="1478CF28" w14:textId="2D8BE91D" w:rsidR="002A1622" w:rsidRPr="00D929CB" w:rsidRDefault="002A1622" w:rsidP="002A1622">
      <w:pPr>
        <w:jc w:val="center"/>
        <w:rPr>
          <w:b/>
        </w:rPr>
      </w:pPr>
      <w:r w:rsidRPr="00D929CB">
        <w:rPr>
          <w:b/>
        </w:rPr>
        <w:lastRenderedPageBreak/>
        <w:t>Table 1</w:t>
      </w:r>
    </w:p>
    <w:p w14:paraId="79AFF0D8" w14:textId="02D837A5" w:rsidR="002A1622" w:rsidRDefault="002A1622" w:rsidP="002A1622">
      <w:pPr>
        <w:jc w:val="center"/>
        <w:rPr>
          <w:bCs/>
        </w:rPr>
      </w:pPr>
      <w:r w:rsidRPr="00D929CB">
        <w:rPr>
          <w:b/>
        </w:rPr>
        <w:t xml:space="preserve">Step 1 </w:t>
      </w:r>
      <w:r w:rsidR="00553A7A">
        <w:rPr>
          <w:b/>
        </w:rPr>
        <w:t>r</w:t>
      </w:r>
      <w:r w:rsidR="00553A7A" w:rsidRPr="00D929CB">
        <w:rPr>
          <w:b/>
        </w:rPr>
        <w:t xml:space="preserve">equirements </w:t>
      </w:r>
      <w:r w:rsidRPr="00D929CB">
        <w:rPr>
          <w:b/>
        </w:rPr>
        <w:t>from Guidance to Requesting Parties</w:t>
      </w:r>
      <w:r>
        <w:rPr>
          <w:b/>
        </w:rPr>
        <w:t xml:space="preserve"> </w:t>
      </w:r>
      <w:r w:rsidRPr="00A27917">
        <w:rPr>
          <w:bCs/>
        </w:rPr>
        <w:t xml:space="preserve">(ref. </w:t>
      </w:r>
      <w:sdt>
        <w:sdtPr>
          <w:rPr>
            <w:bCs/>
          </w:rPr>
          <w:id w:val="1292329614"/>
          <w:citation/>
        </w:sdtPr>
        <w:sdtEndPr/>
        <w:sdtContent>
          <w:r w:rsidRPr="00A27917">
            <w:rPr>
              <w:bCs/>
            </w:rPr>
            <w:fldChar w:fldCharType="begin"/>
          </w:r>
          <w:r w:rsidRPr="00A27917">
            <w:rPr>
              <w:bCs/>
            </w:rPr>
            <w:instrText xml:space="preserve"> CITATION GtoRPs \l 2057 </w:instrText>
          </w:r>
          <w:r w:rsidRPr="00A27917">
            <w:rPr>
              <w:bCs/>
            </w:rPr>
            <w:fldChar w:fldCharType="separate"/>
          </w:r>
          <w:r w:rsidR="00AB0D39" w:rsidRPr="00AB0D39">
            <w:rPr>
              <w:noProof/>
            </w:rPr>
            <w:t>[1]</w:t>
          </w:r>
          <w:r w:rsidRPr="00A27917">
            <w:rPr>
              <w:bCs/>
            </w:rPr>
            <w:fldChar w:fldCharType="end"/>
          </w:r>
        </w:sdtContent>
      </w:sdt>
      <w:r w:rsidRPr="00A27917">
        <w:rPr>
          <w:bCs/>
        </w:rPr>
        <w:t>)</w:t>
      </w:r>
    </w:p>
    <w:tbl>
      <w:tblPr>
        <w:tblStyle w:val="Box2"/>
        <w:tblW w:w="9771" w:type="dxa"/>
        <w:tblInd w:w="5" w:type="dxa"/>
        <w:tblLook w:val="04A0" w:firstRow="1" w:lastRow="0" w:firstColumn="1" w:lastColumn="0" w:noHBand="0" w:noVBand="1"/>
      </w:tblPr>
      <w:tblGrid>
        <w:gridCol w:w="983"/>
        <w:gridCol w:w="7371"/>
        <w:gridCol w:w="1417"/>
      </w:tblGrid>
      <w:tr w:rsidR="002A1622" w:rsidRPr="00F73532" w14:paraId="60BB06C6" w14:textId="77777777" w:rsidTr="00500025">
        <w:trPr>
          <w:cnfStyle w:val="100000000000" w:firstRow="1" w:lastRow="0" w:firstColumn="0" w:lastColumn="0" w:oddVBand="0" w:evenVBand="0" w:oddHBand="0" w:evenHBand="0" w:firstRowFirstColumn="0" w:firstRowLastColumn="0" w:lastRowFirstColumn="0" w:lastRowLastColumn="0"/>
          <w:cantSplit/>
          <w:trHeight w:val="13"/>
          <w:tblHeader/>
        </w:trPr>
        <w:tc>
          <w:tcPr>
            <w:tcW w:w="983" w:type="dxa"/>
          </w:tcPr>
          <w:p w14:paraId="5A8D38E3" w14:textId="77777777" w:rsidR="002A1622" w:rsidRPr="00F73532" w:rsidRDefault="002A1622" w:rsidP="004E516A">
            <w:pPr>
              <w:jc w:val="center"/>
            </w:pPr>
          </w:p>
        </w:tc>
        <w:tc>
          <w:tcPr>
            <w:tcW w:w="7371" w:type="dxa"/>
          </w:tcPr>
          <w:p w14:paraId="76CC4091" w14:textId="39B19ADA" w:rsidR="002A1622" w:rsidRPr="00F73532" w:rsidRDefault="002A1622" w:rsidP="008104E9">
            <w:r>
              <w:t xml:space="preserve">Requirement on the RP during </w:t>
            </w:r>
            <w:r w:rsidR="006C3244">
              <w:t>Step</w:t>
            </w:r>
            <w:r>
              <w:t xml:space="preserve"> 1</w:t>
            </w:r>
          </w:p>
        </w:tc>
        <w:tc>
          <w:tcPr>
            <w:tcW w:w="1417" w:type="dxa"/>
          </w:tcPr>
          <w:p w14:paraId="14D5EE4B" w14:textId="7002F6B0" w:rsidR="002A1622" w:rsidRPr="00F73532" w:rsidRDefault="002A1622" w:rsidP="00892CA8">
            <w:pPr>
              <w:jc w:val="center"/>
            </w:pPr>
            <w:r>
              <w:t>Section</w:t>
            </w:r>
          </w:p>
        </w:tc>
      </w:tr>
      <w:tr w:rsidR="002A1622" w:rsidRPr="00F73532" w14:paraId="5AE89CF8" w14:textId="77777777" w:rsidTr="00500025">
        <w:trPr>
          <w:cantSplit/>
          <w:trHeight w:val="244"/>
        </w:trPr>
        <w:tc>
          <w:tcPr>
            <w:tcW w:w="983" w:type="dxa"/>
          </w:tcPr>
          <w:p w14:paraId="01FFB1F9" w14:textId="24C4571B" w:rsidR="002A1622" w:rsidRPr="00F73532" w:rsidRDefault="002A1622" w:rsidP="004E516A">
            <w:pPr>
              <w:jc w:val="center"/>
            </w:pPr>
            <w:r w:rsidRPr="00F509D0">
              <w:t>[1.1]</w:t>
            </w:r>
          </w:p>
        </w:tc>
        <w:tc>
          <w:tcPr>
            <w:tcW w:w="7371" w:type="dxa"/>
          </w:tcPr>
          <w:p w14:paraId="495B6158" w14:textId="1B4E5F02" w:rsidR="002A1622" w:rsidRPr="00F73532" w:rsidRDefault="002A1622" w:rsidP="002A1622">
            <w:r w:rsidRPr="00A87B50">
              <w:rPr>
                <w:b/>
                <w:bCs/>
              </w:rPr>
              <w:t>Agree with ONR</w:t>
            </w:r>
            <w:r w:rsidRPr="00F509D0">
              <w:t xml:space="preserve"> interface arrangements to be applied throughout GDA</w:t>
            </w:r>
          </w:p>
        </w:tc>
        <w:tc>
          <w:tcPr>
            <w:tcW w:w="1417" w:type="dxa"/>
          </w:tcPr>
          <w:p w14:paraId="51B2362D" w14:textId="289F8C0C" w:rsidR="002A1622" w:rsidRPr="00F73532" w:rsidRDefault="002A1622" w:rsidP="00892CA8">
            <w:pPr>
              <w:jc w:val="center"/>
            </w:pPr>
            <w:r w:rsidRPr="00F509D0">
              <w:t>4.1.2</w:t>
            </w:r>
          </w:p>
        </w:tc>
      </w:tr>
      <w:tr w:rsidR="004E516A" w:rsidRPr="00F73532" w14:paraId="4155238C" w14:textId="77777777" w:rsidTr="00500025">
        <w:trPr>
          <w:cantSplit/>
        </w:trPr>
        <w:tc>
          <w:tcPr>
            <w:tcW w:w="983" w:type="dxa"/>
          </w:tcPr>
          <w:p w14:paraId="4C0A8E1A" w14:textId="4C9B015C" w:rsidR="004E516A" w:rsidRPr="00F509D0" w:rsidRDefault="004E516A" w:rsidP="004E516A">
            <w:pPr>
              <w:jc w:val="center"/>
            </w:pPr>
            <w:r w:rsidRPr="00F509D0">
              <w:t>[1.2]</w:t>
            </w:r>
          </w:p>
        </w:tc>
        <w:tc>
          <w:tcPr>
            <w:tcW w:w="7371" w:type="dxa"/>
          </w:tcPr>
          <w:p w14:paraId="4BFA519D" w14:textId="71900ECB" w:rsidR="004E516A" w:rsidRPr="00A87B50" w:rsidRDefault="004E516A" w:rsidP="004E516A">
            <w:pPr>
              <w:rPr>
                <w:b/>
                <w:bCs/>
              </w:rPr>
            </w:pPr>
            <w:r w:rsidRPr="00A87B50">
              <w:rPr>
                <w:b/>
                <w:bCs/>
              </w:rPr>
              <w:t>Agree with ONR</w:t>
            </w:r>
            <w:r w:rsidRPr="00F509D0">
              <w:t xml:space="preserve"> the GDA scope, to ensure that the assessment is meaningful</w:t>
            </w:r>
          </w:p>
        </w:tc>
        <w:tc>
          <w:tcPr>
            <w:tcW w:w="1417" w:type="dxa"/>
          </w:tcPr>
          <w:p w14:paraId="5D19C987" w14:textId="3E9482EC" w:rsidR="004E516A" w:rsidRPr="00F509D0" w:rsidRDefault="004E516A" w:rsidP="00892CA8">
            <w:pPr>
              <w:jc w:val="center"/>
            </w:pPr>
            <w:r w:rsidRPr="00F509D0">
              <w:t>4.2</w:t>
            </w:r>
          </w:p>
        </w:tc>
      </w:tr>
      <w:tr w:rsidR="004E516A" w:rsidRPr="00F73532" w14:paraId="223737C0" w14:textId="77777777" w:rsidTr="00500025">
        <w:trPr>
          <w:cantSplit/>
          <w:trHeight w:val="23"/>
        </w:trPr>
        <w:tc>
          <w:tcPr>
            <w:tcW w:w="983" w:type="dxa"/>
          </w:tcPr>
          <w:p w14:paraId="28DAC510" w14:textId="626F7744" w:rsidR="004E516A" w:rsidRPr="00F73532" w:rsidRDefault="004E516A" w:rsidP="004E516A">
            <w:pPr>
              <w:jc w:val="center"/>
            </w:pPr>
            <w:r w:rsidRPr="00F509D0">
              <w:t>[1.3]</w:t>
            </w:r>
          </w:p>
        </w:tc>
        <w:tc>
          <w:tcPr>
            <w:tcW w:w="7371" w:type="dxa"/>
          </w:tcPr>
          <w:p w14:paraId="6BC6D106" w14:textId="693F5C3E" w:rsidR="004E516A" w:rsidRPr="00F73532" w:rsidRDefault="004E516A" w:rsidP="004E516A">
            <w:r w:rsidRPr="00A87B50">
              <w:rPr>
                <w:b/>
                <w:bCs/>
              </w:rPr>
              <w:t>Agree with ONR</w:t>
            </w:r>
            <w:r w:rsidRPr="00F509D0">
              <w:t xml:space="preserve"> the overall GDA timescales and associated schedule, including subsequent </w:t>
            </w:r>
            <w:r>
              <w:t>step</w:t>
            </w:r>
            <w:r w:rsidRPr="00F509D0">
              <w:t>s</w:t>
            </w:r>
          </w:p>
        </w:tc>
        <w:tc>
          <w:tcPr>
            <w:tcW w:w="1417" w:type="dxa"/>
          </w:tcPr>
          <w:p w14:paraId="454DC7B1" w14:textId="3EC2AFFC" w:rsidR="004E516A" w:rsidRPr="00F73532" w:rsidRDefault="004E516A" w:rsidP="00892CA8">
            <w:pPr>
              <w:jc w:val="center"/>
            </w:pPr>
            <w:r w:rsidRPr="00F509D0">
              <w:t>4.2</w:t>
            </w:r>
          </w:p>
        </w:tc>
      </w:tr>
      <w:tr w:rsidR="004E516A" w:rsidRPr="00F73532" w14:paraId="7C0FDCC3" w14:textId="77777777" w:rsidTr="00500025">
        <w:trPr>
          <w:cantSplit/>
          <w:trHeight w:val="23"/>
        </w:trPr>
        <w:tc>
          <w:tcPr>
            <w:tcW w:w="983" w:type="dxa"/>
          </w:tcPr>
          <w:p w14:paraId="688AA48C" w14:textId="4DE61AE2" w:rsidR="004E516A" w:rsidRPr="00F73532" w:rsidRDefault="004E516A" w:rsidP="004E516A">
            <w:pPr>
              <w:jc w:val="center"/>
            </w:pPr>
            <w:r w:rsidRPr="00F509D0">
              <w:t>[1.4]</w:t>
            </w:r>
          </w:p>
        </w:tc>
        <w:tc>
          <w:tcPr>
            <w:tcW w:w="7371" w:type="dxa"/>
          </w:tcPr>
          <w:p w14:paraId="29D76DF2" w14:textId="0FA21CC2" w:rsidR="004E516A" w:rsidRPr="00F73532" w:rsidRDefault="004E516A" w:rsidP="004E516A">
            <w:r w:rsidRPr="00A87B50">
              <w:rPr>
                <w:b/>
                <w:bCs/>
              </w:rPr>
              <w:t>Put arrangements in place</w:t>
            </w:r>
            <w:r w:rsidRPr="00F509D0">
              <w:t xml:space="preserve"> to ensure that ONR will have full access to any commercially confidential information necessary for it to complete its assessments at each </w:t>
            </w:r>
            <w:r>
              <w:t>step</w:t>
            </w:r>
            <w:r w:rsidRPr="00F509D0">
              <w:t>; this must also include relevant commercial information which is the property of third parties. ONR expects this information to be made available in ONR’s offices</w:t>
            </w:r>
          </w:p>
        </w:tc>
        <w:tc>
          <w:tcPr>
            <w:tcW w:w="1417" w:type="dxa"/>
          </w:tcPr>
          <w:p w14:paraId="48A1A3A5" w14:textId="6D8E607A" w:rsidR="004E516A" w:rsidRPr="00F73532" w:rsidRDefault="004E516A" w:rsidP="00892CA8">
            <w:pPr>
              <w:jc w:val="center"/>
            </w:pPr>
            <w:r w:rsidRPr="00F509D0">
              <w:t>4.</w:t>
            </w:r>
            <w:r w:rsidR="0098717C">
              <w:t>6</w:t>
            </w:r>
            <w:r w:rsidRPr="00F509D0">
              <w:t>.1</w:t>
            </w:r>
          </w:p>
        </w:tc>
      </w:tr>
      <w:tr w:rsidR="00892CA8" w:rsidRPr="00F73532" w14:paraId="54261078" w14:textId="77777777" w:rsidTr="00500025">
        <w:trPr>
          <w:cantSplit/>
          <w:trHeight w:val="23"/>
        </w:trPr>
        <w:tc>
          <w:tcPr>
            <w:tcW w:w="983" w:type="dxa"/>
          </w:tcPr>
          <w:p w14:paraId="07950D4B" w14:textId="15AABC3B" w:rsidR="00892CA8" w:rsidRPr="00F73532" w:rsidRDefault="00892CA8" w:rsidP="00892CA8">
            <w:pPr>
              <w:jc w:val="center"/>
            </w:pPr>
            <w:r w:rsidRPr="00F509D0">
              <w:t>[1.5]</w:t>
            </w:r>
          </w:p>
        </w:tc>
        <w:tc>
          <w:tcPr>
            <w:tcW w:w="7371" w:type="dxa"/>
          </w:tcPr>
          <w:p w14:paraId="7C2BB1D0" w14:textId="0A182CDF" w:rsidR="00892CA8" w:rsidRPr="00F73532" w:rsidRDefault="00892CA8" w:rsidP="00892CA8">
            <w:r w:rsidRPr="00A87B50">
              <w:rPr>
                <w:b/>
                <w:bCs/>
              </w:rPr>
              <w:t>Put arrangements in place</w:t>
            </w:r>
            <w:r w:rsidRPr="00F509D0">
              <w:t xml:space="preserve"> for handling and protecting security marked documentation, including identifying any SNI. ONR expects the RP’s document classification scheme to be compatible with the Government Security Classifications</w:t>
            </w:r>
          </w:p>
        </w:tc>
        <w:tc>
          <w:tcPr>
            <w:tcW w:w="1417" w:type="dxa"/>
          </w:tcPr>
          <w:p w14:paraId="335161EA" w14:textId="5C7E26ED" w:rsidR="00892CA8" w:rsidRPr="00F73532" w:rsidRDefault="00892CA8" w:rsidP="00892CA8">
            <w:pPr>
              <w:jc w:val="center"/>
            </w:pPr>
            <w:r w:rsidRPr="00F509D0">
              <w:t>4.</w:t>
            </w:r>
            <w:r w:rsidR="0098717C">
              <w:t>6</w:t>
            </w:r>
            <w:r w:rsidRPr="00F509D0">
              <w:t>.1</w:t>
            </w:r>
          </w:p>
        </w:tc>
      </w:tr>
      <w:tr w:rsidR="00892CA8" w:rsidRPr="00F73532" w14:paraId="39C2A933" w14:textId="77777777" w:rsidTr="00500025">
        <w:trPr>
          <w:cantSplit/>
          <w:trHeight w:val="23"/>
        </w:trPr>
        <w:tc>
          <w:tcPr>
            <w:tcW w:w="983" w:type="dxa"/>
          </w:tcPr>
          <w:p w14:paraId="591CAABB" w14:textId="540B40E0" w:rsidR="00892CA8" w:rsidRPr="00F73532" w:rsidRDefault="00892CA8" w:rsidP="00892CA8">
            <w:pPr>
              <w:jc w:val="center"/>
            </w:pPr>
            <w:r w:rsidRPr="00F509D0">
              <w:t>[1.6]</w:t>
            </w:r>
          </w:p>
        </w:tc>
        <w:tc>
          <w:tcPr>
            <w:tcW w:w="7371" w:type="dxa"/>
          </w:tcPr>
          <w:p w14:paraId="3BCEAA17" w14:textId="4EC4A392" w:rsidR="00892CA8" w:rsidRPr="00F73532" w:rsidRDefault="00892CA8" w:rsidP="00892CA8">
            <w:r w:rsidRPr="00A87B50">
              <w:rPr>
                <w:b/>
                <w:bCs/>
              </w:rPr>
              <w:t>Obtain</w:t>
            </w:r>
            <w:r w:rsidRPr="00F509D0">
              <w:t xml:space="preserve"> all necessary personnel security clearances for all staff who will be supporting GDA</w:t>
            </w:r>
          </w:p>
        </w:tc>
        <w:tc>
          <w:tcPr>
            <w:tcW w:w="1417" w:type="dxa"/>
          </w:tcPr>
          <w:p w14:paraId="02600C40" w14:textId="6EA8299D" w:rsidR="00892CA8" w:rsidRPr="00F73532" w:rsidRDefault="00892CA8" w:rsidP="00892CA8">
            <w:pPr>
              <w:jc w:val="center"/>
            </w:pPr>
            <w:r w:rsidRPr="00F509D0">
              <w:t>4.</w:t>
            </w:r>
            <w:r w:rsidR="0098717C">
              <w:t>6</w:t>
            </w:r>
            <w:r w:rsidRPr="00F509D0">
              <w:t>.1</w:t>
            </w:r>
          </w:p>
        </w:tc>
      </w:tr>
      <w:tr w:rsidR="00892CA8" w:rsidRPr="00F73532" w14:paraId="56C2E208" w14:textId="77777777" w:rsidTr="00500025">
        <w:trPr>
          <w:cantSplit/>
          <w:trHeight w:val="23"/>
        </w:trPr>
        <w:tc>
          <w:tcPr>
            <w:tcW w:w="983" w:type="dxa"/>
          </w:tcPr>
          <w:p w14:paraId="7BE1DAF9" w14:textId="41A16536" w:rsidR="00892CA8" w:rsidRPr="00F73532" w:rsidRDefault="00892CA8" w:rsidP="00892CA8">
            <w:pPr>
              <w:jc w:val="center"/>
            </w:pPr>
            <w:r w:rsidRPr="00F509D0">
              <w:t>[1.7]</w:t>
            </w:r>
          </w:p>
        </w:tc>
        <w:tc>
          <w:tcPr>
            <w:tcW w:w="7371" w:type="dxa"/>
          </w:tcPr>
          <w:p w14:paraId="229A844F" w14:textId="67B496FD" w:rsidR="00892CA8" w:rsidRPr="00F73532" w:rsidRDefault="00892CA8" w:rsidP="00892CA8">
            <w:r w:rsidRPr="00A87B50">
              <w:rPr>
                <w:b/>
                <w:bCs/>
              </w:rPr>
              <w:t>Obtain</w:t>
            </w:r>
            <w:r w:rsidRPr="00F509D0">
              <w:t xml:space="preserve"> all necessary export licenses to ensure that information can be transferred to and from the UK, and other relevant countries where information transfer is necessary as part of GDA</w:t>
            </w:r>
          </w:p>
        </w:tc>
        <w:tc>
          <w:tcPr>
            <w:tcW w:w="1417" w:type="dxa"/>
          </w:tcPr>
          <w:p w14:paraId="1CD29C4C" w14:textId="44514BDE" w:rsidR="00892CA8" w:rsidRPr="00F73532" w:rsidRDefault="00892CA8" w:rsidP="00892CA8">
            <w:pPr>
              <w:jc w:val="center"/>
            </w:pPr>
            <w:r w:rsidRPr="00F509D0">
              <w:t>4.</w:t>
            </w:r>
            <w:r w:rsidR="0098717C">
              <w:t>6</w:t>
            </w:r>
            <w:r w:rsidRPr="00F509D0">
              <w:t>.1</w:t>
            </w:r>
          </w:p>
        </w:tc>
      </w:tr>
      <w:tr w:rsidR="00892CA8" w:rsidRPr="00F509D0" w14:paraId="51D37A19" w14:textId="77777777" w:rsidTr="00500025">
        <w:trPr>
          <w:cantSplit/>
        </w:trPr>
        <w:tc>
          <w:tcPr>
            <w:tcW w:w="983" w:type="dxa"/>
          </w:tcPr>
          <w:p w14:paraId="27227604" w14:textId="77777777" w:rsidR="00892CA8" w:rsidRPr="00F509D0" w:rsidRDefault="00892CA8" w:rsidP="00D7725D">
            <w:pPr>
              <w:jc w:val="center"/>
            </w:pPr>
            <w:r w:rsidRPr="00F509D0">
              <w:t>[1.8]</w:t>
            </w:r>
          </w:p>
        </w:tc>
        <w:tc>
          <w:tcPr>
            <w:tcW w:w="7371" w:type="dxa"/>
          </w:tcPr>
          <w:p w14:paraId="70164FCA" w14:textId="77777777" w:rsidR="00892CA8" w:rsidRPr="00F509D0" w:rsidRDefault="00892CA8" w:rsidP="008104E9">
            <w:r w:rsidRPr="00A87B50">
              <w:rPr>
                <w:b/>
                <w:bCs/>
              </w:rPr>
              <w:t>Submit to ONR</w:t>
            </w:r>
            <w:r w:rsidRPr="00F509D0">
              <w:t xml:space="preserve"> design familiarisation information. This should include sufficient information to provide ONR with an overall understanding of the safety and security of the proposed design, in line with the agreed scope for GDA. This should also include information on the </w:t>
            </w:r>
            <w:proofErr w:type="gramStart"/>
            <w:r w:rsidRPr="00F509D0">
              <w:t>current status</w:t>
            </w:r>
            <w:proofErr w:type="gramEnd"/>
            <w:r w:rsidRPr="00F509D0">
              <w:t xml:space="preserve"> of the design and the identification of any aspects where development is still required, alongside an indication of what this may entail and likely timescales. The RP should identify any distinguishing features of the design</w:t>
            </w:r>
          </w:p>
        </w:tc>
        <w:tc>
          <w:tcPr>
            <w:tcW w:w="1417" w:type="dxa"/>
          </w:tcPr>
          <w:p w14:paraId="22FFFE82" w14:textId="77777777" w:rsidR="00892CA8" w:rsidRPr="00F509D0" w:rsidRDefault="00892CA8" w:rsidP="00892CA8">
            <w:pPr>
              <w:jc w:val="center"/>
            </w:pPr>
            <w:r w:rsidRPr="00F509D0">
              <w:t>4.4.1</w:t>
            </w:r>
          </w:p>
        </w:tc>
      </w:tr>
      <w:tr w:rsidR="00892CA8" w:rsidRPr="00F509D0" w14:paraId="0733AB13" w14:textId="77777777" w:rsidTr="00500025">
        <w:trPr>
          <w:cantSplit/>
        </w:trPr>
        <w:tc>
          <w:tcPr>
            <w:tcW w:w="983" w:type="dxa"/>
          </w:tcPr>
          <w:p w14:paraId="4AEE00E9" w14:textId="77777777" w:rsidR="00892CA8" w:rsidRPr="00F509D0" w:rsidRDefault="00892CA8" w:rsidP="00D7725D">
            <w:pPr>
              <w:jc w:val="center"/>
            </w:pPr>
            <w:r w:rsidRPr="00F509D0">
              <w:lastRenderedPageBreak/>
              <w:t>[1.9]</w:t>
            </w:r>
          </w:p>
        </w:tc>
        <w:tc>
          <w:tcPr>
            <w:tcW w:w="7371" w:type="dxa"/>
          </w:tcPr>
          <w:p w14:paraId="27A5B8F2" w14:textId="77777777" w:rsidR="00892CA8" w:rsidRPr="00F509D0" w:rsidRDefault="00892CA8" w:rsidP="008104E9">
            <w:r w:rsidRPr="00A87B50">
              <w:rPr>
                <w:b/>
                <w:bCs/>
              </w:rPr>
              <w:t>Submit to ONR</w:t>
            </w:r>
            <w:r w:rsidRPr="00F509D0">
              <w:t xml:space="preserve"> information on assessments performed by other regulators on the proposed design, including the </w:t>
            </w:r>
            <w:proofErr w:type="gramStart"/>
            <w:r w:rsidRPr="00F509D0">
              <w:t>current status</w:t>
            </w:r>
            <w:proofErr w:type="gramEnd"/>
            <w:r w:rsidRPr="00F509D0">
              <w:t xml:space="preserve"> of any reviews, any findings and any changes made or proposed as a result, including a judgement on their significance</w:t>
            </w:r>
          </w:p>
        </w:tc>
        <w:tc>
          <w:tcPr>
            <w:tcW w:w="1417" w:type="dxa"/>
          </w:tcPr>
          <w:p w14:paraId="1BB4EEA3" w14:textId="77777777" w:rsidR="00892CA8" w:rsidRPr="00F509D0" w:rsidRDefault="00892CA8" w:rsidP="00892CA8">
            <w:pPr>
              <w:jc w:val="center"/>
            </w:pPr>
            <w:r w:rsidRPr="00F509D0">
              <w:t>2.4.1</w:t>
            </w:r>
          </w:p>
        </w:tc>
      </w:tr>
      <w:tr w:rsidR="00892CA8" w:rsidRPr="00F73532" w14:paraId="010EE10F" w14:textId="77777777" w:rsidTr="00500025">
        <w:trPr>
          <w:cantSplit/>
          <w:trHeight w:val="23"/>
        </w:trPr>
        <w:tc>
          <w:tcPr>
            <w:tcW w:w="983" w:type="dxa"/>
          </w:tcPr>
          <w:p w14:paraId="0D661F41" w14:textId="38A693D8" w:rsidR="00892CA8" w:rsidRPr="00F73532" w:rsidRDefault="00892CA8" w:rsidP="00892CA8">
            <w:pPr>
              <w:jc w:val="center"/>
            </w:pPr>
            <w:r w:rsidRPr="00F509D0">
              <w:t>[1.10]</w:t>
            </w:r>
          </w:p>
        </w:tc>
        <w:tc>
          <w:tcPr>
            <w:tcW w:w="7371" w:type="dxa"/>
          </w:tcPr>
          <w:p w14:paraId="21C9CBFE" w14:textId="698294E4" w:rsidR="00892CA8" w:rsidRPr="00F73532" w:rsidRDefault="00892CA8" w:rsidP="00892CA8">
            <w:r w:rsidRPr="00A87B50">
              <w:rPr>
                <w:b/>
                <w:bCs/>
              </w:rPr>
              <w:t>Submit to ONR</w:t>
            </w:r>
            <w:r w:rsidRPr="00F509D0">
              <w:t xml:space="preserve"> a description of the fundamental design philosophy and identification of the main safety and security claims including identification of hazards, control measures and protection systems</w:t>
            </w:r>
          </w:p>
        </w:tc>
        <w:tc>
          <w:tcPr>
            <w:tcW w:w="1417" w:type="dxa"/>
          </w:tcPr>
          <w:p w14:paraId="55A39EC5" w14:textId="5196DD59" w:rsidR="00892CA8" w:rsidRPr="00F73532" w:rsidRDefault="00892CA8" w:rsidP="00892CA8">
            <w:pPr>
              <w:jc w:val="center"/>
            </w:pPr>
            <w:r w:rsidRPr="00F509D0">
              <w:t>4.4.2</w:t>
            </w:r>
          </w:p>
        </w:tc>
      </w:tr>
      <w:tr w:rsidR="00892CA8" w:rsidRPr="00F73532" w14:paraId="1F5FFBF4" w14:textId="77777777" w:rsidTr="00500025">
        <w:trPr>
          <w:cantSplit/>
          <w:trHeight w:val="23"/>
        </w:trPr>
        <w:tc>
          <w:tcPr>
            <w:tcW w:w="983" w:type="dxa"/>
          </w:tcPr>
          <w:p w14:paraId="32DCA8BC" w14:textId="23B6761A" w:rsidR="00892CA8" w:rsidRPr="00F73532" w:rsidRDefault="00892CA8" w:rsidP="00892CA8">
            <w:pPr>
              <w:jc w:val="center"/>
            </w:pPr>
            <w:r w:rsidRPr="00F509D0">
              <w:t>[1.11]</w:t>
            </w:r>
          </w:p>
        </w:tc>
        <w:tc>
          <w:tcPr>
            <w:tcW w:w="7371" w:type="dxa"/>
          </w:tcPr>
          <w:p w14:paraId="5641F52F" w14:textId="29DD83F6" w:rsidR="00892CA8" w:rsidRPr="00F73532" w:rsidRDefault="00892CA8" w:rsidP="00892CA8">
            <w:r w:rsidRPr="00A87B50">
              <w:rPr>
                <w:b/>
                <w:bCs/>
              </w:rPr>
              <w:t>Submit to ONR</w:t>
            </w:r>
            <w:r w:rsidRPr="00F509D0">
              <w:t xml:space="preserve"> a description of the process being adopted by the RP to demonstrate compliance with the legal duty to ensure that the risks to human health arising from the operation of a power station based on the proposed design are reduced to ALARP</w:t>
            </w:r>
          </w:p>
        </w:tc>
        <w:tc>
          <w:tcPr>
            <w:tcW w:w="1417" w:type="dxa"/>
          </w:tcPr>
          <w:p w14:paraId="3B67FCF4" w14:textId="321C36E8" w:rsidR="00892CA8" w:rsidRPr="00F73532" w:rsidRDefault="00892CA8" w:rsidP="00892CA8">
            <w:pPr>
              <w:jc w:val="center"/>
            </w:pPr>
            <w:r w:rsidRPr="00F509D0">
              <w:t>4.4.3</w:t>
            </w:r>
          </w:p>
        </w:tc>
      </w:tr>
      <w:tr w:rsidR="00892CA8" w:rsidRPr="00F73532" w14:paraId="6A570749" w14:textId="77777777" w:rsidTr="00500025">
        <w:trPr>
          <w:cantSplit/>
          <w:trHeight w:val="23"/>
        </w:trPr>
        <w:tc>
          <w:tcPr>
            <w:tcW w:w="983" w:type="dxa"/>
          </w:tcPr>
          <w:p w14:paraId="5181B82A" w14:textId="7F732124" w:rsidR="00892CA8" w:rsidRPr="00F73532" w:rsidRDefault="00892CA8" w:rsidP="00892CA8">
            <w:pPr>
              <w:jc w:val="center"/>
            </w:pPr>
            <w:r w:rsidRPr="00F509D0">
              <w:t>[1.12]</w:t>
            </w:r>
          </w:p>
        </w:tc>
        <w:tc>
          <w:tcPr>
            <w:tcW w:w="7371" w:type="dxa"/>
          </w:tcPr>
          <w:p w14:paraId="7883020A" w14:textId="7ECB717D" w:rsidR="00892CA8" w:rsidRPr="00F73532" w:rsidRDefault="00892CA8" w:rsidP="00892CA8">
            <w:r w:rsidRPr="00A87B50">
              <w:rPr>
                <w:b/>
                <w:bCs/>
              </w:rPr>
              <w:t>Submit to ONR</w:t>
            </w:r>
            <w:r w:rsidRPr="00F509D0">
              <w:t xml:space="preserve"> a description of the process being adopted by the RP to demonstrate compliance with the requirements of the Nuclear Industries Security Regulations (NISR)</w:t>
            </w:r>
          </w:p>
        </w:tc>
        <w:tc>
          <w:tcPr>
            <w:tcW w:w="1417" w:type="dxa"/>
          </w:tcPr>
          <w:p w14:paraId="54F23138" w14:textId="5DCDBBB9" w:rsidR="00892CA8" w:rsidRPr="00F73532" w:rsidRDefault="00892CA8" w:rsidP="00892CA8">
            <w:pPr>
              <w:jc w:val="center"/>
            </w:pPr>
            <w:r w:rsidRPr="00F509D0">
              <w:t>4.4.4</w:t>
            </w:r>
          </w:p>
        </w:tc>
      </w:tr>
      <w:tr w:rsidR="00892CA8" w:rsidRPr="00F73532" w14:paraId="039899E3" w14:textId="77777777" w:rsidTr="00500025">
        <w:trPr>
          <w:cantSplit/>
          <w:trHeight w:val="23"/>
        </w:trPr>
        <w:tc>
          <w:tcPr>
            <w:tcW w:w="983" w:type="dxa"/>
          </w:tcPr>
          <w:p w14:paraId="27BF6279" w14:textId="38A79707" w:rsidR="00892CA8" w:rsidRPr="00F73532" w:rsidRDefault="00892CA8" w:rsidP="00892CA8">
            <w:pPr>
              <w:jc w:val="center"/>
            </w:pPr>
            <w:r w:rsidRPr="00F509D0">
              <w:t>[1.13]</w:t>
            </w:r>
          </w:p>
        </w:tc>
        <w:tc>
          <w:tcPr>
            <w:tcW w:w="7371" w:type="dxa"/>
          </w:tcPr>
          <w:p w14:paraId="1059B3D3" w14:textId="77777777" w:rsidR="00892CA8" w:rsidRPr="00F509D0" w:rsidRDefault="00892CA8" w:rsidP="00892CA8">
            <w:r w:rsidRPr="00A87B50">
              <w:rPr>
                <w:b/>
                <w:bCs/>
              </w:rPr>
              <w:t>Submit to ONR</w:t>
            </w:r>
            <w:r w:rsidRPr="00F509D0">
              <w:t xml:space="preserve"> evidence of the RP’s understanding of the nuclear regulatory framework and regulatory principles and how these have been (or will be) considered as part of the design and generic safety and security cases for the proposed design. This should include matters such as: </w:t>
            </w:r>
          </w:p>
          <w:p w14:paraId="5C5455AE" w14:textId="77777777" w:rsidR="00892CA8" w:rsidRPr="00892CA8" w:rsidRDefault="00892CA8">
            <w:pPr>
              <w:pStyle w:val="ListParagraph"/>
              <w:numPr>
                <w:ilvl w:val="0"/>
                <w:numId w:val="9"/>
              </w:numPr>
              <w:spacing w:after="0" w:line="240" w:lineRule="auto"/>
            </w:pPr>
            <w:r w:rsidRPr="00892CA8">
              <w:t xml:space="preserve">the approach to categorisation of safety functions and classification of structures, </w:t>
            </w:r>
            <w:proofErr w:type="gramStart"/>
            <w:r w:rsidRPr="00892CA8">
              <w:t>systems</w:t>
            </w:r>
            <w:proofErr w:type="gramEnd"/>
            <w:r w:rsidRPr="00892CA8">
              <w:t xml:space="preserve"> and components</w:t>
            </w:r>
          </w:p>
          <w:p w14:paraId="2A67DE9C" w14:textId="77777777" w:rsidR="00892CA8" w:rsidRPr="00892CA8" w:rsidRDefault="00892CA8">
            <w:pPr>
              <w:pStyle w:val="ListParagraph"/>
              <w:numPr>
                <w:ilvl w:val="0"/>
                <w:numId w:val="9"/>
              </w:numPr>
              <w:spacing w:after="0" w:line="240" w:lineRule="auto"/>
            </w:pPr>
            <w:r w:rsidRPr="00892CA8">
              <w:t>the development of a schedule of faults (including internal events and internal and external hazards), including protection and mitigation measures and the links this has to the associated engineering</w:t>
            </w:r>
          </w:p>
          <w:p w14:paraId="74318575" w14:textId="3E7283CF" w:rsidR="00892CA8" w:rsidRPr="00892CA8" w:rsidRDefault="00892CA8">
            <w:pPr>
              <w:pStyle w:val="ListParagraph"/>
              <w:numPr>
                <w:ilvl w:val="0"/>
                <w:numId w:val="9"/>
              </w:numPr>
            </w:pPr>
            <w:r w:rsidRPr="00892CA8">
              <w:t xml:space="preserve">an understanding of the approach adopted to defence in depth and the hierarchy of controls, including consideration of matters such as common cause failure, segregation, </w:t>
            </w:r>
            <w:proofErr w:type="gramStart"/>
            <w:r w:rsidRPr="00892CA8">
              <w:t>redundancy</w:t>
            </w:r>
            <w:proofErr w:type="gramEnd"/>
            <w:r w:rsidRPr="00892CA8">
              <w:t xml:space="preserve"> and diversity</w:t>
            </w:r>
          </w:p>
        </w:tc>
        <w:tc>
          <w:tcPr>
            <w:tcW w:w="1417" w:type="dxa"/>
          </w:tcPr>
          <w:p w14:paraId="2AD9E0FA" w14:textId="73F157EA" w:rsidR="00892CA8" w:rsidRPr="00F73532" w:rsidRDefault="00892CA8" w:rsidP="00892CA8">
            <w:pPr>
              <w:jc w:val="center"/>
            </w:pPr>
            <w:r w:rsidRPr="00F509D0">
              <w:t>4.4.5</w:t>
            </w:r>
          </w:p>
        </w:tc>
      </w:tr>
      <w:tr w:rsidR="00892CA8" w:rsidRPr="00F73532" w14:paraId="01C3F14F" w14:textId="77777777" w:rsidTr="00500025">
        <w:trPr>
          <w:cantSplit/>
          <w:trHeight w:val="23"/>
        </w:trPr>
        <w:tc>
          <w:tcPr>
            <w:tcW w:w="983" w:type="dxa"/>
          </w:tcPr>
          <w:p w14:paraId="45EAA3F2" w14:textId="550D1587" w:rsidR="00892CA8" w:rsidRPr="00F509D0" w:rsidRDefault="00892CA8" w:rsidP="00892CA8">
            <w:pPr>
              <w:jc w:val="center"/>
            </w:pPr>
            <w:r w:rsidRPr="00F509D0">
              <w:t>[1.14]</w:t>
            </w:r>
          </w:p>
        </w:tc>
        <w:tc>
          <w:tcPr>
            <w:tcW w:w="7371" w:type="dxa"/>
          </w:tcPr>
          <w:p w14:paraId="55A05E6B" w14:textId="71FFADDD" w:rsidR="00892CA8" w:rsidRPr="00A87B50" w:rsidRDefault="00892CA8" w:rsidP="00892CA8">
            <w:pPr>
              <w:rPr>
                <w:b/>
                <w:bCs/>
              </w:rPr>
            </w:pPr>
            <w:r w:rsidRPr="00A87B50">
              <w:rPr>
                <w:b/>
                <w:bCs/>
              </w:rPr>
              <w:t>Submit to ONR</w:t>
            </w:r>
            <w:r w:rsidRPr="00F509D0">
              <w:t xml:space="preserve"> information about the reference design (or designs) on which the generic safety and security cases are based, if appropriate</w:t>
            </w:r>
          </w:p>
        </w:tc>
        <w:tc>
          <w:tcPr>
            <w:tcW w:w="1417" w:type="dxa"/>
          </w:tcPr>
          <w:p w14:paraId="0453111B" w14:textId="78BDF59C" w:rsidR="00892CA8" w:rsidRPr="00F509D0" w:rsidRDefault="00892CA8" w:rsidP="00892CA8">
            <w:pPr>
              <w:jc w:val="center"/>
            </w:pPr>
            <w:r w:rsidRPr="00F509D0">
              <w:t>2.4.1</w:t>
            </w:r>
          </w:p>
        </w:tc>
      </w:tr>
      <w:tr w:rsidR="00892CA8" w:rsidRPr="00F73532" w14:paraId="7CB357AF" w14:textId="77777777" w:rsidTr="00500025">
        <w:trPr>
          <w:cantSplit/>
          <w:trHeight w:val="23"/>
        </w:trPr>
        <w:tc>
          <w:tcPr>
            <w:tcW w:w="983" w:type="dxa"/>
          </w:tcPr>
          <w:p w14:paraId="5748A8D2" w14:textId="0737DB4D" w:rsidR="00892CA8" w:rsidRPr="00F509D0" w:rsidRDefault="00892CA8" w:rsidP="00892CA8">
            <w:pPr>
              <w:jc w:val="center"/>
            </w:pPr>
            <w:r w:rsidRPr="00F509D0">
              <w:t>[1.15]</w:t>
            </w:r>
          </w:p>
        </w:tc>
        <w:tc>
          <w:tcPr>
            <w:tcW w:w="7371" w:type="dxa"/>
          </w:tcPr>
          <w:p w14:paraId="19815616" w14:textId="04E4BCDE" w:rsidR="00892CA8" w:rsidRPr="00A87B50" w:rsidRDefault="00892CA8" w:rsidP="00892CA8">
            <w:pPr>
              <w:rPr>
                <w:b/>
                <w:bCs/>
              </w:rPr>
            </w:pPr>
            <w:r w:rsidRPr="00A87B50">
              <w:rPr>
                <w:b/>
                <w:bCs/>
              </w:rPr>
              <w:t>Submit to ONR</w:t>
            </w:r>
            <w:r w:rsidRPr="00F509D0">
              <w:t xml:space="preserve"> the RP’s own design, security and safety principles adopted in the proposed design</w:t>
            </w:r>
          </w:p>
        </w:tc>
        <w:tc>
          <w:tcPr>
            <w:tcW w:w="1417" w:type="dxa"/>
          </w:tcPr>
          <w:p w14:paraId="11D03CA6" w14:textId="562E4459" w:rsidR="00892CA8" w:rsidRPr="00F509D0" w:rsidRDefault="00892CA8" w:rsidP="00892CA8">
            <w:pPr>
              <w:jc w:val="center"/>
            </w:pPr>
            <w:r w:rsidRPr="00F509D0">
              <w:t>4.4.6</w:t>
            </w:r>
          </w:p>
        </w:tc>
      </w:tr>
      <w:tr w:rsidR="00892CA8" w:rsidRPr="00F73532" w14:paraId="43F0AACD" w14:textId="77777777" w:rsidTr="00500025">
        <w:trPr>
          <w:cantSplit/>
          <w:trHeight w:val="23"/>
        </w:trPr>
        <w:tc>
          <w:tcPr>
            <w:tcW w:w="983" w:type="dxa"/>
          </w:tcPr>
          <w:p w14:paraId="416552EE" w14:textId="02D54DF2" w:rsidR="00892CA8" w:rsidRPr="00F509D0" w:rsidRDefault="00892CA8" w:rsidP="00892CA8">
            <w:pPr>
              <w:jc w:val="center"/>
            </w:pPr>
            <w:r w:rsidRPr="00F509D0">
              <w:lastRenderedPageBreak/>
              <w:t>[1.16]</w:t>
            </w:r>
          </w:p>
        </w:tc>
        <w:tc>
          <w:tcPr>
            <w:tcW w:w="7371" w:type="dxa"/>
          </w:tcPr>
          <w:p w14:paraId="672B4F59" w14:textId="4C1BFDBA" w:rsidR="00892CA8" w:rsidRPr="00A87B50" w:rsidRDefault="00892CA8" w:rsidP="00892CA8">
            <w:pPr>
              <w:rPr>
                <w:b/>
                <w:bCs/>
              </w:rPr>
            </w:pPr>
            <w:r w:rsidRPr="00A87B50">
              <w:rPr>
                <w:b/>
                <w:bCs/>
              </w:rPr>
              <w:t>Submit to ONR</w:t>
            </w:r>
            <w:r w:rsidRPr="00F509D0">
              <w:t xml:space="preserve"> a definition of the site characteristics to be used as the basis for the safety analysis (the 'generic site envelope')</w:t>
            </w:r>
          </w:p>
        </w:tc>
        <w:tc>
          <w:tcPr>
            <w:tcW w:w="1417" w:type="dxa"/>
          </w:tcPr>
          <w:p w14:paraId="038FEFD7" w14:textId="68E1A6FB" w:rsidR="00892CA8" w:rsidRPr="00F509D0" w:rsidRDefault="00892CA8" w:rsidP="00892CA8">
            <w:pPr>
              <w:jc w:val="center"/>
            </w:pPr>
            <w:r w:rsidRPr="00F509D0">
              <w:t>4.4.7</w:t>
            </w:r>
          </w:p>
        </w:tc>
      </w:tr>
      <w:tr w:rsidR="00892CA8" w:rsidRPr="00F73532" w14:paraId="05F8D483" w14:textId="77777777" w:rsidTr="00500025">
        <w:trPr>
          <w:cantSplit/>
          <w:trHeight w:val="23"/>
        </w:trPr>
        <w:tc>
          <w:tcPr>
            <w:tcW w:w="983" w:type="dxa"/>
          </w:tcPr>
          <w:p w14:paraId="6B59A52D" w14:textId="35FD5BC4" w:rsidR="00892CA8" w:rsidRPr="00F509D0" w:rsidRDefault="00892CA8" w:rsidP="00892CA8">
            <w:pPr>
              <w:jc w:val="center"/>
            </w:pPr>
            <w:r w:rsidRPr="00F509D0">
              <w:t>[1.17]</w:t>
            </w:r>
          </w:p>
        </w:tc>
        <w:tc>
          <w:tcPr>
            <w:tcW w:w="7371" w:type="dxa"/>
          </w:tcPr>
          <w:p w14:paraId="6922A3DC" w14:textId="53B62E31" w:rsidR="00892CA8" w:rsidRPr="00A87B50" w:rsidRDefault="00892CA8" w:rsidP="00892CA8">
            <w:pPr>
              <w:rPr>
                <w:b/>
                <w:bCs/>
              </w:rPr>
            </w:pPr>
            <w:r w:rsidRPr="00A87B50">
              <w:rPr>
                <w:b/>
                <w:bCs/>
              </w:rPr>
              <w:t>Submit to ONR</w:t>
            </w:r>
            <w:r w:rsidRPr="00F509D0">
              <w:t xml:space="preserve"> a description of the codes and standards which have been used as part of the proposed design, including the identification of any non-conformances</w:t>
            </w:r>
          </w:p>
        </w:tc>
        <w:tc>
          <w:tcPr>
            <w:tcW w:w="1417" w:type="dxa"/>
          </w:tcPr>
          <w:p w14:paraId="70F51A24" w14:textId="0F16EC4A" w:rsidR="00892CA8" w:rsidRPr="00F509D0" w:rsidRDefault="00892CA8" w:rsidP="00892CA8">
            <w:pPr>
              <w:jc w:val="center"/>
            </w:pPr>
            <w:r w:rsidRPr="00F509D0">
              <w:t>4.4.8</w:t>
            </w:r>
          </w:p>
        </w:tc>
      </w:tr>
      <w:tr w:rsidR="00892CA8" w:rsidRPr="00F73532" w14:paraId="4F46563E" w14:textId="77777777" w:rsidTr="00500025">
        <w:trPr>
          <w:cantSplit/>
          <w:trHeight w:val="23"/>
        </w:trPr>
        <w:tc>
          <w:tcPr>
            <w:tcW w:w="983" w:type="dxa"/>
          </w:tcPr>
          <w:p w14:paraId="6AB17056" w14:textId="58675D57" w:rsidR="00892CA8" w:rsidRPr="00F509D0" w:rsidRDefault="00892CA8" w:rsidP="00892CA8">
            <w:pPr>
              <w:jc w:val="center"/>
            </w:pPr>
            <w:r w:rsidRPr="00F509D0">
              <w:t>[1.18]</w:t>
            </w:r>
          </w:p>
        </w:tc>
        <w:tc>
          <w:tcPr>
            <w:tcW w:w="7371" w:type="dxa"/>
          </w:tcPr>
          <w:p w14:paraId="342F7613" w14:textId="243AC80B" w:rsidR="00892CA8" w:rsidRPr="00A87B50" w:rsidRDefault="00892CA8" w:rsidP="00892CA8">
            <w:pPr>
              <w:rPr>
                <w:b/>
                <w:bCs/>
              </w:rPr>
            </w:pPr>
            <w:r w:rsidRPr="00A87B50">
              <w:rPr>
                <w:b/>
                <w:bCs/>
              </w:rPr>
              <w:t>Put arrangements in place</w:t>
            </w:r>
            <w:r w:rsidRPr="00F509D0">
              <w:t xml:space="preserve"> for development of the safety and security cases. </w:t>
            </w:r>
            <w:r w:rsidRPr="00A87B50">
              <w:rPr>
                <w:b/>
                <w:bCs/>
              </w:rPr>
              <w:t>Agree with ONR</w:t>
            </w:r>
            <w:r w:rsidRPr="00F509D0">
              <w:t xml:space="preserve"> the approach for structuring the generic safety and security cases and their format, including the intentions for using existing information throughout GDA. This should include details of existing safety and security case information and its availability. Where existing information is to be used the scope, background and regulatory basis of this information should be specified</w:t>
            </w:r>
          </w:p>
        </w:tc>
        <w:tc>
          <w:tcPr>
            <w:tcW w:w="1417" w:type="dxa"/>
          </w:tcPr>
          <w:p w14:paraId="1BD180C9" w14:textId="66B8D1D4" w:rsidR="00892CA8" w:rsidRPr="00F509D0" w:rsidRDefault="00892CA8" w:rsidP="00892CA8">
            <w:pPr>
              <w:jc w:val="center"/>
            </w:pPr>
            <w:r w:rsidRPr="00F509D0">
              <w:t>4.3</w:t>
            </w:r>
          </w:p>
        </w:tc>
      </w:tr>
      <w:tr w:rsidR="00892CA8" w:rsidRPr="00F73532" w14:paraId="61309E91" w14:textId="77777777" w:rsidTr="00500025">
        <w:trPr>
          <w:cantSplit/>
          <w:trHeight w:val="23"/>
        </w:trPr>
        <w:tc>
          <w:tcPr>
            <w:tcW w:w="983" w:type="dxa"/>
          </w:tcPr>
          <w:p w14:paraId="702BB02F" w14:textId="2140198A" w:rsidR="00892CA8" w:rsidRPr="00F509D0" w:rsidRDefault="00892CA8" w:rsidP="00892CA8">
            <w:pPr>
              <w:jc w:val="center"/>
            </w:pPr>
            <w:r w:rsidRPr="00F509D0">
              <w:t>[1.19]</w:t>
            </w:r>
          </w:p>
        </w:tc>
        <w:tc>
          <w:tcPr>
            <w:tcW w:w="7371" w:type="dxa"/>
          </w:tcPr>
          <w:p w14:paraId="5712F475" w14:textId="5B60D81C" w:rsidR="00892CA8" w:rsidRPr="00A87B50" w:rsidRDefault="00892CA8" w:rsidP="00892CA8">
            <w:pPr>
              <w:rPr>
                <w:b/>
                <w:bCs/>
              </w:rPr>
            </w:pPr>
            <w:r w:rsidRPr="00A87B50">
              <w:rPr>
                <w:b/>
                <w:bCs/>
              </w:rPr>
              <w:t>Agree with ONR</w:t>
            </w:r>
            <w:r w:rsidRPr="00F509D0">
              <w:t xml:space="preserve"> a schedule of generic safety and security case information which will be submitted to ONR ahead of, and during </w:t>
            </w:r>
            <w:r w:rsidR="006C3244">
              <w:t>Step</w:t>
            </w:r>
            <w:r w:rsidRPr="00F509D0">
              <w:t xml:space="preserve"> 2. </w:t>
            </w:r>
            <w:r w:rsidRPr="00A87B50">
              <w:rPr>
                <w:b/>
                <w:bCs/>
              </w:rPr>
              <w:t>Submit to ONR</w:t>
            </w:r>
            <w:r w:rsidRPr="00F509D0">
              <w:t xml:space="preserve"> any information agreed for submission during </w:t>
            </w:r>
            <w:r w:rsidR="006C3244">
              <w:t>Step</w:t>
            </w:r>
            <w:r w:rsidRPr="00F509D0">
              <w:t xml:space="preserve"> 1</w:t>
            </w:r>
          </w:p>
        </w:tc>
        <w:tc>
          <w:tcPr>
            <w:tcW w:w="1417" w:type="dxa"/>
          </w:tcPr>
          <w:p w14:paraId="7F5EF13F" w14:textId="77777777" w:rsidR="00892CA8" w:rsidRPr="00F509D0" w:rsidRDefault="00892CA8" w:rsidP="00892CA8">
            <w:pPr>
              <w:jc w:val="center"/>
            </w:pPr>
            <w:r w:rsidRPr="00F509D0">
              <w:t>3.3</w:t>
            </w:r>
          </w:p>
          <w:p w14:paraId="0D39103D" w14:textId="7859F41F" w:rsidR="00892CA8" w:rsidRPr="00F509D0" w:rsidRDefault="00892CA8" w:rsidP="00892CA8">
            <w:pPr>
              <w:jc w:val="center"/>
            </w:pPr>
            <w:r w:rsidRPr="00F509D0">
              <w:t>4.4</w:t>
            </w:r>
          </w:p>
        </w:tc>
      </w:tr>
      <w:tr w:rsidR="00892CA8" w:rsidRPr="00F73532" w14:paraId="17DE88FE" w14:textId="77777777" w:rsidTr="00500025">
        <w:trPr>
          <w:cantSplit/>
          <w:trHeight w:val="23"/>
        </w:trPr>
        <w:tc>
          <w:tcPr>
            <w:tcW w:w="983" w:type="dxa"/>
          </w:tcPr>
          <w:p w14:paraId="10B726B3" w14:textId="4F3A36D7" w:rsidR="00892CA8" w:rsidRPr="00F509D0" w:rsidRDefault="00892CA8" w:rsidP="00892CA8">
            <w:pPr>
              <w:jc w:val="center"/>
            </w:pPr>
            <w:r w:rsidRPr="00F509D0">
              <w:t>[1.20]</w:t>
            </w:r>
          </w:p>
        </w:tc>
        <w:tc>
          <w:tcPr>
            <w:tcW w:w="7371" w:type="dxa"/>
          </w:tcPr>
          <w:p w14:paraId="5D545C2F" w14:textId="2D4F98EB" w:rsidR="00892CA8" w:rsidRPr="00A87B50" w:rsidRDefault="00892CA8" w:rsidP="00892CA8">
            <w:pPr>
              <w:rPr>
                <w:b/>
                <w:bCs/>
              </w:rPr>
            </w:pPr>
            <w:r w:rsidRPr="00A87B50">
              <w:rPr>
                <w:b/>
                <w:bCs/>
              </w:rPr>
              <w:t>Undertake</w:t>
            </w:r>
            <w:r w:rsidRPr="00F509D0">
              <w:t xml:space="preserve"> a gap analysis of the submissions identified to support </w:t>
            </w:r>
            <w:r w:rsidR="006C3244">
              <w:t>Step</w:t>
            </w:r>
            <w:r w:rsidRPr="00F509D0">
              <w:t xml:space="preserve"> 2 against regulatory expectations. Where gaps are identified the RP should </w:t>
            </w:r>
            <w:r w:rsidRPr="00A87B50">
              <w:rPr>
                <w:b/>
                <w:bCs/>
              </w:rPr>
              <w:t>agree with ONR</w:t>
            </w:r>
            <w:r w:rsidRPr="00F509D0">
              <w:t xml:space="preserve"> a resolution plan which identifies what those gaps are, how they may be resolved and the timescales for doing so.</w:t>
            </w:r>
          </w:p>
        </w:tc>
        <w:tc>
          <w:tcPr>
            <w:tcW w:w="1417" w:type="dxa"/>
          </w:tcPr>
          <w:p w14:paraId="21C2DE72" w14:textId="61AA34AE" w:rsidR="00892CA8" w:rsidRPr="00F509D0" w:rsidRDefault="00892CA8" w:rsidP="00892CA8">
            <w:pPr>
              <w:jc w:val="center"/>
            </w:pPr>
            <w:r w:rsidRPr="00F509D0">
              <w:t>4.</w:t>
            </w:r>
            <w:r w:rsidR="00875175">
              <w:t>4.9</w:t>
            </w:r>
          </w:p>
          <w:p w14:paraId="08614D48" w14:textId="59B3D1B9" w:rsidR="00892CA8" w:rsidRPr="00F509D0" w:rsidRDefault="00892CA8" w:rsidP="00892CA8">
            <w:pPr>
              <w:jc w:val="center"/>
            </w:pPr>
            <w:r w:rsidRPr="00F509D0">
              <w:t>4.</w:t>
            </w:r>
            <w:r w:rsidR="0098717C">
              <w:t>6</w:t>
            </w:r>
            <w:r w:rsidRPr="00F509D0">
              <w:t>.1</w:t>
            </w:r>
          </w:p>
        </w:tc>
      </w:tr>
      <w:tr w:rsidR="00892CA8" w:rsidRPr="00F73532" w14:paraId="76B5F17E" w14:textId="77777777" w:rsidTr="00500025">
        <w:trPr>
          <w:cantSplit/>
          <w:trHeight w:val="23"/>
        </w:trPr>
        <w:tc>
          <w:tcPr>
            <w:tcW w:w="983" w:type="dxa"/>
          </w:tcPr>
          <w:p w14:paraId="5245FCC6" w14:textId="3CFE690F" w:rsidR="00892CA8" w:rsidRPr="00F509D0" w:rsidRDefault="00892CA8" w:rsidP="00892CA8">
            <w:pPr>
              <w:jc w:val="center"/>
            </w:pPr>
            <w:r w:rsidRPr="00F509D0">
              <w:t>[1.21]</w:t>
            </w:r>
          </w:p>
        </w:tc>
        <w:tc>
          <w:tcPr>
            <w:tcW w:w="7371" w:type="dxa"/>
          </w:tcPr>
          <w:p w14:paraId="61FF2240" w14:textId="071128B6" w:rsidR="00892CA8" w:rsidRPr="00A87B50" w:rsidRDefault="00892CA8" w:rsidP="00892CA8">
            <w:pPr>
              <w:rPr>
                <w:b/>
                <w:bCs/>
              </w:rPr>
            </w:pPr>
            <w:r w:rsidRPr="00A87B50">
              <w:rPr>
                <w:b/>
                <w:bCs/>
              </w:rPr>
              <w:t>Agree with ONR</w:t>
            </w:r>
            <w:r w:rsidRPr="00F509D0">
              <w:t xml:space="preserve"> the scope and contents (template) of the Master Document Submission List (MDSL) and any required arrangements for handling it, including provision of routine updates. </w:t>
            </w:r>
            <w:r w:rsidRPr="00A87B50">
              <w:rPr>
                <w:b/>
                <w:bCs/>
              </w:rPr>
              <w:t>Submit to ONR</w:t>
            </w:r>
            <w:r w:rsidRPr="00F509D0">
              <w:t xml:space="preserve"> the MDSL in accordance with the RP’s arrangements and any updates necessary throughout the </w:t>
            </w:r>
            <w:r>
              <w:t>step</w:t>
            </w:r>
          </w:p>
        </w:tc>
        <w:tc>
          <w:tcPr>
            <w:tcW w:w="1417" w:type="dxa"/>
          </w:tcPr>
          <w:p w14:paraId="13D1E7CA" w14:textId="385393CD" w:rsidR="00892CA8" w:rsidRPr="00F509D0" w:rsidRDefault="00892CA8" w:rsidP="00892CA8">
            <w:pPr>
              <w:jc w:val="center"/>
            </w:pPr>
            <w:r w:rsidRPr="00F509D0">
              <w:t>4.1.3</w:t>
            </w:r>
          </w:p>
        </w:tc>
      </w:tr>
      <w:tr w:rsidR="00892CA8" w:rsidRPr="00F73532" w14:paraId="21A8DB31" w14:textId="77777777" w:rsidTr="00500025">
        <w:trPr>
          <w:cantSplit/>
          <w:trHeight w:val="23"/>
        </w:trPr>
        <w:tc>
          <w:tcPr>
            <w:tcW w:w="983" w:type="dxa"/>
          </w:tcPr>
          <w:p w14:paraId="3F51B275" w14:textId="65EDA5E3" w:rsidR="00892CA8" w:rsidRPr="00F509D0" w:rsidRDefault="00892CA8" w:rsidP="00892CA8">
            <w:pPr>
              <w:jc w:val="center"/>
            </w:pPr>
            <w:r w:rsidRPr="00F509D0">
              <w:t>[1.22]</w:t>
            </w:r>
          </w:p>
        </w:tc>
        <w:tc>
          <w:tcPr>
            <w:tcW w:w="7371" w:type="dxa"/>
          </w:tcPr>
          <w:p w14:paraId="3C3810FD" w14:textId="6901F36B" w:rsidR="00892CA8" w:rsidRPr="00A87B50" w:rsidRDefault="00892CA8" w:rsidP="00892CA8">
            <w:pPr>
              <w:rPr>
                <w:b/>
                <w:bCs/>
              </w:rPr>
            </w:pPr>
            <w:r w:rsidRPr="00A87B50">
              <w:rPr>
                <w:b/>
                <w:bCs/>
              </w:rPr>
              <w:t>Agree with ONR</w:t>
            </w:r>
            <w:r w:rsidRPr="00F509D0">
              <w:t xml:space="preserve"> the scope and contents of the Design Reference (DR) and any required arrangements for handling it, including routine updates, and the intent for the Design Reference Point (DRP)</w:t>
            </w:r>
          </w:p>
        </w:tc>
        <w:tc>
          <w:tcPr>
            <w:tcW w:w="1417" w:type="dxa"/>
          </w:tcPr>
          <w:p w14:paraId="0AE436AD" w14:textId="77777777" w:rsidR="00892CA8" w:rsidRPr="00F509D0" w:rsidRDefault="00892CA8" w:rsidP="00892CA8">
            <w:pPr>
              <w:jc w:val="center"/>
            </w:pPr>
            <w:r w:rsidRPr="00F509D0">
              <w:t>4.1.5</w:t>
            </w:r>
          </w:p>
          <w:p w14:paraId="4DF0959F" w14:textId="7012466A" w:rsidR="00892CA8" w:rsidRPr="00F509D0" w:rsidRDefault="00892CA8" w:rsidP="00892CA8">
            <w:pPr>
              <w:jc w:val="center"/>
            </w:pPr>
            <w:r w:rsidRPr="00F509D0">
              <w:t>4.1.6</w:t>
            </w:r>
          </w:p>
        </w:tc>
      </w:tr>
      <w:tr w:rsidR="00892CA8" w:rsidRPr="00F73532" w14:paraId="51736B05" w14:textId="77777777" w:rsidTr="00500025">
        <w:trPr>
          <w:cantSplit/>
          <w:trHeight w:val="23"/>
        </w:trPr>
        <w:tc>
          <w:tcPr>
            <w:tcW w:w="983" w:type="dxa"/>
          </w:tcPr>
          <w:p w14:paraId="5A94453E" w14:textId="53DD700A" w:rsidR="00892CA8" w:rsidRPr="00F509D0" w:rsidRDefault="00892CA8" w:rsidP="00892CA8">
            <w:pPr>
              <w:jc w:val="center"/>
            </w:pPr>
            <w:r w:rsidRPr="00F509D0">
              <w:t>[1.23]</w:t>
            </w:r>
          </w:p>
        </w:tc>
        <w:tc>
          <w:tcPr>
            <w:tcW w:w="7371" w:type="dxa"/>
          </w:tcPr>
          <w:p w14:paraId="053135F7" w14:textId="71200593" w:rsidR="00892CA8" w:rsidRPr="00A87B50" w:rsidRDefault="00892CA8" w:rsidP="00892CA8">
            <w:pPr>
              <w:rPr>
                <w:b/>
                <w:bCs/>
              </w:rPr>
            </w:pPr>
            <w:r w:rsidRPr="00A87B50">
              <w:rPr>
                <w:b/>
                <w:bCs/>
              </w:rPr>
              <w:t>Put arrangements in place</w:t>
            </w:r>
            <w:r w:rsidRPr="00F509D0">
              <w:t xml:space="preserve"> for capturing commitments, assumptions and requirements identified in the generic safety and security cases</w:t>
            </w:r>
          </w:p>
        </w:tc>
        <w:tc>
          <w:tcPr>
            <w:tcW w:w="1417" w:type="dxa"/>
          </w:tcPr>
          <w:p w14:paraId="4BF0016C" w14:textId="7482BF5A" w:rsidR="00892CA8" w:rsidRPr="00F509D0" w:rsidRDefault="00892CA8" w:rsidP="00892CA8">
            <w:pPr>
              <w:jc w:val="center"/>
            </w:pPr>
            <w:r w:rsidRPr="00F509D0">
              <w:t>4.1.7</w:t>
            </w:r>
          </w:p>
        </w:tc>
      </w:tr>
      <w:tr w:rsidR="00892CA8" w:rsidRPr="00F73532" w14:paraId="58F0E740" w14:textId="77777777" w:rsidTr="00500025">
        <w:trPr>
          <w:cantSplit/>
          <w:trHeight w:val="23"/>
        </w:trPr>
        <w:tc>
          <w:tcPr>
            <w:tcW w:w="983" w:type="dxa"/>
          </w:tcPr>
          <w:p w14:paraId="08510930" w14:textId="2CE45E30" w:rsidR="00892CA8" w:rsidRPr="00F509D0" w:rsidRDefault="00892CA8" w:rsidP="00892CA8">
            <w:pPr>
              <w:jc w:val="center"/>
            </w:pPr>
            <w:r w:rsidRPr="00F509D0">
              <w:lastRenderedPageBreak/>
              <w:t>[1.24]</w:t>
            </w:r>
          </w:p>
        </w:tc>
        <w:tc>
          <w:tcPr>
            <w:tcW w:w="7371" w:type="dxa"/>
          </w:tcPr>
          <w:p w14:paraId="27DA3BF9" w14:textId="4FFE2C68" w:rsidR="00892CA8" w:rsidRPr="00A87B50" w:rsidRDefault="00892CA8" w:rsidP="00892CA8">
            <w:pPr>
              <w:rPr>
                <w:b/>
                <w:bCs/>
              </w:rPr>
            </w:pPr>
            <w:r w:rsidRPr="00A87B50">
              <w:rPr>
                <w:b/>
                <w:bCs/>
              </w:rPr>
              <w:t>Submit to ONR</w:t>
            </w:r>
            <w:r w:rsidRPr="00F509D0">
              <w:t xml:space="preserve"> responses to any questions raised by ONR during its assessment (RQs, ROs and RIs)</w:t>
            </w:r>
          </w:p>
        </w:tc>
        <w:tc>
          <w:tcPr>
            <w:tcW w:w="1417" w:type="dxa"/>
          </w:tcPr>
          <w:p w14:paraId="7A3B8882" w14:textId="64FA6ADE" w:rsidR="00892CA8" w:rsidRPr="00F509D0" w:rsidRDefault="00892CA8" w:rsidP="00892CA8">
            <w:pPr>
              <w:jc w:val="center"/>
            </w:pPr>
            <w:r w:rsidRPr="00F509D0">
              <w:t>4.1.4</w:t>
            </w:r>
          </w:p>
        </w:tc>
      </w:tr>
      <w:tr w:rsidR="00892CA8" w:rsidRPr="00F73532" w14:paraId="24C1FC5F" w14:textId="77777777" w:rsidTr="00500025">
        <w:trPr>
          <w:cantSplit/>
          <w:trHeight w:val="23"/>
        </w:trPr>
        <w:tc>
          <w:tcPr>
            <w:tcW w:w="983" w:type="dxa"/>
          </w:tcPr>
          <w:p w14:paraId="3B2D9AB0" w14:textId="40FB84C1" w:rsidR="00892CA8" w:rsidRPr="00F509D0" w:rsidRDefault="00892CA8" w:rsidP="00892CA8">
            <w:pPr>
              <w:jc w:val="center"/>
            </w:pPr>
            <w:r w:rsidRPr="00F509D0">
              <w:t>[1.25]</w:t>
            </w:r>
          </w:p>
        </w:tc>
        <w:tc>
          <w:tcPr>
            <w:tcW w:w="7371" w:type="dxa"/>
          </w:tcPr>
          <w:p w14:paraId="5F94282E" w14:textId="0C20BB74" w:rsidR="00892CA8" w:rsidRPr="00A87B50" w:rsidRDefault="00892CA8" w:rsidP="00892CA8">
            <w:pPr>
              <w:rPr>
                <w:b/>
                <w:bCs/>
              </w:rPr>
            </w:pPr>
            <w:r w:rsidRPr="00A87B50">
              <w:rPr>
                <w:b/>
                <w:bCs/>
              </w:rPr>
              <w:t>Obtain</w:t>
            </w:r>
            <w:r w:rsidRPr="00F509D0">
              <w:t xml:space="preserve"> sufficient resources to support completion of GDA. This should include technical, regulatory, front office, </w:t>
            </w:r>
            <w:proofErr w:type="gramStart"/>
            <w:r w:rsidRPr="00F509D0">
              <w:t>interface</w:t>
            </w:r>
            <w:proofErr w:type="gramEnd"/>
            <w:r w:rsidRPr="00F509D0">
              <w:t xml:space="preserve"> and management resources, as necessary, and may include third-party support. The RP should submit to ONR information regarding its intentions for evolution of its GDA resources and a demonstration of the on-going sufficiency of resources to be applied through the </w:t>
            </w:r>
            <w:r>
              <w:t>step</w:t>
            </w:r>
          </w:p>
        </w:tc>
        <w:tc>
          <w:tcPr>
            <w:tcW w:w="1417" w:type="dxa"/>
          </w:tcPr>
          <w:p w14:paraId="51D6492C" w14:textId="6281903B" w:rsidR="00892CA8" w:rsidRPr="00F509D0" w:rsidRDefault="00892CA8" w:rsidP="00892CA8">
            <w:pPr>
              <w:jc w:val="center"/>
            </w:pPr>
            <w:r w:rsidRPr="00F509D0">
              <w:t>4.</w:t>
            </w:r>
            <w:r w:rsidR="0098717C">
              <w:t>6</w:t>
            </w:r>
            <w:r w:rsidRPr="00F509D0">
              <w:t>.1</w:t>
            </w:r>
          </w:p>
        </w:tc>
      </w:tr>
      <w:tr w:rsidR="00892CA8" w:rsidRPr="00F73532" w14:paraId="449B8AD6" w14:textId="77777777" w:rsidTr="00500025">
        <w:trPr>
          <w:cantSplit/>
          <w:trHeight w:val="23"/>
        </w:trPr>
        <w:tc>
          <w:tcPr>
            <w:tcW w:w="983" w:type="dxa"/>
          </w:tcPr>
          <w:p w14:paraId="200C8607" w14:textId="1E29FA54" w:rsidR="00892CA8" w:rsidRPr="00F509D0" w:rsidRDefault="00892CA8" w:rsidP="00892CA8">
            <w:pPr>
              <w:jc w:val="center"/>
            </w:pPr>
            <w:r w:rsidRPr="00F509D0">
              <w:t>[1.26]</w:t>
            </w:r>
          </w:p>
        </w:tc>
        <w:tc>
          <w:tcPr>
            <w:tcW w:w="7371" w:type="dxa"/>
          </w:tcPr>
          <w:p w14:paraId="1B7E742A" w14:textId="4B75200A" w:rsidR="00892CA8" w:rsidRPr="00A87B50" w:rsidRDefault="00892CA8" w:rsidP="00892CA8">
            <w:pPr>
              <w:rPr>
                <w:b/>
                <w:bCs/>
              </w:rPr>
            </w:pPr>
            <w:r w:rsidRPr="00A87B50">
              <w:rPr>
                <w:b/>
                <w:bCs/>
              </w:rPr>
              <w:t>Put arrangements in place</w:t>
            </w:r>
            <w:r w:rsidRPr="00F509D0">
              <w:t xml:space="preserve"> to facilitate meetings between ONR and relevant RP’s personnel to share information and discuss technical matters</w:t>
            </w:r>
          </w:p>
        </w:tc>
        <w:tc>
          <w:tcPr>
            <w:tcW w:w="1417" w:type="dxa"/>
          </w:tcPr>
          <w:p w14:paraId="5A0E832E" w14:textId="77777777" w:rsidR="00892CA8" w:rsidRDefault="00892CA8" w:rsidP="00892CA8">
            <w:pPr>
              <w:jc w:val="center"/>
            </w:pPr>
            <w:r w:rsidRPr="00F509D0">
              <w:t>3.2</w:t>
            </w:r>
          </w:p>
          <w:p w14:paraId="5D3B3CE2" w14:textId="77BFF889" w:rsidR="00A01B50" w:rsidRPr="00F509D0" w:rsidRDefault="00A01B50" w:rsidP="00892CA8">
            <w:pPr>
              <w:jc w:val="center"/>
            </w:pPr>
            <w:r>
              <w:t>4.1.2</w:t>
            </w:r>
          </w:p>
        </w:tc>
      </w:tr>
      <w:tr w:rsidR="00892CA8" w:rsidRPr="00F73532" w14:paraId="56827873" w14:textId="77777777" w:rsidTr="00500025">
        <w:trPr>
          <w:cantSplit/>
          <w:trHeight w:val="23"/>
        </w:trPr>
        <w:tc>
          <w:tcPr>
            <w:tcW w:w="983" w:type="dxa"/>
          </w:tcPr>
          <w:p w14:paraId="038B842E" w14:textId="6653C8BD" w:rsidR="00892CA8" w:rsidRPr="00F509D0" w:rsidRDefault="00892CA8" w:rsidP="00892CA8">
            <w:pPr>
              <w:jc w:val="center"/>
            </w:pPr>
            <w:r w:rsidRPr="00F509D0">
              <w:t>[1.27]</w:t>
            </w:r>
          </w:p>
        </w:tc>
        <w:tc>
          <w:tcPr>
            <w:tcW w:w="7371" w:type="dxa"/>
          </w:tcPr>
          <w:p w14:paraId="3748E941" w14:textId="77777777" w:rsidR="00892CA8" w:rsidRPr="00F509D0" w:rsidRDefault="00892CA8" w:rsidP="00892CA8">
            <w:r w:rsidRPr="00A87B50">
              <w:rPr>
                <w:b/>
                <w:bCs/>
              </w:rPr>
              <w:t>Submit to ONR</w:t>
            </w:r>
            <w:r w:rsidRPr="00F509D0">
              <w:t xml:space="preserve"> a demonstration of the adequacy of the RP’s arrangements, including: </w:t>
            </w:r>
          </w:p>
          <w:p w14:paraId="0329405A" w14:textId="77777777" w:rsidR="00892CA8" w:rsidRPr="00892CA8" w:rsidRDefault="00892CA8">
            <w:pPr>
              <w:pStyle w:val="ListParagraph"/>
              <w:numPr>
                <w:ilvl w:val="0"/>
                <w:numId w:val="10"/>
              </w:numPr>
              <w:spacing w:after="0" w:line="240" w:lineRule="auto"/>
            </w:pPr>
            <w:r w:rsidRPr="00892CA8">
              <w:t xml:space="preserve">project management arrangements and quality management system </w:t>
            </w:r>
          </w:p>
          <w:p w14:paraId="60967916" w14:textId="77777777" w:rsidR="00892CA8" w:rsidRPr="00892CA8" w:rsidRDefault="00892CA8">
            <w:pPr>
              <w:pStyle w:val="ListParagraph"/>
              <w:numPr>
                <w:ilvl w:val="0"/>
                <w:numId w:val="10"/>
              </w:numPr>
              <w:spacing w:after="0" w:line="240" w:lineRule="auto"/>
            </w:pPr>
            <w:r w:rsidRPr="00892CA8">
              <w:t xml:space="preserve">the DR change control process to be applied during GDA, including the RP’s </w:t>
            </w:r>
            <w:proofErr w:type="gramStart"/>
            <w:r w:rsidRPr="00892CA8">
              <w:t>decision making</w:t>
            </w:r>
            <w:proofErr w:type="gramEnd"/>
            <w:r w:rsidRPr="00892CA8">
              <w:t xml:space="preserve"> arrangements for safety and security related matters </w:t>
            </w:r>
          </w:p>
          <w:p w14:paraId="07B02A46" w14:textId="77777777" w:rsidR="00892CA8" w:rsidRPr="00892CA8" w:rsidRDefault="00892CA8">
            <w:pPr>
              <w:pStyle w:val="ListParagraph"/>
              <w:numPr>
                <w:ilvl w:val="0"/>
                <w:numId w:val="10"/>
              </w:numPr>
              <w:spacing w:after="0" w:line="240" w:lineRule="auto"/>
            </w:pPr>
            <w:r w:rsidRPr="00892CA8">
              <w:t xml:space="preserve">arrangements and timescales for responding to ONR assessment </w:t>
            </w:r>
          </w:p>
          <w:p w14:paraId="290920F8" w14:textId="77777777" w:rsidR="00892CA8" w:rsidRDefault="00892CA8">
            <w:pPr>
              <w:pStyle w:val="ListParagraph"/>
              <w:numPr>
                <w:ilvl w:val="0"/>
                <w:numId w:val="10"/>
              </w:numPr>
              <w:spacing w:after="0" w:line="240" w:lineRule="auto"/>
            </w:pPr>
            <w:r w:rsidRPr="00892CA8">
              <w:t>arrangements for ensuring that the designers, and generic safety and security case authors and approvers are suitably qualified and experienced persons</w:t>
            </w:r>
          </w:p>
          <w:p w14:paraId="1A5A8C44" w14:textId="31ABDB4F" w:rsidR="00892CA8" w:rsidRPr="00892CA8" w:rsidRDefault="00892CA8">
            <w:pPr>
              <w:pStyle w:val="ListParagraph"/>
              <w:numPr>
                <w:ilvl w:val="0"/>
                <w:numId w:val="10"/>
              </w:numPr>
              <w:spacing w:after="0" w:line="240" w:lineRule="auto"/>
            </w:pPr>
            <w:r w:rsidRPr="00892CA8">
              <w:t>the generic safety and security case developer's quality control, including peer review arrangements</w:t>
            </w:r>
          </w:p>
        </w:tc>
        <w:tc>
          <w:tcPr>
            <w:tcW w:w="1417" w:type="dxa"/>
          </w:tcPr>
          <w:p w14:paraId="10FCAFF8" w14:textId="77777777" w:rsidR="00892CA8" w:rsidRPr="00F509D0" w:rsidRDefault="00892CA8" w:rsidP="00892CA8">
            <w:pPr>
              <w:jc w:val="center"/>
            </w:pPr>
            <w:r w:rsidRPr="00F509D0">
              <w:t>4.1</w:t>
            </w:r>
          </w:p>
          <w:p w14:paraId="1EC3BEFB" w14:textId="48F765DB" w:rsidR="00892CA8" w:rsidRPr="00F509D0" w:rsidRDefault="00892CA8" w:rsidP="00892CA8">
            <w:pPr>
              <w:jc w:val="center"/>
            </w:pPr>
            <w:r w:rsidRPr="00F509D0">
              <w:t>4.4.9</w:t>
            </w:r>
          </w:p>
        </w:tc>
      </w:tr>
      <w:tr w:rsidR="00892CA8" w:rsidRPr="00F73532" w14:paraId="6F37DF60" w14:textId="77777777" w:rsidTr="00500025">
        <w:trPr>
          <w:cantSplit/>
          <w:trHeight w:val="23"/>
        </w:trPr>
        <w:tc>
          <w:tcPr>
            <w:tcW w:w="983" w:type="dxa"/>
          </w:tcPr>
          <w:p w14:paraId="1809A621" w14:textId="4D816328" w:rsidR="00892CA8" w:rsidRPr="00F509D0" w:rsidRDefault="00892CA8" w:rsidP="00892CA8">
            <w:pPr>
              <w:jc w:val="center"/>
            </w:pPr>
            <w:r w:rsidRPr="00F509D0">
              <w:t>[1.28]</w:t>
            </w:r>
          </w:p>
        </w:tc>
        <w:tc>
          <w:tcPr>
            <w:tcW w:w="7371" w:type="dxa"/>
          </w:tcPr>
          <w:p w14:paraId="77C5C3FA" w14:textId="77777777" w:rsidR="00892CA8" w:rsidRPr="00F509D0" w:rsidRDefault="00892CA8" w:rsidP="00892CA8">
            <w:r w:rsidRPr="00A87B50">
              <w:rPr>
                <w:b/>
                <w:bCs/>
              </w:rPr>
              <w:t>Put arrangements in place</w:t>
            </w:r>
            <w:r w:rsidRPr="00F509D0">
              <w:t xml:space="preserve"> to facilitate a public comment process which should run for the duration of GDA. This should include:</w:t>
            </w:r>
          </w:p>
          <w:p w14:paraId="78FC54D7" w14:textId="77777777" w:rsidR="00892CA8" w:rsidRPr="00892CA8" w:rsidRDefault="00892CA8">
            <w:pPr>
              <w:pStyle w:val="ListParagraph"/>
              <w:numPr>
                <w:ilvl w:val="0"/>
                <w:numId w:val="11"/>
              </w:numPr>
              <w:spacing w:after="0" w:line="240" w:lineRule="auto"/>
            </w:pPr>
            <w:r w:rsidRPr="00892CA8">
              <w:t>Host a public website containing information on the proposed design and generic safety and security cases, and including the means to submit comments</w:t>
            </w:r>
          </w:p>
          <w:p w14:paraId="7CE2D0F9" w14:textId="77777777" w:rsidR="00892CA8" w:rsidRDefault="00892CA8">
            <w:pPr>
              <w:pStyle w:val="ListParagraph"/>
              <w:numPr>
                <w:ilvl w:val="0"/>
                <w:numId w:val="11"/>
              </w:numPr>
              <w:spacing w:after="0" w:line="240" w:lineRule="auto"/>
            </w:pPr>
            <w:r w:rsidRPr="00892CA8">
              <w:rPr>
                <w:b/>
                <w:bCs/>
              </w:rPr>
              <w:t>Agree with ONR</w:t>
            </w:r>
            <w:r w:rsidRPr="00892CA8">
              <w:t xml:space="preserve"> what information will be published on the RP’s website (following removal of commercial and security related information) to allow comments to be made by the public during GDA, including updates when a significant change is made to the information submitted to ONR</w:t>
            </w:r>
          </w:p>
          <w:p w14:paraId="4537048C" w14:textId="56119DE2" w:rsidR="00892CA8" w:rsidRPr="00892CA8" w:rsidRDefault="00892CA8">
            <w:pPr>
              <w:pStyle w:val="ListParagraph"/>
              <w:numPr>
                <w:ilvl w:val="0"/>
                <w:numId w:val="11"/>
              </w:numPr>
              <w:spacing w:after="0" w:line="240" w:lineRule="auto"/>
            </w:pPr>
            <w:r w:rsidRPr="00892CA8">
              <w:rPr>
                <w:b/>
                <w:bCs/>
              </w:rPr>
              <w:t>Agree with ONR</w:t>
            </w:r>
            <w:r w:rsidRPr="00892CA8">
              <w:t xml:space="preserve"> the process and timescales to be adopted for responding to public comments</w:t>
            </w:r>
          </w:p>
        </w:tc>
        <w:tc>
          <w:tcPr>
            <w:tcW w:w="1417" w:type="dxa"/>
          </w:tcPr>
          <w:p w14:paraId="6AB6506A" w14:textId="1F870219" w:rsidR="00892CA8" w:rsidRPr="00F509D0" w:rsidRDefault="00892CA8" w:rsidP="00892CA8">
            <w:pPr>
              <w:jc w:val="center"/>
            </w:pPr>
            <w:r w:rsidRPr="00F509D0">
              <w:t>4.</w:t>
            </w:r>
            <w:r w:rsidR="0098717C">
              <w:t>6</w:t>
            </w:r>
            <w:r w:rsidRPr="00F509D0">
              <w:t>.1</w:t>
            </w:r>
          </w:p>
        </w:tc>
      </w:tr>
      <w:tr w:rsidR="00892CA8" w:rsidRPr="00F73532" w14:paraId="00F68F1A" w14:textId="77777777" w:rsidTr="00500025">
        <w:trPr>
          <w:cantSplit/>
          <w:trHeight w:val="23"/>
        </w:trPr>
        <w:tc>
          <w:tcPr>
            <w:tcW w:w="983" w:type="dxa"/>
          </w:tcPr>
          <w:p w14:paraId="7D5CD75D" w14:textId="0DDC91D8" w:rsidR="00892CA8" w:rsidRPr="00F509D0" w:rsidRDefault="00892CA8" w:rsidP="00892CA8">
            <w:pPr>
              <w:jc w:val="center"/>
            </w:pPr>
            <w:r w:rsidRPr="00F509D0">
              <w:lastRenderedPageBreak/>
              <w:t>[1.29]</w:t>
            </w:r>
          </w:p>
        </w:tc>
        <w:tc>
          <w:tcPr>
            <w:tcW w:w="7371" w:type="dxa"/>
          </w:tcPr>
          <w:p w14:paraId="6DBEF614" w14:textId="61D3C430" w:rsidR="00892CA8" w:rsidRPr="00A87B50" w:rsidRDefault="00892CA8" w:rsidP="00892CA8">
            <w:pPr>
              <w:rPr>
                <w:b/>
                <w:bCs/>
              </w:rPr>
            </w:pPr>
            <w:r w:rsidRPr="00A87B50">
              <w:rPr>
                <w:b/>
                <w:bCs/>
              </w:rPr>
              <w:t>Agree with ONR</w:t>
            </w:r>
            <w:r w:rsidRPr="00F509D0">
              <w:t xml:space="preserve"> any extended or revised cost recovery agreements. This should cover the remainder of all subsequent </w:t>
            </w:r>
            <w:r>
              <w:t>step</w:t>
            </w:r>
            <w:r w:rsidRPr="00F509D0">
              <w:t>s</w:t>
            </w:r>
          </w:p>
        </w:tc>
        <w:tc>
          <w:tcPr>
            <w:tcW w:w="1417" w:type="dxa"/>
          </w:tcPr>
          <w:p w14:paraId="51F361AA" w14:textId="19684AAE" w:rsidR="00892CA8" w:rsidRPr="00F509D0" w:rsidRDefault="00892CA8" w:rsidP="00892CA8">
            <w:pPr>
              <w:jc w:val="center"/>
            </w:pPr>
            <w:r w:rsidRPr="00F509D0">
              <w:t>4.</w:t>
            </w:r>
            <w:r w:rsidR="0098717C">
              <w:t>6</w:t>
            </w:r>
            <w:r w:rsidRPr="00F509D0">
              <w:t>.1</w:t>
            </w:r>
          </w:p>
        </w:tc>
      </w:tr>
      <w:tr w:rsidR="00892CA8" w:rsidRPr="00F73532" w14:paraId="7B36B015" w14:textId="77777777" w:rsidTr="00500025">
        <w:trPr>
          <w:cantSplit/>
          <w:trHeight w:val="23"/>
        </w:trPr>
        <w:tc>
          <w:tcPr>
            <w:tcW w:w="983" w:type="dxa"/>
          </w:tcPr>
          <w:p w14:paraId="2CDAB989" w14:textId="7C0E1D9F" w:rsidR="00892CA8" w:rsidRPr="00F509D0" w:rsidRDefault="00892CA8" w:rsidP="00892CA8">
            <w:pPr>
              <w:jc w:val="center"/>
            </w:pPr>
            <w:r w:rsidRPr="00F509D0">
              <w:t>[1.30]</w:t>
            </w:r>
          </w:p>
        </w:tc>
        <w:tc>
          <w:tcPr>
            <w:tcW w:w="7371" w:type="dxa"/>
          </w:tcPr>
          <w:p w14:paraId="5E0C8B25" w14:textId="5105C7A2" w:rsidR="00892CA8" w:rsidRPr="00A87B50" w:rsidRDefault="00892CA8" w:rsidP="00892CA8">
            <w:pPr>
              <w:rPr>
                <w:b/>
                <w:bCs/>
              </w:rPr>
            </w:pPr>
            <w:r w:rsidRPr="00A87B50">
              <w:rPr>
                <w:b/>
                <w:bCs/>
              </w:rPr>
              <w:t>Undertake</w:t>
            </w:r>
            <w:r w:rsidRPr="00F509D0">
              <w:t xml:space="preserve"> a review of its readiness to begin </w:t>
            </w:r>
            <w:r w:rsidR="006C3244">
              <w:t>Step</w:t>
            </w:r>
            <w:r w:rsidRPr="00F509D0">
              <w:t xml:space="preserve"> 2 and </w:t>
            </w:r>
            <w:r w:rsidRPr="00A87B50">
              <w:rPr>
                <w:b/>
                <w:bCs/>
              </w:rPr>
              <w:t>submit to ONR</w:t>
            </w:r>
            <w:r w:rsidRPr="00F509D0">
              <w:t xml:space="preserve"> evidence to support the outcomes</w:t>
            </w:r>
          </w:p>
        </w:tc>
        <w:tc>
          <w:tcPr>
            <w:tcW w:w="1417" w:type="dxa"/>
          </w:tcPr>
          <w:p w14:paraId="2242E422" w14:textId="65C86432" w:rsidR="00892CA8" w:rsidRPr="00F509D0" w:rsidRDefault="00892CA8" w:rsidP="00892CA8">
            <w:pPr>
              <w:jc w:val="center"/>
            </w:pPr>
            <w:r w:rsidRPr="00F509D0">
              <w:t>4.</w:t>
            </w:r>
            <w:r w:rsidR="0098717C">
              <w:t>6</w:t>
            </w:r>
            <w:r w:rsidRPr="00F509D0">
              <w:t>.1</w:t>
            </w:r>
          </w:p>
        </w:tc>
      </w:tr>
    </w:tbl>
    <w:p w14:paraId="3A8A4B9E" w14:textId="77777777" w:rsidR="00251843" w:rsidRDefault="00251843" w:rsidP="00500025">
      <w:pPr>
        <w:pStyle w:val="NumList1"/>
        <w:numPr>
          <w:ilvl w:val="0"/>
          <w:numId w:val="0"/>
        </w:numPr>
      </w:pPr>
    </w:p>
    <w:sectPr w:rsidR="00251843"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B5E59" w14:textId="77777777" w:rsidR="00EC6494" w:rsidRDefault="00EC6494" w:rsidP="007D199A">
      <w:pPr>
        <w:spacing w:after="0"/>
      </w:pPr>
      <w:r>
        <w:separator/>
      </w:r>
    </w:p>
    <w:p w14:paraId="5DAF6A40" w14:textId="77777777" w:rsidR="00EC6494" w:rsidRDefault="00EC6494"/>
  </w:endnote>
  <w:endnote w:type="continuationSeparator" w:id="0">
    <w:p w14:paraId="6FA88C1E" w14:textId="77777777" w:rsidR="00EC6494" w:rsidRDefault="00EC6494" w:rsidP="007D199A">
      <w:pPr>
        <w:spacing w:after="0"/>
      </w:pPr>
      <w:r>
        <w:continuationSeparator/>
      </w:r>
    </w:p>
    <w:p w14:paraId="301440CD" w14:textId="77777777" w:rsidR="00EC6494" w:rsidRDefault="00EC6494"/>
  </w:endnote>
  <w:endnote w:type="continuationNotice" w:id="1">
    <w:p w14:paraId="64ED16AA" w14:textId="77777777" w:rsidR="00EC6494" w:rsidRDefault="00EC64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84AF" w14:textId="77777777" w:rsidR="00925DD5" w:rsidRDefault="00925D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FF6A928" w:rsidR="007C3C1D" w:rsidRPr="006A525B" w:rsidRDefault="006A525B" w:rsidP="007C3C1D">
    <w:pPr>
      <w:pStyle w:val="Footer"/>
      <w:jc w:val="left"/>
      <w:rPr>
        <w:szCs w:val="24"/>
      </w:rPr>
    </w:pPr>
    <w:r w:rsidRPr="006A525B">
      <w:rPr>
        <w:szCs w:val="24"/>
      </w:rPr>
      <w:t>ONR-DOC-TEMP-</w:t>
    </w:r>
    <w:r w:rsidR="00410423">
      <w:rPr>
        <w:szCs w:val="24"/>
      </w:rPr>
      <w:t>0</w:t>
    </w:r>
    <w:r w:rsidR="00D5528D">
      <w:rPr>
        <w:szCs w:val="24"/>
      </w:rPr>
      <w:t>05</w:t>
    </w:r>
    <w:r w:rsidRPr="006A525B">
      <w:rPr>
        <w:szCs w:val="24"/>
      </w:rPr>
      <w:t xml:space="preserve"> (Issue </w:t>
    </w:r>
    <w:r w:rsidR="00410423">
      <w:rPr>
        <w:szCs w:val="24"/>
      </w:rPr>
      <w:t>16</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EB1A" w14:textId="77777777" w:rsidR="00925DD5" w:rsidRDefault="00925D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5C4615A9" w:rsidR="004D16D7" w:rsidRPr="00C55588" w:rsidRDefault="004D16D7" w:rsidP="004D16D7">
    <w:pPr>
      <w:pStyle w:val="Footer"/>
      <w:rPr>
        <w:color w:val="auto"/>
      </w:rPr>
    </w:pPr>
    <w:r w:rsidRPr="00C55588">
      <w:rPr>
        <w:color w:val="auto"/>
        <w:spacing w:val="60"/>
      </w:rPr>
      <w:t>Page</w:t>
    </w:r>
    <w:r w:rsidR="00C55588">
      <w:rPr>
        <w:color w:val="auto"/>
        <w:spacing w:val="60"/>
      </w:rPr>
      <w:t xml:space="preserve"> </w:t>
    </w:r>
    <w:r w:rsidRPr="00C55588">
      <w:rPr>
        <w:color w:val="auto"/>
      </w:rPr>
      <w:fldChar w:fldCharType="begin"/>
    </w:r>
    <w:r w:rsidRPr="00C55588">
      <w:rPr>
        <w:color w:val="auto"/>
      </w:rPr>
      <w:instrText xml:space="preserve"> PAGE   \* MERGEFORMAT </w:instrText>
    </w:r>
    <w:r w:rsidRPr="00C55588">
      <w:rPr>
        <w:color w:val="auto"/>
      </w:rPr>
      <w:fldChar w:fldCharType="separate"/>
    </w:r>
    <w:r w:rsidRPr="00C55588">
      <w:rPr>
        <w:noProof/>
        <w:color w:val="auto"/>
      </w:rPr>
      <w:t>1</w:t>
    </w:r>
    <w:r w:rsidRPr="00C55588">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69D31" w14:textId="77777777" w:rsidR="00EC6494" w:rsidRPr="005E0344" w:rsidRDefault="00EC6494" w:rsidP="005E0344">
      <w:pPr>
        <w:spacing w:after="120"/>
        <w:rPr>
          <w:color w:val="000000" w:themeColor="text2"/>
        </w:rPr>
      </w:pPr>
      <w:r w:rsidRPr="005E0344">
        <w:rPr>
          <w:color w:val="000000" w:themeColor="text2"/>
        </w:rPr>
        <w:separator/>
      </w:r>
    </w:p>
  </w:footnote>
  <w:footnote w:type="continuationSeparator" w:id="0">
    <w:p w14:paraId="3232B688" w14:textId="77777777" w:rsidR="00EC6494" w:rsidRPr="005E0344" w:rsidRDefault="00EC6494" w:rsidP="0090581D">
      <w:pPr>
        <w:spacing w:after="120"/>
        <w:rPr>
          <w:color w:val="000000" w:themeColor="text2"/>
        </w:rPr>
      </w:pPr>
      <w:r w:rsidRPr="005E0344">
        <w:rPr>
          <w:color w:val="000000" w:themeColor="text2"/>
        </w:rPr>
        <w:continuationSeparator/>
      </w:r>
    </w:p>
    <w:p w14:paraId="5E9151FA" w14:textId="77777777" w:rsidR="00EC6494" w:rsidRDefault="00EC6494"/>
  </w:footnote>
  <w:footnote w:type="continuationNotice" w:id="1">
    <w:p w14:paraId="6D2A02F1" w14:textId="77777777" w:rsidR="00EC6494" w:rsidRDefault="00EC6494">
      <w:pPr>
        <w:spacing w:after="0"/>
      </w:pPr>
    </w:p>
    <w:p w14:paraId="7FBFCE29" w14:textId="77777777" w:rsidR="00EC6494" w:rsidRDefault="00EC64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E402" w14:textId="77777777" w:rsidR="00925DD5" w:rsidRDefault="00925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280A3522"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EE5D" w14:textId="77777777" w:rsidR="00925DD5" w:rsidRDefault="00925D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1A14E53D"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D70A9AD" w:rsidR="00177666" w:rsidRPr="00C55588" w:rsidRDefault="00C55588" w:rsidP="00C55588">
    <w:pPr>
      <w:pStyle w:val="Header"/>
    </w:pPr>
    <w:r w:rsidRPr="00C55588">
      <w:rPr>
        <w:sz w:val="20"/>
        <w:szCs w:val="20"/>
      </w:rPr>
      <w:t xml:space="preserve">Generic Design Assessment of the Rolls-Royce SMR – Step 1 </w:t>
    </w:r>
    <w:r>
      <w:rPr>
        <w:sz w:val="20"/>
        <w:szCs w:val="20"/>
      </w:rPr>
      <w:t>s</w:t>
    </w:r>
    <w:r w:rsidRPr="00C55588">
      <w:rPr>
        <w:sz w:val="20"/>
        <w:szCs w:val="20"/>
      </w:rPr>
      <w:t>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141A" w14:textId="2AA5149F" w:rsidR="001A6112" w:rsidRDefault="001A61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C1F6F"/>
    <w:multiLevelType w:val="hybridMultilevel"/>
    <w:tmpl w:val="247E791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852E41"/>
    <w:multiLevelType w:val="hybridMultilevel"/>
    <w:tmpl w:val="3C7CAB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866945"/>
    <w:multiLevelType w:val="hybridMultilevel"/>
    <w:tmpl w:val="21B8E1B4"/>
    <w:lvl w:ilvl="0" w:tplc="9D204E1A">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9FE6A73C" w:tentative="1">
      <w:start w:val="1"/>
      <w:numFmt w:val="bullet"/>
      <w:lvlText w:val="o"/>
      <w:lvlJc w:val="left"/>
      <w:pPr>
        <w:tabs>
          <w:tab w:val="num" w:pos="1440"/>
        </w:tabs>
        <w:ind w:left="1440" w:hanging="360"/>
      </w:pPr>
      <w:rPr>
        <w:rFonts w:ascii="Courier New" w:hAnsi="Courier New" w:cs="Courier New" w:hint="default"/>
      </w:rPr>
    </w:lvl>
    <w:lvl w:ilvl="2" w:tplc="4300AE4C" w:tentative="1">
      <w:start w:val="1"/>
      <w:numFmt w:val="bullet"/>
      <w:lvlText w:val=""/>
      <w:lvlJc w:val="left"/>
      <w:pPr>
        <w:tabs>
          <w:tab w:val="num" w:pos="2160"/>
        </w:tabs>
        <w:ind w:left="2160" w:hanging="360"/>
      </w:pPr>
      <w:rPr>
        <w:rFonts w:ascii="Wingdings" w:hAnsi="Wingdings" w:hint="default"/>
      </w:rPr>
    </w:lvl>
    <w:lvl w:ilvl="3" w:tplc="0480EF52" w:tentative="1">
      <w:start w:val="1"/>
      <w:numFmt w:val="bullet"/>
      <w:lvlText w:val=""/>
      <w:lvlJc w:val="left"/>
      <w:pPr>
        <w:tabs>
          <w:tab w:val="num" w:pos="2880"/>
        </w:tabs>
        <w:ind w:left="2880" w:hanging="360"/>
      </w:pPr>
      <w:rPr>
        <w:rFonts w:ascii="Symbol" w:hAnsi="Symbol" w:hint="default"/>
      </w:rPr>
    </w:lvl>
    <w:lvl w:ilvl="4" w:tplc="B6B85DAE" w:tentative="1">
      <w:start w:val="1"/>
      <w:numFmt w:val="bullet"/>
      <w:lvlText w:val="o"/>
      <w:lvlJc w:val="left"/>
      <w:pPr>
        <w:tabs>
          <w:tab w:val="num" w:pos="3600"/>
        </w:tabs>
        <w:ind w:left="3600" w:hanging="360"/>
      </w:pPr>
      <w:rPr>
        <w:rFonts w:ascii="Courier New" w:hAnsi="Courier New" w:cs="Courier New" w:hint="default"/>
      </w:rPr>
    </w:lvl>
    <w:lvl w:ilvl="5" w:tplc="4CE4192E" w:tentative="1">
      <w:start w:val="1"/>
      <w:numFmt w:val="bullet"/>
      <w:lvlText w:val=""/>
      <w:lvlJc w:val="left"/>
      <w:pPr>
        <w:tabs>
          <w:tab w:val="num" w:pos="4320"/>
        </w:tabs>
        <w:ind w:left="4320" w:hanging="360"/>
      </w:pPr>
      <w:rPr>
        <w:rFonts w:ascii="Wingdings" w:hAnsi="Wingdings" w:hint="default"/>
      </w:rPr>
    </w:lvl>
    <w:lvl w:ilvl="6" w:tplc="70362166" w:tentative="1">
      <w:start w:val="1"/>
      <w:numFmt w:val="bullet"/>
      <w:lvlText w:val=""/>
      <w:lvlJc w:val="left"/>
      <w:pPr>
        <w:tabs>
          <w:tab w:val="num" w:pos="5040"/>
        </w:tabs>
        <w:ind w:left="5040" w:hanging="360"/>
      </w:pPr>
      <w:rPr>
        <w:rFonts w:ascii="Symbol" w:hAnsi="Symbol" w:hint="default"/>
      </w:rPr>
    </w:lvl>
    <w:lvl w:ilvl="7" w:tplc="A6CA2BEC" w:tentative="1">
      <w:start w:val="1"/>
      <w:numFmt w:val="bullet"/>
      <w:lvlText w:val="o"/>
      <w:lvlJc w:val="left"/>
      <w:pPr>
        <w:tabs>
          <w:tab w:val="num" w:pos="5760"/>
        </w:tabs>
        <w:ind w:left="5760" w:hanging="360"/>
      </w:pPr>
      <w:rPr>
        <w:rFonts w:ascii="Courier New" w:hAnsi="Courier New" w:cs="Courier New" w:hint="default"/>
      </w:rPr>
    </w:lvl>
    <w:lvl w:ilvl="8" w:tplc="5A7E246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706A39"/>
    <w:multiLevelType w:val="multilevel"/>
    <w:tmpl w:val="87788274"/>
    <w:lvl w:ilvl="0">
      <w:start w:val="1"/>
      <w:numFmt w:val="decimal"/>
      <w:pStyle w:val="TSNumberedParagraph1"/>
      <w:lvlText w:val="%1."/>
      <w:lvlJc w:val="left"/>
      <w:pPr>
        <w:tabs>
          <w:tab w:val="num" w:pos="-31680"/>
        </w:tabs>
        <w:ind w:left="720" w:hanging="720"/>
      </w:pPr>
      <w:rPr>
        <w:rFonts w:hint="default"/>
        <w:sz w:val="24"/>
        <w:szCs w:val="24"/>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06D14A2"/>
    <w:multiLevelType w:val="multilevel"/>
    <w:tmpl w:val="625AB0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4B166C"/>
    <w:multiLevelType w:val="hybridMultilevel"/>
    <w:tmpl w:val="E24056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pStyle w:val="TSNumberedParagraph1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tentative="1">
      <w:start w:val="1"/>
      <w:numFmt w:val="bullet"/>
      <w:lvlText w:val="o"/>
      <w:lvlJc w:val="left"/>
      <w:pPr>
        <w:tabs>
          <w:tab w:val="num" w:pos="1440"/>
        </w:tabs>
        <w:ind w:left="1440" w:hanging="360"/>
      </w:pPr>
      <w:rPr>
        <w:rFonts w:ascii="Courier New" w:hAnsi="Courier New" w:cs="Courier New" w:hint="default"/>
      </w:rPr>
    </w:lvl>
    <w:lvl w:ilvl="2" w:tplc="F2CC0ECE" w:tentative="1">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3FD4FA4A"/>
    <w:lvl w:ilvl="0" w:tplc="B60A2C0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445340">
    <w:abstractNumId w:val="10"/>
  </w:num>
  <w:num w:numId="2" w16cid:durableId="1441800820">
    <w:abstractNumId w:val="9"/>
  </w:num>
  <w:num w:numId="3" w16cid:durableId="618489910">
    <w:abstractNumId w:val="7"/>
  </w:num>
  <w:num w:numId="4" w16cid:durableId="34670192">
    <w:abstractNumId w:val="5"/>
  </w:num>
  <w:num w:numId="5" w16cid:durableId="1449009726">
    <w:abstractNumId w:val="2"/>
  </w:num>
  <w:num w:numId="6" w16cid:durableId="794296547">
    <w:abstractNumId w:val="4"/>
  </w:num>
  <w:num w:numId="7" w16cid:durableId="666596015">
    <w:abstractNumId w:val="8"/>
  </w:num>
  <w:num w:numId="8" w16cid:durableId="251017078">
    <w:abstractNumId w:val="3"/>
  </w:num>
  <w:num w:numId="9" w16cid:durableId="42410543">
    <w:abstractNumId w:val="1"/>
  </w:num>
  <w:num w:numId="10" w16cid:durableId="1231305111">
    <w:abstractNumId w:val="0"/>
  </w:num>
  <w:num w:numId="11" w16cid:durableId="548613494">
    <w:abstractNumId w:val="6"/>
  </w:num>
  <w:num w:numId="12" w16cid:durableId="801923074">
    <w:abstractNumId w:val="10"/>
  </w:num>
  <w:num w:numId="13" w16cid:durableId="738601866">
    <w:abstractNumId w:val="10"/>
  </w:num>
  <w:num w:numId="14" w16cid:durableId="441534326">
    <w:abstractNumId w:val="10"/>
  </w:num>
  <w:num w:numId="15" w16cid:durableId="1109475365">
    <w:abstractNumId w:val="10"/>
  </w:num>
  <w:num w:numId="16" w16cid:durableId="998965355">
    <w:abstractNumId w:val="10"/>
  </w:num>
  <w:num w:numId="17" w16cid:durableId="869610283">
    <w:abstractNumId w:val="10"/>
  </w:num>
  <w:num w:numId="18" w16cid:durableId="60851438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EDA"/>
    <w:rsid w:val="0001061E"/>
    <w:rsid w:val="00011177"/>
    <w:rsid w:val="00014814"/>
    <w:rsid w:val="0002395E"/>
    <w:rsid w:val="00024522"/>
    <w:rsid w:val="00024B2E"/>
    <w:rsid w:val="00027F4F"/>
    <w:rsid w:val="00030292"/>
    <w:rsid w:val="00030430"/>
    <w:rsid w:val="0003078E"/>
    <w:rsid w:val="00031B89"/>
    <w:rsid w:val="00032DBB"/>
    <w:rsid w:val="0003693D"/>
    <w:rsid w:val="00036A26"/>
    <w:rsid w:val="00037386"/>
    <w:rsid w:val="0004440F"/>
    <w:rsid w:val="00047C2C"/>
    <w:rsid w:val="00052C8A"/>
    <w:rsid w:val="000548C8"/>
    <w:rsid w:val="00056937"/>
    <w:rsid w:val="000635D7"/>
    <w:rsid w:val="00075605"/>
    <w:rsid w:val="00075C66"/>
    <w:rsid w:val="000814C6"/>
    <w:rsid w:val="000817D4"/>
    <w:rsid w:val="00082879"/>
    <w:rsid w:val="00091EEA"/>
    <w:rsid w:val="000A105C"/>
    <w:rsid w:val="000A1294"/>
    <w:rsid w:val="000A3573"/>
    <w:rsid w:val="000C2DDC"/>
    <w:rsid w:val="000C3115"/>
    <w:rsid w:val="000C4906"/>
    <w:rsid w:val="000C6EFE"/>
    <w:rsid w:val="000D2FD4"/>
    <w:rsid w:val="000E45C9"/>
    <w:rsid w:val="000E63FA"/>
    <w:rsid w:val="000F1B7B"/>
    <w:rsid w:val="000F22C5"/>
    <w:rsid w:val="000F293F"/>
    <w:rsid w:val="000F2ED4"/>
    <w:rsid w:val="000F617C"/>
    <w:rsid w:val="001028E8"/>
    <w:rsid w:val="00115434"/>
    <w:rsid w:val="001162DB"/>
    <w:rsid w:val="00120F34"/>
    <w:rsid w:val="00122FCC"/>
    <w:rsid w:val="00124C2B"/>
    <w:rsid w:val="00125749"/>
    <w:rsid w:val="00126752"/>
    <w:rsid w:val="00127A86"/>
    <w:rsid w:val="00130B30"/>
    <w:rsid w:val="00132BC1"/>
    <w:rsid w:val="00132C2F"/>
    <w:rsid w:val="001361E3"/>
    <w:rsid w:val="001371AA"/>
    <w:rsid w:val="00137510"/>
    <w:rsid w:val="00140E1C"/>
    <w:rsid w:val="00141779"/>
    <w:rsid w:val="001469F8"/>
    <w:rsid w:val="00147AE4"/>
    <w:rsid w:val="001558DD"/>
    <w:rsid w:val="001571E5"/>
    <w:rsid w:val="00160651"/>
    <w:rsid w:val="0016110B"/>
    <w:rsid w:val="001628CA"/>
    <w:rsid w:val="0016376F"/>
    <w:rsid w:val="001642F8"/>
    <w:rsid w:val="00166119"/>
    <w:rsid w:val="00171B0E"/>
    <w:rsid w:val="00173205"/>
    <w:rsid w:val="00177666"/>
    <w:rsid w:val="001808C7"/>
    <w:rsid w:val="0018133E"/>
    <w:rsid w:val="00181CE9"/>
    <w:rsid w:val="00183155"/>
    <w:rsid w:val="001849CA"/>
    <w:rsid w:val="00185410"/>
    <w:rsid w:val="00192352"/>
    <w:rsid w:val="001924E1"/>
    <w:rsid w:val="00193E01"/>
    <w:rsid w:val="001A3D6F"/>
    <w:rsid w:val="001A6112"/>
    <w:rsid w:val="001B128A"/>
    <w:rsid w:val="001B3D2A"/>
    <w:rsid w:val="001B4F54"/>
    <w:rsid w:val="001B681A"/>
    <w:rsid w:val="001C00A1"/>
    <w:rsid w:val="001C3B87"/>
    <w:rsid w:val="001C4D63"/>
    <w:rsid w:val="001C7E36"/>
    <w:rsid w:val="001D0DE0"/>
    <w:rsid w:val="001D489D"/>
    <w:rsid w:val="001D4B32"/>
    <w:rsid w:val="001D5AFF"/>
    <w:rsid w:val="001D74B4"/>
    <w:rsid w:val="001E03E1"/>
    <w:rsid w:val="001E2231"/>
    <w:rsid w:val="001F059F"/>
    <w:rsid w:val="001F18F1"/>
    <w:rsid w:val="001F3C16"/>
    <w:rsid w:val="001F4CF8"/>
    <w:rsid w:val="001F5C36"/>
    <w:rsid w:val="001F63F7"/>
    <w:rsid w:val="001F6CA0"/>
    <w:rsid w:val="001F7AB8"/>
    <w:rsid w:val="00200811"/>
    <w:rsid w:val="00200CA1"/>
    <w:rsid w:val="00202152"/>
    <w:rsid w:val="0020446B"/>
    <w:rsid w:val="00211404"/>
    <w:rsid w:val="00212E10"/>
    <w:rsid w:val="0021338D"/>
    <w:rsid w:val="00214D43"/>
    <w:rsid w:val="002163EB"/>
    <w:rsid w:val="00217EA0"/>
    <w:rsid w:val="00221AC1"/>
    <w:rsid w:val="00221B04"/>
    <w:rsid w:val="00223090"/>
    <w:rsid w:val="002238B4"/>
    <w:rsid w:val="002319AB"/>
    <w:rsid w:val="002319AC"/>
    <w:rsid w:val="00234342"/>
    <w:rsid w:val="00237428"/>
    <w:rsid w:val="0024040D"/>
    <w:rsid w:val="00241EDF"/>
    <w:rsid w:val="002440A0"/>
    <w:rsid w:val="00251843"/>
    <w:rsid w:val="00251CD7"/>
    <w:rsid w:val="002544F7"/>
    <w:rsid w:val="00255FA3"/>
    <w:rsid w:val="00257288"/>
    <w:rsid w:val="002613B4"/>
    <w:rsid w:val="00261FB6"/>
    <w:rsid w:val="002629F8"/>
    <w:rsid w:val="00263396"/>
    <w:rsid w:val="002659FA"/>
    <w:rsid w:val="00267815"/>
    <w:rsid w:val="0028077F"/>
    <w:rsid w:val="00280DDF"/>
    <w:rsid w:val="002917FF"/>
    <w:rsid w:val="00292ADF"/>
    <w:rsid w:val="00294058"/>
    <w:rsid w:val="002A0DEC"/>
    <w:rsid w:val="002A1622"/>
    <w:rsid w:val="002B19B3"/>
    <w:rsid w:val="002B1C53"/>
    <w:rsid w:val="002C7222"/>
    <w:rsid w:val="002C7B55"/>
    <w:rsid w:val="002D194C"/>
    <w:rsid w:val="002D75BA"/>
    <w:rsid w:val="002E0BE4"/>
    <w:rsid w:val="002E19C0"/>
    <w:rsid w:val="002E3170"/>
    <w:rsid w:val="002E3A70"/>
    <w:rsid w:val="002E3B58"/>
    <w:rsid w:val="002E3E8A"/>
    <w:rsid w:val="002E6A6A"/>
    <w:rsid w:val="002E7DEF"/>
    <w:rsid w:val="002F0D11"/>
    <w:rsid w:val="002F3397"/>
    <w:rsid w:val="002F5259"/>
    <w:rsid w:val="002F55FC"/>
    <w:rsid w:val="0030380D"/>
    <w:rsid w:val="00304234"/>
    <w:rsid w:val="00312411"/>
    <w:rsid w:val="00322B28"/>
    <w:rsid w:val="00323E71"/>
    <w:rsid w:val="00325507"/>
    <w:rsid w:val="00326F77"/>
    <w:rsid w:val="0032731B"/>
    <w:rsid w:val="00330E96"/>
    <w:rsid w:val="00331AB8"/>
    <w:rsid w:val="0033224B"/>
    <w:rsid w:val="003372A8"/>
    <w:rsid w:val="003401B0"/>
    <w:rsid w:val="00346C8E"/>
    <w:rsid w:val="0034742B"/>
    <w:rsid w:val="00352385"/>
    <w:rsid w:val="0035762F"/>
    <w:rsid w:val="00362885"/>
    <w:rsid w:val="00363B1B"/>
    <w:rsid w:val="00367BD5"/>
    <w:rsid w:val="003739E7"/>
    <w:rsid w:val="00374937"/>
    <w:rsid w:val="00380583"/>
    <w:rsid w:val="0038766B"/>
    <w:rsid w:val="00390327"/>
    <w:rsid w:val="00393066"/>
    <w:rsid w:val="00393B78"/>
    <w:rsid w:val="00394010"/>
    <w:rsid w:val="003A01E9"/>
    <w:rsid w:val="003A47D9"/>
    <w:rsid w:val="003A739E"/>
    <w:rsid w:val="003A78A9"/>
    <w:rsid w:val="003A7E1C"/>
    <w:rsid w:val="003B04B7"/>
    <w:rsid w:val="003B3C0D"/>
    <w:rsid w:val="003B6DFA"/>
    <w:rsid w:val="003C0306"/>
    <w:rsid w:val="003C114C"/>
    <w:rsid w:val="003C2C5D"/>
    <w:rsid w:val="003C43D2"/>
    <w:rsid w:val="003C465D"/>
    <w:rsid w:val="003C4B3E"/>
    <w:rsid w:val="003D0BC4"/>
    <w:rsid w:val="003D495D"/>
    <w:rsid w:val="003D6D19"/>
    <w:rsid w:val="003E00DA"/>
    <w:rsid w:val="003E0878"/>
    <w:rsid w:val="003E098E"/>
    <w:rsid w:val="003E0A46"/>
    <w:rsid w:val="003E2A17"/>
    <w:rsid w:val="003E2FAE"/>
    <w:rsid w:val="003E32F5"/>
    <w:rsid w:val="003E64D7"/>
    <w:rsid w:val="003F0224"/>
    <w:rsid w:val="00407CF7"/>
    <w:rsid w:val="00410423"/>
    <w:rsid w:val="00415ED6"/>
    <w:rsid w:val="00417CAF"/>
    <w:rsid w:val="00420A11"/>
    <w:rsid w:val="00420ACB"/>
    <w:rsid w:val="00422265"/>
    <w:rsid w:val="00425705"/>
    <w:rsid w:val="004373A7"/>
    <w:rsid w:val="00437D94"/>
    <w:rsid w:val="0044030C"/>
    <w:rsid w:val="00440BC6"/>
    <w:rsid w:val="00441028"/>
    <w:rsid w:val="00447359"/>
    <w:rsid w:val="00455334"/>
    <w:rsid w:val="0045707A"/>
    <w:rsid w:val="00460159"/>
    <w:rsid w:val="004648A4"/>
    <w:rsid w:val="0046696D"/>
    <w:rsid w:val="00471380"/>
    <w:rsid w:val="00476162"/>
    <w:rsid w:val="0047683D"/>
    <w:rsid w:val="00477506"/>
    <w:rsid w:val="00483392"/>
    <w:rsid w:val="004936E8"/>
    <w:rsid w:val="00494F0D"/>
    <w:rsid w:val="00495CAF"/>
    <w:rsid w:val="00496BFD"/>
    <w:rsid w:val="004A180B"/>
    <w:rsid w:val="004A3DF2"/>
    <w:rsid w:val="004A4C0C"/>
    <w:rsid w:val="004A6D8A"/>
    <w:rsid w:val="004B1049"/>
    <w:rsid w:val="004B1D23"/>
    <w:rsid w:val="004C361D"/>
    <w:rsid w:val="004C4891"/>
    <w:rsid w:val="004D0A25"/>
    <w:rsid w:val="004D16D7"/>
    <w:rsid w:val="004D2C89"/>
    <w:rsid w:val="004D3E22"/>
    <w:rsid w:val="004D7851"/>
    <w:rsid w:val="004D7C64"/>
    <w:rsid w:val="004E0161"/>
    <w:rsid w:val="004E1EEE"/>
    <w:rsid w:val="004E2124"/>
    <w:rsid w:val="004E3930"/>
    <w:rsid w:val="004E3932"/>
    <w:rsid w:val="004E475E"/>
    <w:rsid w:val="004E516A"/>
    <w:rsid w:val="004E6E34"/>
    <w:rsid w:val="004F0869"/>
    <w:rsid w:val="004F0A77"/>
    <w:rsid w:val="004F1E79"/>
    <w:rsid w:val="004F3C18"/>
    <w:rsid w:val="004F567D"/>
    <w:rsid w:val="004F5F33"/>
    <w:rsid w:val="004F6995"/>
    <w:rsid w:val="00500025"/>
    <w:rsid w:val="0050103A"/>
    <w:rsid w:val="00502A1D"/>
    <w:rsid w:val="00510D98"/>
    <w:rsid w:val="00511B0F"/>
    <w:rsid w:val="0051218C"/>
    <w:rsid w:val="0052197C"/>
    <w:rsid w:val="00526C51"/>
    <w:rsid w:val="005422EA"/>
    <w:rsid w:val="00545B72"/>
    <w:rsid w:val="00551E2C"/>
    <w:rsid w:val="0055388E"/>
    <w:rsid w:val="00553A7A"/>
    <w:rsid w:val="005578E0"/>
    <w:rsid w:val="005663B3"/>
    <w:rsid w:val="005706C5"/>
    <w:rsid w:val="005754AE"/>
    <w:rsid w:val="00575C17"/>
    <w:rsid w:val="00577985"/>
    <w:rsid w:val="00577FB5"/>
    <w:rsid w:val="005807B1"/>
    <w:rsid w:val="005852D1"/>
    <w:rsid w:val="00587A22"/>
    <w:rsid w:val="00590C5D"/>
    <w:rsid w:val="0059276A"/>
    <w:rsid w:val="0059299D"/>
    <w:rsid w:val="00595C8C"/>
    <w:rsid w:val="00597747"/>
    <w:rsid w:val="005A19BC"/>
    <w:rsid w:val="005A242F"/>
    <w:rsid w:val="005A4CDD"/>
    <w:rsid w:val="005A50AB"/>
    <w:rsid w:val="005B2065"/>
    <w:rsid w:val="005B57E4"/>
    <w:rsid w:val="005B5ABD"/>
    <w:rsid w:val="005B75AF"/>
    <w:rsid w:val="005C140A"/>
    <w:rsid w:val="005C1E52"/>
    <w:rsid w:val="005C3466"/>
    <w:rsid w:val="005C41EA"/>
    <w:rsid w:val="005C58E7"/>
    <w:rsid w:val="005C6763"/>
    <w:rsid w:val="005C70FB"/>
    <w:rsid w:val="005D3164"/>
    <w:rsid w:val="005D741A"/>
    <w:rsid w:val="005E0344"/>
    <w:rsid w:val="005E440B"/>
    <w:rsid w:val="005E4788"/>
    <w:rsid w:val="005F11C1"/>
    <w:rsid w:val="005F2C85"/>
    <w:rsid w:val="00601B03"/>
    <w:rsid w:val="0060248D"/>
    <w:rsid w:val="00602E4B"/>
    <w:rsid w:val="00605ADB"/>
    <w:rsid w:val="00611C9F"/>
    <w:rsid w:val="00616F50"/>
    <w:rsid w:val="006248DE"/>
    <w:rsid w:val="006270F1"/>
    <w:rsid w:val="00627555"/>
    <w:rsid w:val="006322A0"/>
    <w:rsid w:val="006361FD"/>
    <w:rsid w:val="0064226F"/>
    <w:rsid w:val="00642DDB"/>
    <w:rsid w:val="006447AB"/>
    <w:rsid w:val="00653298"/>
    <w:rsid w:val="00660D7D"/>
    <w:rsid w:val="00663A7C"/>
    <w:rsid w:val="00667DF2"/>
    <w:rsid w:val="00670DF1"/>
    <w:rsid w:val="00671312"/>
    <w:rsid w:val="00671345"/>
    <w:rsid w:val="00672A9B"/>
    <w:rsid w:val="0067497F"/>
    <w:rsid w:val="00675884"/>
    <w:rsid w:val="00677B7D"/>
    <w:rsid w:val="00682D18"/>
    <w:rsid w:val="00691F4E"/>
    <w:rsid w:val="00696EE0"/>
    <w:rsid w:val="00697980"/>
    <w:rsid w:val="006A19EF"/>
    <w:rsid w:val="006A3890"/>
    <w:rsid w:val="006A43D5"/>
    <w:rsid w:val="006A525B"/>
    <w:rsid w:val="006A7262"/>
    <w:rsid w:val="006B0983"/>
    <w:rsid w:val="006B0CC6"/>
    <w:rsid w:val="006B1B9F"/>
    <w:rsid w:val="006B3372"/>
    <w:rsid w:val="006B5DE2"/>
    <w:rsid w:val="006C045F"/>
    <w:rsid w:val="006C3244"/>
    <w:rsid w:val="006C4196"/>
    <w:rsid w:val="006C63B0"/>
    <w:rsid w:val="006C76A2"/>
    <w:rsid w:val="006C792E"/>
    <w:rsid w:val="006D116C"/>
    <w:rsid w:val="006D16D8"/>
    <w:rsid w:val="006D59CB"/>
    <w:rsid w:val="006E407A"/>
    <w:rsid w:val="006E44B1"/>
    <w:rsid w:val="006E7C42"/>
    <w:rsid w:val="006F168A"/>
    <w:rsid w:val="006F5076"/>
    <w:rsid w:val="006F5DC1"/>
    <w:rsid w:val="006F6009"/>
    <w:rsid w:val="006F677F"/>
    <w:rsid w:val="0070321D"/>
    <w:rsid w:val="0070493B"/>
    <w:rsid w:val="007068BA"/>
    <w:rsid w:val="007100F8"/>
    <w:rsid w:val="007154C5"/>
    <w:rsid w:val="00716AB1"/>
    <w:rsid w:val="00717A83"/>
    <w:rsid w:val="00721D63"/>
    <w:rsid w:val="00724BAC"/>
    <w:rsid w:val="0072671D"/>
    <w:rsid w:val="00732C7B"/>
    <w:rsid w:val="00734D2B"/>
    <w:rsid w:val="00737705"/>
    <w:rsid w:val="007408D4"/>
    <w:rsid w:val="00740E2E"/>
    <w:rsid w:val="007420AC"/>
    <w:rsid w:val="00742617"/>
    <w:rsid w:val="007440CA"/>
    <w:rsid w:val="00750A84"/>
    <w:rsid w:val="00751DA3"/>
    <w:rsid w:val="00753AF3"/>
    <w:rsid w:val="00760D6B"/>
    <w:rsid w:val="00763057"/>
    <w:rsid w:val="007645E6"/>
    <w:rsid w:val="007678C3"/>
    <w:rsid w:val="00777BCE"/>
    <w:rsid w:val="00783AFA"/>
    <w:rsid w:val="00785427"/>
    <w:rsid w:val="00786171"/>
    <w:rsid w:val="00790540"/>
    <w:rsid w:val="0079135D"/>
    <w:rsid w:val="007937EA"/>
    <w:rsid w:val="007968CA"/>
    <w:rsid w:val="007A123C"/>
    <w:rsid w:val="007A1A38"/>
    <w:rsid w:val="007A43FF"/>
    <w:rsid w:val="007A4706"/>
    <w:rsid w:val="007B280E"/>
    <w:rsid w:val="007B355B"/>
    <w:rsid w:val="007B3918"/>
    <w:rsid w:val="007C2F0D"/>
    <w:rsid w:val="007C3C1D"/>
    <w:rsid w:val="007D199A"/>
    <w:rsid w:val="007D2EBE"/>
    <w:rsid w:val="007D58B4"/>
    <w:rsid w:val="007D6EED"/>
    <w:rsid w:val="007E020D"/>
    <w:rsid w:val="007E1C07"/>
    <w:rsid w:val="007E7235"/>
    <w:rsid w:val="007F24B6"/>
    <w:rsid w:val="007F36EE"/>
    <w:rsid w:val="007F4E92"/>
    <w:rsid w:val="00801E2D"/>
    <w:rsid w:val="00803D94"/>
    <w:rsid w:val="00806A83"/>
    <w:rsid w:val="00807210"/>
    <w:rsid w:val="00810877"/>
    <w:rsid w:val="0081112E"/>
    <w:rsid w:val="008126FF"/>
    <w:rsid w:val="00821D24"/>
    <w:rsid w:val="008229BA"/>
    <w:rsid w:val="00824151"/>
    <w:rsid w:val="00826973"/>
    <w:rsid w:val="0083117F"/>
    <w:rsid w:val="00845390"/>
    <w:rsid w:val="0084601B"/>
    <w:rsid w:val="00854C51"/>
    <w:rsid w:val="008550A8"/>
    <w:rsid w:val="008606F0"/>
    <w:rsid w:val="008624B8"/>
    <w:rsid w:val="00865489"/>
    <w:rsid w:val="0086553D"/>
    <w:rsid w:val="00870085"/>
    <w:rsid w:val="00874FEB"/>
    <w:rsid w:val="00875175"/>
    <w:rsid w:val="0087685C"/>
    <w:rsid w:val="00881B6F"/>
    <w:rsid w:val="00882AA4"/>
    <w:rsid w:val="0088385F"/>
    <w:rsid w:val="00883E22"/>
    <w:rsid w:val="00884E43"/>
    <w:rsid w:val="008851F6"/>
    <w:rsid w:val="00887EC6"/>
    <w:rsid w:val="0089084C"/>
    <w:rsid w:val="00892CA8"/>
    <w:rsid w:val="00893409"/>
    <w:rsid w:val="00893D9F"/>
    <w:rsid w:val="008A2379"/>
    <w:rsid w:val="008A2F0A"/>
    <w:rsid w:val="008A4329"/>
    <w:rsid w:val="008A578E"/>
    <w:rsid w:val="008B066C"/>
    <w:rsid w:val="008B1519"/>
    <w:rsid w:val="008B2309"/>
    <w:rsid w:val="008B2626"/>
    <w:rsid w:val="008B5AD3"/>
    <w:rsid w:val="008B7BCC"/>
    <w:rsid w:val="008C0095"/>
    <w:rsid w:val="008C1510"/>
    <w:rsid w:val="008C19E5"/>
    <w:rsid w:val="008C2CFC"/>
    <w:rsid w:val="008C3686"/>
    <w:rsid w:val="008C42C1"/>
    <w:rsid w:val="008C50C3"/>
    <w:rsid w:val="008C7094"/>
    <w:rsid w:val="008D1DEE"/>
    <w:rsid w:val="008D2B97"/>
    <w:rsid w:val="008D49A5"/>
    <w:rsid w:val="008D507F"/>
    <w:rsid w:val="008D6C81"/>
    <w:rsid w:val="008E2CF9"/>
    <w:rsid w:val="008E5D60"/>
    <w:rsid w:val="008E6CF0"/>
    <w:rsid w:val="008E7FC4"/>
    <w:rsid w:val="008F1439"/>
    <w:rsid w:val="008F325E"/>
    <w:rsid w:val="008F66CF"/>
    <w:rsid w:val="008F7051"/>
    <w:rsid w:val="008F7A56"/>
    <w:rsid w:val="009033A9"/>
    <w:rsid w:val="00903555"/>
    <w:rsid w:val="0090581D"/>
    <w:rsid w:val="00905F59"/>
    <w:rsid w:val="0091103B"/>
    <w:rsid w:val="009129F6"/>
    <w:rsid w:val="0091378D"/>
    <w:rsid w:val="0091421C"/>
    <w:rsid w:val="0091439C"/>
    <w:rsid w:val="00915F38"/>
    <w:rsid w:val="00920572"/>
    <w:rsid w:val="00920BF2"/>
    <w:rsid w:val="00920DAF"/>
    <w:rsid w:val="009217A3"/>
    <w:rsid w:val="00923F6B"/>
    <w:rsid w:val="00925DD5"/>
    <w:rsid w:val="00933977"/>
    <w:rsid w:val="00934283"/>
    <w:rsid w:val="009349A9"/>
    <w:rsid w:val="00935B72"/>
    <w:rsid w:val="00936C52"/>
    <w:rsid w:val="0095124B"/>
    <w:rsid w:val="00953500"/>
    <w:rsid w:val="0095489B"/>
    <w:rsid w:val="00954D77"/>
    <w:rsid w:val="009559CE"/>
    <w:rsid w:val="00966FB9"/>
    <w:rsid w:val="009671CD"/>
    <w:rsid w:val="00972F49"/>
    <w:rsid w:val="009751A9"/>
    <w:rsid w:val="00977F1F"/>
    <w:rsid w:val="00980F9C"/>
    <w:rsid w:val="009851A3"/>
    <w:rsid w:val="0098632B"/>
    <w:rsid w:val="0098717C"/>
    <w:rsid w:val="009905F2"/>
    <w:rsid w:val="00991EB3"/>
    <w:rsid w:val="009930D0"/>
    <w:rsid w:val="009955E7"/>
    <w:rsid w:val="00997BFB"/>
    <w:rsid w:val="009A11C5"/>
    <w:rsid w:val="009A1C5C"/>
    <w:rsid w:val="009A3EAB"/>
    <w:rsid w:val="009A58C6"/>
    <w:rsid w:val="009A7348"/>
    <w:rsid w:val="009B462C"/>
    <w:rsid w:val="009B68E6"/>
    <w:rsid w:val="009C13C2"/>
    <w:rsid w:val="009C15F3"/>
    <w:rsid w:val="009C1910"/>
    <w:rsid w:val="009C3689"/>
    <w:rsid w:val="009C6255"/>
    <w:rsid w:val="009C6C61"/>
    <w:rsid w:val="009C7195"/>
    <w:rsid w:val="009D23E4"/>
    <w:rsid w:val="009D54F1"/>
    <w:rsid w:val="009E0578"/>
    <w:rsid w:val="009E07C2"/>
    <w:rsid w:val="009E0E52"/>
    <w:rsid w:val="009E2C04"/>
    <w:rsid w:val="009F72F9"/>
    <w:rsid w:val="00A00205"/>
    <w:rsid w:val="00A00AF0"/>
    <w:rsid w:val="00A01B50"/>
    <w:rsid w:val="00A02EAF"/>
    <w:rsid w:val="00A057D1"/>
    <w:rsid w:val="00A05CC9"/>
    <w:rsid w:val="00A07AD3"/>
    <w:rsid w:val="00A110C1"/>
    <w:rsid w:val="00A14B5A"/>
    <w:rsid w:val="00A157A1"/>
    <w:rsid w:val="00A22F30"/>
    <w:rsid w:val="00A23749"/>
    <w:rsid w:val="00A3567F"/>
    <w:rsid w:val="00A357C9"/>
    <w:rsid w:val="00A37698"/>
    <w:rsid w:val="00A41ED3"/>
    <w:rsid w:val="00A536E2"/>
    <w:rsid w:val="00A5626D"/>
    <w:rsid w:val="00A6516E"/>
    <w:rsid w:val="00A657E9"/>
    <w:rsid w:val="00A70E40"/>
    <w:rsid w:val="00A73A5E"/>
    <w:rsid w:val="00A77EBC"/>
    <w:rsid w:val="00A81782"/>
    <w:rsid w:val="00A81D82"/>
    <w:rsid w:val="00A9118F"/>
    <w:rsid w:val="00A93E33"/>
    <w:rsid w:val="00A948E0"/>
    <w:rsid w:val="00A97D34"/>
    <w:rsid w:val="00AA581D"/>
    <w:rsid w:val="00AB0D39"/>
    <w:rsid w:val="00AB241D"/>
    <w:rsid w:val="00AB6970"/>
    <w:rsid w:val="00AB7327"/>
    <w:rsid w:val="00AB78BE"/>
    <w:rsid w:val="00AC0CAC"/>
    <w:rsid w:val="00AC11E6"/>
    <w:rsid w:val="00AC1939"/>
    <w:rsid w:val="00AC1BB1"/>
    <w:rsid w:val="00AC2E98"/>
    <w:rsid w:val="00AC7C05"/>
    <w:rsid w:val="00AD167C"/>
    <w:rsid w:val="00AD17C7"/>
    <w:rsid w:val="00AD4041"/>
    <w:rsid w:val="00AD4740"/>
    <w:rsid w:val="00AD7138"/>
    <w:rsid w:val="00AD758B"/>
    <w:rsid w:val="00AD7B05"/>
    <w:rsid w:val="00AE0113"/>
    <w:rsid w:val="00AE302B"/>
    <w:rsid w:val="00AE49B4"/>
    <w:rsid w:val="00AE6D82"/>
    <w:rsid w:val="00B0035C"/>
    <w:rsid w:val="00B16BE5"/>
    <w:rsid w:val="00B16D8C"/>
    <w:rsid w:val="00B209EE"/>
    <w:rsid w:val="00B24902"/>
    <w:rsid w:val="00B259DF"/>
    <w:rsid w:val="00B327BD"/>
    <w:rsid w:val="00B35273"/>
    <w:rsid w:val="00B357BE"/>
    <w:rsid w:val="00B37C33"/>
    <w:rsid w:val="00B44B1F"/>
    <w:rsid w:val="00B44DCC"/>
    <w:rsid w:val="00B47A80"/>
    <w:rsid w:val="00B53317"/>
    <w:rsid w:val="00B572CA"/>
    <w:rsid w:val="00B64141"/>
    <w:rsid w:val="00B64E72"/>
    <w:rsid w:val="00B660B5"/>
    <w:rsid w:val="00B72580"/>
    <w:rsid w:val="00B77913"/>
    <w:rsid w:val="00B81838"/>
    <w:rsid w:val="00B824FB"/>
    <w:rsid w:val="00B82646"/>
    <w:rsid w:val="00B85705"/>
    <w:rsid w:val="00B8721B"/>
    <w:rsid w:val="00B90976"/>
    <w:rsid w:val="00B960CF"/>
    <w:rsid w:val="00B97359"/>
    <w:rsid w:val="00B97A8F"/>
    <w:rsid w:val="00BA136A"/>
    <w:rsid w:val="00BA3937"/>
    <w:rsid w:val="00BA4E58"/>
    <w:rsid w:val="00BA563A"/>
    <w:rsid w:val="00BA7074"/>
    <w:rsid w:val="00BB054F"/>
    <w:rsid w:val="00BB32FB"/>
    <w:rsid w:val="00BB4263"/>
    <w:rsid w:val="00BB7829"/>
    <w:rsid w:val="00BC3B3E"/>
    <w:rsid w:val="00BD1457"/>
    <w:rsid w:val="00BD16CC"/>
    <w:rsid w:val="00BD51AC"/>
    <w:rsid w:val="00BE0CB7"/>
    <w:rsid w:val="00BE1E15"/>
    <w:rsid w:val="00BE1E8F"/>
    <w:rsid w:val="00BE2AD9"/>
    <w:rsid w:val="00BF27FE"/>
    <w:rsid w:val="00BF3150"/>
    <w:rsid w:val="00C00E6C"/>
    <w:rsid w:val="00C043B3"/>
    <w:rsid w:val="00C04540"/>
    <w:rsid w:val="00C05E2C"/>
    <w:rsid w:val="00C079AB"/>
    <w:rsid w:val="00C10E61"/>
    <w:rsid w:val="00C14787"/>
    <w:rsid w:val="00C1596D"/>
    <w:rsid w:val="00C15B8D"/>
    <w:rsid w:val="00C167F8"/>
    <w:rsid w:val="00C17010"/>
    <w:rsid w:val="00C20562"/>
    <w:rsid w:val="00C215C3"/>
    <w:rsid w:val="00C23A96"/>
    <w:rsid w:val="00C249C6"/>
    <w:rsid w:val="00C2513F"/>
    <w:rsid w:val="00C2711B"/>
    <w:rsid w:val="00C32CC1"/>
    <w:rsid w:val="00C426EC"/>
    <w:rsid w:val="00C45EB0"/>
    <w:rsid w:val="00C4709A"/>
    <w:rsid w:val="00C524F3"/>
    <w:rsid w:val="00C55588"/>
    <w:rsid w:val="00C556B7"/>
    <w:rsid w:val="00C558E5"/>
    <w:rsid w:val="00C6483C"/>
    <w:rsid w:val="00C64AE9"/>
    <w:rsid w:val="00C70CFF"/>
    <w:rsid w:val="00C718FE"/>
    <w:rsid w:val="00C736B1"/>
    <w:rsid w:val="00C81A33"/>
    <w:rsid w:val="00C82C0E"/>
    <w:rsid w:val="00C86830"/>
    <w:rsid w:val="00C86CEC"/>
    <w:rsid w:val="00C86D4A"/>
    <w:rsid w:val="00C8773D"/>
    <w:rsid w:val="00C87ABB"/>
    <w:rsid w:val="00C90062"/>
    <w:rsid w:val="00C904F2"/>
    <w:rsid w:val="00C91831"/>
    <w:rsid w:val="00C94F61"/>
    <w:rsid w:val="00C953DF"/>
    <w:rsid w:val="00C966B8"/>
    <w:rsid w:val="00CA3A6C"/>
    <w:rsid w:val="00CB44F0"/>
    <w:rsid w:val="00CB74DA"/>
    <w:rsid w:val="00CC4AFD"/>
    <w:rsid w:val="00CC59AB"/>
    <w:rsid w:val="00CD3DB9"/>
    <w:rsid w:val="00CD5401"/>
    <w:rsid w:val="00CD554B"/>
    <w:rsid w:val="00CD64C6"/>
    <w:rsid w:val="00CE1CF8"/>
    <w:rsid w:val="00CE2709"/>
    <w:rsid w:val="00CE2D64"/>
    <w:rsid w:val="00CE6198"/>
    <w:rsid w:val="00CF015E"/>
    <w:rsid w:val="00CF56B4"/>
    <w:rsid w:val="00CF613A"/>
    <w:rsid w:val="00CF6230"/>
    <w:rsid w:val="00CF7F87"/>
    <w:rsid w:val="00D017FC"/>
    <w:rsid w:val="00D0226A"/>
    <w:rsid w:val="00D101FF"/>
    <w:rsid w:val="00D102AA"/>
    <w:rsid w:val="00D11FF9"/>
    <w:rsid w:val="00D13147"/>
    <w:rsid w:val="00D15AAA"/>
    <w:rsid w:val="00D2128D"/>
    <w:rsid w:val="00D219C1"/>
    <w:rsid w:val="00D3306C"/>
    <w:rsid w:val="00D34D86"/>
    <w:rsid w:val="00D35180"/>
    <w:rsid w:val="00D462F4"/>
    <w:rsid w:val="00D463FF"/>
    <w:rsid w:val="00D47A04"/>
    <w:rsid w:val="00D53EAD"/>
    <w:rsid w:val="00D541A6"/>
    <w:rsid w:val="00D5528D"/>
    <w:rsid w:val="00D56B4F"/>
    <w:rsid w:val="00D5715A"/>
    <w:rsid w:val="00D640E6"/>
    <w:rsid w:val="00D71687"/>
    <w:rsid w:val="00D73FCE"/>
    <w:rsid w:val="00D745D1"/>
    <w:rsid w:val="00D74813"/>
    <w:rsid w:val="00D76D64"/>
    <w:rsid w:val="00D7725D"/>
    <w:rsid w:val="00D8133D"/>
    <w:rsid w:val="00D82D29"/>
    <w:rsid w:val="00D844E3"/>
    <w:rsid w:val="00D85E1D"/>
    <w:rsid w:val="00D8691A"/>
    <w:rsid w:val="00D922AD"/>
    <w:rsid w:val="00D928A7"/>
    <w:rsid w:val="00D973D0"/>
    <w:rsid w:val="00DA30BC"/>
    <w:rsid w:val="00DA69C2"/>
    <w:rsid w:val="00DA6D70"/>
    <w:rsid w:val="00DB2C5A"/>
    <w:rsid w:val="00DB4F47"/>
    <w:rsid w:val="00DB6050"/>
    <w:rsid w:val="00DB7A50"/>
    <w:rsid w:val="00DC2C34"/>
    <w:rsid w:val="00DC309C"/>
    <w:rsid w:val="00DC3329"/>
    <w:rsid w:val="00DC3792"/>
    <w:rsid w:val="00DD42F5"/>
    <w:rsid w:val="00DD73ED"/>
    <w:rsid w:val="00DE2C87"/>
    <w:rsid w:val="00DE459A"/>
    <w:rsid w:val="00DE5D51"/>
    <w:rsid w:val="00DF23AD"/>
    <w:rsid w:val="00DF27DA"/>
    <w:rsid w:val="00DF4DBE"/>
    <w:rsid w:val="00DF50D4"/>
    <w:rsid w:val="00DF5A88"/>
    <w:rsid w:val="00DF5EE9"/>
    <w:rsid w:val="00E2155C"/>
    <w:rsid w:val="00E22483"/>
    <w:rsid w:val="00E22CE5"/>
    <w:rsid w:val="00E24ECD"/>
    <w:rsid w:val="00E27770"/>
    <w:rsid w:val="00E3666D"/>
    <w:rsid w:val="00E368DA"/>
    <w:rsid w:val="00E40820"/>
    <w:rsid w:val="00E43C22"/>
    <w:rsid w:val="00E4658F"/>
    <w:rsid w:val="00E50F1E"/>
    <w:rsid w:val="00E54A67"/>
    <w:rsid w:val="00E56C14"/>
    <w:rsid w:val="00E613B9"/>
    <w:rsid w:val="00E61C0D"/>
    <w:rsid w:val="00E62AE3"/>
    <w:rsid w:val="00E63EB4"/>
    <w:rsid w:val="00E64490"/>
    <w:rsid w:val="00E66160"/>
    <w:rsid w:val="00E66DEF"/>
    <w:rsid w:val="00E70231"/>
    <w:rsid w:val="00E71329"/>
    <w:rsid w:val="00E71B33"/>
    <w:rsid w:val="00E835DF"/>
    <w:rsid w:val="00E8363B"/>
    <w:rsid w:val="00E84966"/>
    <w:rsid w:val="00E8682A"/>
    <w:rsid w:val="00E8765A"/>
    <w:rsid w:val="00E9054F"/>
    <w:rsid w:val="00E91603"/>
    <w:rsid w:val="00E92383"/>
    <w:rsid w:val="00E92C12"/>
    <w:rsid w:val="00E932AB"/>
    <w:rsid w:val="00E935A5"/>
    <w:rsid w:val="00EA1B3A"/>
    <w:rsid w:val="00EA2109"/>
    <w:rsid w:val="00EA3A54"/>
    <w:rsid w:val="00EA3D9F"/>
    <w:rsid w:val="00EB0D33"/>
    <w:rsid w:val="00EB1CCA"/>
    <w:rsid w:val="00EC5FA4"/>
    <w:rsid w:val="00EC6494"/>
    <w:rsid w:val="00ED4D4E"/>
    <w:rsid w:val="00EE0C77"/>
    <w:rsid w:val="00EE25BE"/>
    <w:rsid w:val="00EE4E54"/>
    <w:rsid w:val="00EE602E"/>
    <w:rsid w:val="00EF4334"/>
    <w:rsid w:val="00EF62E9"/>
    <w:rsid w:val="00F0460D"/>
    <w:rsid w:val="00F15409"/>
    <w:rsid w:val="00F319EB"/>
    <w:rsid w:val="00F37648"/>
    <w:rsid w:val="00F436BB"/>
    <w:rsid w:val="00F448D0"/>
    <w:rsid w:val="00F47145"/>
    <w:rsid w:val="00F47FBB"/>
    <w:rsid w:val="00F51D00"/>
    <w:rsid w:val="00F522E4"/>
    <w:rsid w:val="00F545BF"/>
    <w:rsid w:val="00F66BC5"/>
    <w:rsid w:val="00F71B56"/>
    <w:rsid w:val="00F73532"/>
    <w:rsid w:val="00F8020E"/>
    <w:rsid w:val="00F80C72"/>
    <w:rsid w:val="00F817AB"/>
    <w:rsid w:val="00F82ED7"/>
    <w:rsid w:val="00F832C8"/>
    <w:rsid w:val="00F8500A"/>
    <w:rsid w:val="00F85804"/>
    <w:rsid w:val="00F859AC"/>
    <w:rsid w:val="00F873B3"/>
    <w:rsid w:val="00F92BBF"/>
    <w:rsid w:val="00FA10A8"/>
    <w:rsid w:val="00FA33FE"/>
    <w:rsid w:val="00FA42B9"/>
    <w:rsid w:val="00FA5B44"/>
    <w:rsid w:val="00FA755A"/>
    <w:rsid w:val="00FB043B"/>
    <w:rsid w:val="00FB0CE0"/>
    <w:rsid w:val="00FB2854"/>
    <w:rsid w:val="00FB2B0F"/>
    <w:rsid w:val="00FB4F6B"/>
    <w:rsid w:val="00FB5FE1"/>
    <w:rsid w:val="00FC0E8D"/>
    <w:rsid w:val="00FC46EF"/>
    <w:rsid w:val="00FD31B3"/>
    <w:rsid w:val="00FD4204"/>
    <w:rsid w:val="00FE1AFC"/>
    <w:rsid w:val="00FE541D"/>
    <w:rsid w:val="00FE7E73"/>
    <w:rsid w:val="00FF3CCB"/>
    <w:rsid w:val="00FF57B5"/>
    <w:rsid w:val="00FF71B1"/>
    <w:rsid w:val="5D4F1E40"/>
    <w:rsid w:val="7889B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410423"/>
    <w:pPr>
      <w:keepNext/>
      <w:numPr>
        <w:numId w:val="4"/>
      </w:numPr>
      <w:spacing w:before="240"/>
      <w:outlineLvl w:val="0"/>
    </w:pPr>
    <w:rPr>
      <w:sz w:val="48"/>
    </w:rPr>
  </w:style>
  <w:style w:type="paragraph" w:styleId="Heading2">
    <w:name w:val="heading 2"/>
    <w:aliases w:val="Left"/>
    <w:basedOn w:val="Normal"/>
    <w:next w:val="Normal"/>
    <w:link w:val="Heading2Char"/>
    <w:qFormat/>
    <w:rsid w:val="00C558E5"/>
    <w:pPr>
      <w:keepNext/>
      <w:numPr>
        <w:ilvl w:val="1"/>
        <w:numId w:val="4"/>
      </w:numPr>
      <w:ind w:left="851" w:hanging="851"/>
      <w:outlineLvl w:val="1"/>
    </w:pPr>
    <w:rPr>
      <w:color w:val="000000" w:themeColor="text1"/>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E0161"/>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E0161"/>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E0161"/>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C558E5"/>
    <w:rPr>
      <w:rFonts w:ascii="Arial" w:hAnsi="Arial"/>
      <w:color w:val="000000" w:themeColor="text1"/>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55588"/>
    <w:pPr>
      <w:numPr>
        <w:numId w:val="1"/>
      </w:numPr>
      <w:ind w:left="709" w:hanging="283"/>
    </w:pPr>
    <w:rPr>
      <w:noProof/>
    </w:rPr>
  </w:style>
  <w:style w:type="paragraph" w:customStyle="1" w:styleId="Bulletlist2">
    <w:name w:val="Bullet list 2"/>
    <w:basedOn w:val="Bulletlist1"/>
    <w:uiPriority w:val="1"/>
    <w:qFormat/>
    <w:rsid w:val="00925DD5"/>
    <w:pPr>
      <w:ind w:left="1418" w:hanging="425"/>
    </w:p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2"/>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semiHidden/>
    <w:unhideWhenUsed/>
    <w:rsid w:val="00FD31B3"/>
    <w:rPr>
      <w:sz w:val="16"/>
      <w:szCs w:val="16"/>
    </w:rPr>
  </w:style>
  <w:style w:type="paragraph" w:styleId="CommentText">
    <w:name w:val="annotation text"/>
    <w:basedOn w:val="Normal"/>
    <w:link w:val="CommentTextChar"/>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5"/>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customStyle="1" w:styleId="TSBullet1Square">
    <w:name w:val="TS Bullet 1 Square"/>
    <w:basedOn w:val="Normal"/>
    <w:qFormat/>
    <w:rsid w:val="009D23E4"/>
    <w:pPr>
      <w:numPr>
        <w:numId w:val="7"/>
      </w:numPr>
      <w:spacing w:line="240" w:lineRule="auto"/>
      <w:contextualSpacing/>
    </w:pPr>
    <w:rPr>
      <w:rFonts w:eastAsia="Times New Roman" w:cs="Times New Roman"/>
      <w:szCs w:val="24"/>
      <w:lang w:bidi="ar-SA"/>
    </w:rPr>
  </w:style>
  <w:style w:type="paragraph" w:customStyle="1" w:styleId="TSNumberedParagraph1">
    <w:name w:val="TS Numbered Paragraph 1"/>
    <w:basedOn w:val="Normal"/>
    <w:rsid w:val="009D23E4"/>
    <w:pPr>
      <w:numPr>
        <w:numId w:val="6"/>
      </w:numPr>
      <w:spacing w:after="220" w:line="240" w:lineRule="auto"/>
      <w:outlineLvl w:val="0"/>
    </w:pPr>
    <w:rPr>
      <w:rFonts w:eastAsia="Times New Roman" w:cs="Times New Roman"/>
      <w:szCs w:val="24"/>
      <w:lang w:bidi="ar-SA"/>
    </w:rPr>
  </w:style>
  <w:style w:type="paragraph" w:styleId="NormalWeb">
    <w:name w:val="Normal (Web)"/>
    <w:basedOn w:val="Normal"/>
    <w:uiPriority w:val="99"/>
    <w:unhideWhenUsed/>
    <w:rsid w:val="009D23E4"/>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Heading7Char">
    <w:name w:val="Heading 7 Char"/>
    <w:basedOn w:val="DefaultParagraphFont"/>
    <w:link w:val="Heading7"/>
    <w:rsid w:val="004E016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E016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E0161"/>
    <w:rPr>
      <w:rFonts w:ascii="Arial" w:eastAsia="Times New Roman" w:hAnsi="Arial"/>
      <w:sz w:val="22"/>
      <w:szCs w:val="22"/>
      <w:lang w:eastAsia="en-US"/>
    </w:rPr>
  </w:style>
  <w:style w:type="paragraph" w:customStyle="1" w:styleId="TSHeadingNumbered1">
    <w:name w:val="TS Heading Numbered 1"/>
    <w:basedOn w:val="Normal"/>
    <w:qFormat/>
    <w:rsid w:val="004E0161"/>
    <w:pPr>
      <w:tabs>
        <w:tab w:val="num" w:pos="-31680"/>
      </w:tabs>
      <w:spacing w:after="220" w:line="240" w:lineRule="auto"/>
      <w:ind w:left="720" w:hanging="720"/>
      <w:outlineLvl w:val="0"/>
    </w:pPr>
    <w:rPr>
      <w:rFonts w:ascii="Arial Bold" w:eastAsia="Times New Roman" w:hAnsi="Arial Bold" w:cs="Times New Roman"/>
      <w:b/>
      <w:caps/>
      <w:szCs w:val="24"/>
      <w:lang w:bidi="ar-SA"/>
    </w:rPr>
  </w:style>
  <w:style w:type="paragraph" w:customStyle="1" w:styleId="TSHeadingNumbered11">
    <w:name w:val="TS Heading Numbered 1.1"/>
    <w:basedOn w:val="TSHeadingNumbered1"/>
    <w:rsid w:val="004E0161"/>
  </w:style>
  <w:style w:type="paragraph" w:customStyle="1" w:styleId="TSHeadingNumbered111">
    <w:name w:val="TS Heading Numbered 1.1.1"/>
    <w:basedOn w:val="TSHeadingNumbered1"/>
    <w:rsid w:val="004E0161"/>
  </w:style>
  <w:style w:type="paragraph" w:customStyle="1" w:styleId="TSHeadingNumbered1111">
    <w:name w:val="TS Heading Numbered 1.1.1.1"/>
    <w:basedOn w:val="TSHeadingNumbered1"/>
    <w:rsid w:val="004E0161"/>
  </w:style>
  <w:style w:type="paragraph" w:customStyle="1" w:styleId="TSNumberedParagraph11">
    <w:name w:val="TS Numbered Paragraph 1.1"/>
    <w:basedOn w:val="TSHeadingNumbered11"/>
    <w:rsid w:val="008126FF"/>
    <w:pPr>
      <w:numPr>
        <w:ilvl w:val="1"/>
        <w:numId w:val="3"/>
      </w:numPr>
    </w:pPr>
    <w:rPr>
      <w:b w:val="0"/>
    </w:rPr>
  </w:style>
  <w:style w:type="character" w:customStyle="1" w:styleId="TSExampleText">
    <w:name w:val="TS Example Text"/>
    <w:rsid w:val="00C94F61"/>
    <w:rPr>
      <w:i/>
      <w:iCs/>
      <w:color w:val="006D68"/>
    </w:rPr>
  </w:style>
  <w:style w:type="paragraph" w:customStyle="1" w:styleId="TSBullet2Circle">
    <w:name w:val="TS Bullet 2 Circle"/>
    <w:basedOn w:val="TSBullet1Square"/>
    <w:rsid w:val="00C94F61"/>
    <w:pPr>
      <w:numPr>
        <w:numId w:val="8"/>
      </w:numPr>
    </w:pPr>
  </w:style>
  <w:style w:type="paragraph" w:customStyle="1" w:styleId="ONRCopyrightBlock">
    <w:name w:val="ONR Copyright Block"/>
    <w:basedOn w:val="Normal"/>
    <w:rsid w:val="00C94F61"/>
    <w:pPr>
      <w:spacing w:after="0" w:line="240" w:lineRule="auto"/>
    </w:pPr>
    <w:rPr>
      <w:rFonts w:eastAsia="Times New Roman"/>
      <w:sz w:val="18"/>
      <w:szCs w:val="18"/>
      <w:lang w:bidi="ar-SA"/>
    </w:rPr>
  </w:style>
  <w:style w:type="paragraph" w:styleId="DocumentMap">
    <w:name w:val="Document Map"/>
    <w:basedOn w:val="Normal"/>
    <w:link w:val="DocumentMapChar"/>
    <w:semiHidden/>
    <w:rsid w:val="00C94F61"/>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94F61"/>
    <w:rPr>
      <w:rFonts w:ascii="Tahoma" w:eastAsia="Times New Roman" w:hAnsi="Tahoma" w:cs="Tahoma"/>
      <w:shd w:val="clear" w:color="auto" w:fill="000080"/>
      <w:lang w:eastAsia="en-US"/>
    </w:rPr>
  </w:style>
  <w:style w:type="character" w:styleId="FollowedHyperlink">
    <w:name w:val="FollowedHyperlink"/>
    <w:basedOn w:val="DefaultParagraphFont"/>
    <w:rsid w:val="00C94F61"/>
    <w:rPr>
      <w:color w:val="AA1C76" w:themeColor="followedHyperlink"/>
      <w:u w:val="single"/>
    </w:rPr>
  </w:style>
  <w:style w:type="character" w:styleId="Emphasis">
    <w:name w:val="Emphasis"/>
    <w:basedOn w:val="DefaultParagraphFont"/>
    <w:qFormat/>
    <w:rsid w:val="00C94F61"/>
    <w:rPr>
      <w:i/>
      <w:iCs/>
    </w:rPr>
  </w:style>
  <w:style w:type="paragraph" w:styleId="CommentSubject">
    <w:name w:val="annotation subject"/>
    <w:basedOn w:val="CommentText"/>
    <w:next w:val="CommentText"/>
    <w:link w:val="CommentSubjectChar"/>
    <w:semiHidden/>
    <w:unhideWhenUsed/>
    <w:rsid w:val="00C94F61"/>
    <w:pPr>
      <w:spacing w:after="0"/>
    </w:pPr>
    <w:rPr>
      <w:rFonts w:ascii="Arial" w:eastAsia="Times New Roman" w:hAnsi="Arial" w:cs="Times New Roman"/>
      <w:b/>
      <w:bCs/>
    </w:rPr>
  </w:style>
  <w:style w:type="character" w:customStyle="1" w:styleId="CommentSubjectChar">
    <w:name w:val="Comment Subject Char"/>
    <w:basedOn w:val="CommentTextChar"/>
    <w:link w:val="CommentSubject"/>
    <w:semiHidden/>
    <w:rsid w:val="00C94F61"/>
    <w:rPr>
      <w:rFonts w:ascii="Arial" w:eastAsia="Times New Roman" w:hAnsi="Arial" w:cs="Times New Roman"/>
      <w:b/>
      <w:bCs/>
      <w:lang w:eastAsia="en-US"/>
    </w:rPr>
  </w:style>
  <w:style w:type="paragraph" w:styleId="Revision">
    <w:name w:val="Revision"/>
    <w:hidden/>
    <w:uiPriority w:val="99"/>
    <w:semiHidden/>
    <w:rsid w:val="00C94F61"/>
    <w:rPr>
      <w:rFonts w:ascii="Arial" w:eastAsia="Times New Roman" w:hAnsi="Arial" w:cs="Times New Roman"/>
      <w:sz w:val="22"/>
      <w:szCs w:val="24"/>
      <w:lang w:eastAsia="en-US"/>
    </w:rPr>
  </w:style>
  <w:style w:type="character" w:customStyle="1" w:styleId="ui-provider">
    <w:name w:val="ui-provider"/>
    <w:basedOn w:val="DefaultParagraphFont"/>
    <w:rsid w:val="00644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089">
      <w:bodyDiv w:val="1"/>
      <w:marLeft w:val="0"/>
      <w:marRight w:val="0"/>
      <w:marTop w:val="0"/>
      <w:marBottom w:val="0"/>
      <w:divBdr>
        <w:top w:val="none" w:sz="0" w:space="0" w:color="auto"/>
        <w:left w:val="none" w:sz="0" w:space="0" w:color="auto"/>
        <w:bottom w:val="none" w:sz="0" w:space="0" w:color="auto"/>
        <w:right w:val="none" w:sz="0" w:space="0" w:color="auto"/>
      </w:divBdr>
    </w:div>
    <w:div w:id="21177892">
      <w:bodyDiv w:val="1"/>
      <w:marLeft w:val="0"/>
      <w:marRight w:val="0"/>
      <w:marTop w:val="0"/>
      <w:marBottom w:val="0"/>
      <w:divBdr>
        <w:top w:val="none" w:sz="0" w:space="0" w:color="auto"/>
        <w:left w:val="none" w:sz="0" w:space="0" w:color="auto"/>
        <w:bottom w:val="none" w:sz="0" w:space="0" w:color="auto"/>
        <w:right w:val="none" w:sz="0" w:space="0" w:color="auto"/>
      </w:divBdr>
    </w:div>
    <w:div w:id="22561587">
      <w:bodyDiv w:val="1"/>
      <w:marLeft w:val="0"/>
      <w:marRight w:val="0"/>
      <w:marTop w:val="0"/>
      <w:marBottom w:val="0"/>
      <w:divBdr>
        <w:top w:val="none" w:sz="0" w:space="0" w:color="auto"/>
        <w:left w:val="none" w:sz="0" w:space="0" w:color="auto"/>
        <w:bottom w:val="none" w:sz="0" w:space="0" w:color="auto"/>
        <w:right w:val="none" w:sz="0" w:space="0" w:color="auto"/>
      </w:divBdr>
    </w:div>
    <w:div w:id="22676236">
      <w:bodyDiv w:val="1"/>
      <w:marLeft w:val="0"/>
      <w:marRight w:val="0"/>
      <w:marTop w:val="0"/>
      <w:marBottom w:val="0"/>
      <w:divBdr>
        <w:top w:val="none" w:sz="0" w:space="0" w:color="auto"/>
        <w:left w:val="none" w:sz="0" w:space="0" w:color="auto"/>
        <w:bottom w:val="none" w:sz="0" w:space="0" w:color="auto"/>
        <w:right w:val="none" w:sz="0" w:space="0" w:color="auto"/>
      </w:divBdr>
    </w:div>
    <w:div w:id="25522088">
      <w:bodyDiv w:val="1"/>
      <w:marLeft w:val="0"/>
      <w:marRight w:val="0"/>
      <w:marTop w:val="0"/>
      <w:marBottom w:val="0"/>
      <w:divBdr>
        <w:top w:val="none" w:sz="0" w:space="0" w:color="auto"/>
        <w:left w:val="none" w:sz="0" w:space="0" w:color="auto"/>
        <w:bottom w:val="none" w:sz="0" w:space="0" w:color="auto"/>
        <w:right w:val="none" w:sz="0" w:space="0" w:color="auto"/>
      </w:divBdr>
    </w:div>
    <w:div w:id="25720425">
      <w:bodyDiv w:val="1"/>
      <w:marLeft w:val="0"/>
      <w:marRight w:val="0"/>
      <w:marTop w:val="0"/>
      <w:marBottom w:val="0"/>
      <w:divBdr>
        <w:top w:val="none" w:sz="0" w:space="0" w:color="auto"/>
        <w:left w:val="none" w:sz="0" w:space="0" w:color="auto"/>
        <w:bottom w:val="none" w:sz="0" w:space="0" w:color="auto"/>
        <w:right w:val="none" w:sz="0" w:space="0" w:color="auto"/>
      </w:divBdr>
    </w:div>
    <w:div w:id="26564310">
      <w:bodyDiv w:val="1"/>
      <w:marLeft w:val="0"/>
      <w:marRight w:val="0"/>
      <w:marTop w:val="0"/>
      <w:marBottom w:val="0"/>
      <w:divBdr>
        <w:top w:val="none" w:sz="0" w:space="0" w:color="auto"/>
        <w:left w:val="none" w:sz="0" w:space="0" w:color="auto"/>
        <w:bottom w:val="none" w:sz="0" w:space="0" w:color="auto"/>
        <w:right w:val="none" w:sz="0" w:space="0" w:color="auto"/>
      </w:divBdr>
    </w:div>
    <w:div w:id="31922970">
      <w:bodyDiv w:val="1"/>
      <w:marLeft w:val="0"/>
      <w:marRight w:val="0"/>
      <w:marTop w:val="0"/>
      <w:marBottom w:val="0"/>
      <w:divBdr>
        <w:top w:val="none" w:sz="0" w:space="0" w:color="auto"/>
        <w:left w:val="none" w:sz="0" w:space="0" w:color="auto"/>
        <w:bottom w:val="none" w:sz="0" w:space="0" w:color="auto"/>
        <w:right w:val="none" w:sz="0" w:space="0" w:color="auto"/>
      </w:divBdr>
    </w:div>
    <w:div w:id="39524499">
      <w:bodyDiv w:val="1"/>
      <w:marLeft w:val="0"/>
      <w:marRight w:val="0"/>
      <w:marTop w:val="0"/>
      <w:marBottom w:val="0"/>
      <w:divBdr>
        <w:top w:val="none" w:sz="0" w:space="0" w:color="auto"/>
        <w:left w:val="none" w:sz="0" w:space="0" w:color="auto"/>
        <w:bottom w:val="none" w:sz="0" w:space="0" w:color="auto"/>
        <w:right w:val="none" w:sz="0" w:space="0" w:color="auto"/>
      </w:divBdr>
    </w:div>
    <w:div w:id="41246905">
      <w:bodyDiv w:val="1"/>
      <w:marLeft w:val="0"/>
      <w:marRight w:val="0"/>
      <w:marTop w:val="0"/>
      <w:marBottom w:val="0"/>
      <w:divBdr>
        <w:top w:val="none" w:sz="0" w:space="0" w:color="auto"/>
        <w:left w:val="none" w:sz="0" w:space="0" w:color="auto"/>
        <w:bottom w:val="none" w:sz="0" w:space="0" w:color="auto"/>
        <w:right w:val="none" w:sz="0" w:space="0" w:color="auto"/>
      </w:divBdr>
    </w:div>
    <w:div w:id="41905760">
      <w:bodyDiv w:val="1"/>
      <w:marLeft w:val="0"/>
      <w:marRight w:val="0"/>
      <w:marTop w:val="0"/>
      <w:marBottom w:val="0"/>
      <w:divBdr>
        <w:top w:val="none" w:sz="0" w:space="0" w:color="auto"/>
        <w:left w:val="none" w:sz="0" w:space="0" w:color="auto"/>
        <w:bottom w:val="none" w:sz="0" w:space="0" w:color="auto"/>
        <w:right w:val="none" w:sz="0" w:space="0" w:color="auto"/>
      </w:divBdr>
    </w:div>
    <w:div w:id="42482993">
      <w:bodyDiv w:val="1"/>
      <w:marLeft w:val="0"/>
      <w:marRight w:val="0"/>
      <w:marTop w:val="0"/>
      <w:marBottom w:val="0"/>
      <w:divBdr>
        <w:top w:val="none" w:sz="0" w:space="0" w:color="auto"/>
        <w:left w:val="none" w:sz="0" w:space="0" w:color="auto"/>
        <w:bottom w:val="none" w:sz="0" w:space="0" w:color="auto"/>
        <w:right w:val="none" w:sz="0" w:space="0" w:color="auto"/>
      </w:divBdr>
    </w:div>
    <w:div w:id="42680500">
      <w:bodyDiv w:val="1"/>
      <w:marLeft w:val="0"/>
      <w:marRight w:val="0"/>
      <w:marTop w:val="0"/>
      <w:marBottom w:val="0"/>
      <w:divBdr>
        <w:top w:val="none" w:sz="0" w:space="0" w:color="auto"/>
        <w:left w:val="none" w:sz="0" w:space="0" w:color="auto"/>
        <w:bottom w:val="none" w:sz="0" w:space="0" w:color="auto"/>
        <w:right w:val="none" w:sz="0" w:space="0" w:color="auto"/>
      </w:divBdr>
    </w:div>
    <w:div w:id="43019393">
      <w:bodyDiv w:val="1"/>
      <w:marLeft w:val="0"/>
      <w:marRight w:val="0"/>
      <w:marTop w:val="0"/>
      <w:marBottom w:val="0"/>
      <w:divBdr>
        <w:top w:val="none" w:sz="0" w:space="0" w:color="auto"/>
        <w:left w:val="none" w:sz="0" w:space="0" w:color="auto"/>
        <w:bottom w:val="none" w:sz="0" w:space="0" w:color="auto"/>
        <w:right w:val="none" w:sz="0" w:space="0" w:color="auto"/>
      </w:divBdr>
    </w:div>
    <w:div w:id="47775967">
      <w:bodyDiv w:val="1"/>
      <w:marLeft w:val="0"/>
      <w:marRight w:val="0"/>
      <w:marTop w:val="0"/>
      <w:marBottom w:val="0"/>
      <w:divBdr>
        <w:top w:val="none" w:sz="0" w:space="0" w:color="auto"/>
        <w:left w:val="none" w:sz="0" w:space="0" w:color="auto"/>
        <w:bottom w:val="none" w:sz="0" w:space="0" w:color="auto"/>
        <w:right w:val="none" w:sz="0" w:space="0" w:color="auto"/>
      </w:divBdr>
    </w:div>
    <w:div w:id="48458152">
      <w:bodyDiv w:val="1"/>
      <w:marLeft w:val="0"/>
      <w:marRight w:val="0"/>
      <w:marTop w:val="0"/>
      <w:marBottom w:val="0"/>
      <w:divBdr>
        <w:top w:val="none" w:sz="0" w:space="0" w:color="auto"/>
        <w:left w:val="none" w:sz="0" w:space="0" w:color="auto"/>
        <w:bottom w:val="none" w:sz="0" w:space="0" w:color="auto"/>
        <w:right w:val="none" w:sz="0" w:space="0" w:color="auto"/>
      </w:divBdr>
    </w:div>
    <w:div w:id="55475782">
      <w:bodyDiv w:val="1"/>
      <w:marLeft w:val="0"/>
      <w:marRight w:val="0"/>
      <w:marTop w:val="0"/>
      <w:marBottom w:val="0"/>
      <w:divBdr>
        <w:top w:val="none" w:sz="0" w:space="0" w:color="auto"/>
        <w:left w:val="none" w:sz="0" w:space="0" w:color="auto"/>
        <w:bottom w:val="none" w:sz="0" w:space="0" w:color="auto"/>
        <w:right w:val="none" w:sz="0" w:space="0" w:color="auto"/>
      </w:divBdr>
    </w:div>
    <w:div w:id="57479807">
      <w:bodyDiv w:val="1"/>
      <w:marLeft w:val="0"/>
      <w:marRight w:val="0"/>
      <w:marTop w:val="0"/>
      <w:marBottom w:val="0"/>
      <w:divBdr>
        <w:top w:val="none" w:sz="0" w:space="0" w:color="auto"/>
        <w:left w:val="none" w:sz="0" w:space="0" w:color="auto"/>
        <w:bottom w:val="none" w:sz="0" w:space="0" w:color="auto"/>
        <w:right w:val="none" w:sz="0" w:space="0" w:color="auto"/>
      </w:divBdr>
    </w:div>
    <w:div w:id="59250969">
      <w:bodyDiv w:val="1"/>
      <w:marLeft w:val="0"/>
      <w:marRight w:val="0"/>
      <w:marTop w:val="0"/>
      <w:marBottom w:val="0"/>
      <w:divBdr>
        <w:top w:val="none" w:sz="0" w:space="0" w:color="auto"/>
        <w:left w:val="none" w:sz="0" w:space="0" w:color="auto"/>
        <w:bottom w:val="none" w:sz="0" w:space="0" w:color="auto"/>
        <w:right w:val="none" w:sz="0" w:space="0" w:color="auto"/>
      </w:divBdr>
    </w:div>
    <w:div w:id="61681290">
      <w:bodyDiv w:val="1"/>
      <w:marLeft w:val="0"/>
      <w:marRight w:val="0"/>
      <w:marTop w:val="0"/>
      <w:marBottom w:val="0"/>
      <w:divBdr>
        <w:top w:val="none" w:sz="0" w:space="0" w:color="auto"/>
        <w:left w:val="none" w:sz="0" w:space="0" w:color="auto"/>
        <w:bottom w:val="none" w:sz="0" w:space="0" w:color="auto"/>
        <w:right w:val="none" w:sz="0" w:space="0" w:color="auto"/>
      </w:divBdr>
    </w:div>
    <w:div w:id="63989904">
      <w:bodyDiv w:val="1"/>
      <w:marLeft w:val="0"/>
      <w:marRight w:val="0"/>
      <w:marTop w:val="0"/>
      <w:marBottom w:val="0"/>
      <w:divBdr>
        <w:top w:val="none" w:sz="0" w:space="0" w:color="auto"/>
        <w:left w:val="none" w:sz="0" w:space="0" w:color="auto"/>
        <w:bottom w:val="none" w:sz="0" w:space="0" w:color="auto"/>
        <w:right w:val="none" w:sz="0" w:space="0" w:color="auto"/>
      </w:divBdr>
    </w:div>
    <w:div w:id="66652399">
      <w:bodyDiv w:val="1"/>
      <w:marLeft w:val="0"/>
      <w:marRight w:val="0"/>
      <w:marTop w:val="0"/>
      <w:marBottom w:val="0"/>
      <w:divBdr>
        <w:top w:val="none" w:sz="0" w:space="0" w:color="auto"/>
        <w:left w:val="none" w:sz="0" w:space="0" w:color="auto"/>
        <w:bottom w:val="none" w:sz="0" w:space="0" w:color="auto"/>
        <w:right w:val="none" w:sz="0" w:space="0" w:color="auto"/>
      </w:divBdr>
    </w:div>
    <w:div w:id="71437692">
      <w:bodyDiv w:val="1"/>
      <w:marLeft w:val="0"/>
      <w:marRight w:val="0"/>
      <w:marTop w:val="0"/>
      <w:marBottom w:val="0"/>
      <w:divBdr>
        <w:top w:val="none" w:sz="0" w:space="0" w:color="auto"/>
        <w:left w:val="none" w:sz="0" w:space="0" w:color="auto"/>
        <w:bottom w:val="none" w:sz="0" w:space="0" w:color="auto"/>
        <w:right w:val="none" w:sz="0" w:space="0" w:color="auto"/>
      </w:divBdr>
    </w:div>
    <w:div w:id="73626598">
      <w:bodyDiv w:val="1"/>
      <w:marLeft w:val="0"/>
      <w:marRight w:val="0"/>
      <w:marTop w:val="0"/>
      <w:marBottom w:val="0"/>
      <w:divBdr>
        <w:top w:val="none" w:sz="0" w:space="0" w:color="auto"/>
        <w:left w:val="none" w:sz="0" w:space="0" w:color="auto"/>
        <w:bottom w:val="none" w:sz="0" w:space="0" w:color="auto"/>
        <w:right w:val="none" w:sz="0" w:space="0" w:color="auto"/>
      </w:divBdr>
    </w:div>
    <w:div w:id="75324999">
      <w:bodyDiv w:val="1"/>
      <w:marLeft w:val="0"/>
      <w:marRight w:val="0"/>
      <w:marTop w:val="0"/>
      <w:marBottom w:val="0"/>
      <w:divBdr>
        <w:top w:val="none" w:sz="0" w:space="0" w:color="auto"/>
        <w:left w:val="none" w:sz="0" w:space="0" w:color="auto"/>
        <w:bottom w:val="none" w:sz="0" w:space="0" w:color="auto"/>
        <w:right w:val="none" w:sz="0" w:space="0" w:color="auto"/>
      </w:divBdr>
    </w:div>
    <w:div w:id="76486077">
      <w:bodyDiv w:val="1"/>
      <w:marLeft w:val="0"/>
      <w:marRight w:val="0"/>
      <w:marTop w:val="0"/>
      <w:marBottom w:val="0"/>
      <w:divBdr>
        <w:top w:val="none" w:sz="0" w:space="0" w:color="auto"/>
        <w:left w:val="none" w:sz="0" w:space="0" w:color="auto"/>
        <w:bottom w:val="none" w:sz="0" w:space="0" w:color="auto"/>
        <w:right w:val="none" w:sz="0" w:space="0" w:color="auto"/>
      </w:divBdr>
    </w:div>
    <w:div w:id="77795859">
      <w:bodyDiv w:val="1"/>
      <w:marLeft w:val="0"/>
      <w:marRight w:val="0"/>
      <w:marTop w:val="0"/>
      <w:marBottom w:val="0"/>
      <w:divBdr>
        <w:top w:val="none" w:sz="0" w:space="0" w:color="auto"/>
        <w:left w:val="none" w:sz="0" w:space="0" w:color="auto"/>
        <w:bottom w:val="none" w:sz="0" w:space="0" w:color="auto"/>
        <w:right w:val="none" w:sz="0" w:space="0" w:color="auto"/>
      </w:divBdr>
    </w:div>
    <w:div w:id="80375822">
      <w:bodyDiv w:val="1"/>
      <w:marLeft w:val="0"/>
      <w:marRight w:val="0"/>
      <w:marTop w:val="0"/>
      <w:marBottom w:val="0"/>
      <w:divBdr>
        <w:top w:val="none" w:sz="0" w:space="0" w:color="auto"/>
        <w:left w:val="none" w:sz="0" w:space="0" w:color="auto"/>
        <w:bottom w:val="none" w:sz="0" w:space="0" w:color="auto"/>
        <w:right w:val="none" w:sz="0" w:space="0" w:color="auto"/>
      </w:divBdr>
    </w:div>
    <w:div w:id="80376518">
      <w:bodyDiv w:val="1"/>
      <w:marLeft w:val="0"/>
      <w:marRight w:val="0"/>
      <w:marTop w:val="0"/>
      <w:marBottom w:val="0"/>
      <w:divBdr>
        <w:top w:val="none" w:sz="0" w:space="0" w:color="auto"/>
        <w:left w:val="none" w:sz="0" w:space="0" w:color="auto"/>
        <w:bottom w:val="none" w:sz="0" w:space="0" w:color="auto"/>
        <w:right w:val="none" w:sz="0" w:space="0" w:color="auto"/>
      </w:divBdr>
    </w:div>
    <w:div w:id="86585123">
      <w:bodyDiv w:val="1"/>
      <w:marLeft w:val="0"/>
      <w:marRight w:val="0"/>
      <w:marTop w:val="0"/>
      <w:marBottom w:val="0"/>
      <w:divBdr>
        <w:top w:val="none" w:sz="0" w:space="0" w:color="auto"/>
        <w:left w:val="none" w:sz="0" w:space="0" w:color="auto"/>
        <w:bottom w:val="none" w:sz="0" w:space="0" w:color="auto"/>
        <w:right w:val="none" w:sz="0" w:space="0" w:color="auto"/>
      </w:divBdr>
    </w:div>
    <w:div w:id="8815807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16663">
      <w:bodyDiv w:val="1"/>
      <w:marLeft w:val="0"/>
      <w:marRight w:val="0"/>
      <w:marTop w:val="0"/>
      <w:marBottom w:val="0"/>
      <w:divBdr>
        <w:top w:val="none" w:sz="0" w:space="0" w:color="auto"/>
        <w:left w:val="none" w:sz="0" w:space="0" w:color="auto"/>
        <w:bottom w:val="none" w:sz="0" w:space="0" w:color="auto"/>
        <w:right w:val="none" w:sz="0" w:space="0" w:color="auto"/>
      </w:divBdr>
    </w:div>
    <w:div w:id="92213746">
      <w:bodyDiv w:val="1"/>
      <w:marLeft w:val="0"/>
      <w:marRight w:val="0"/>
      <w:marTop w:val="0"/>
      <w:marBottom w:val="0"/>
      <w:divBdr>
        <w:top w:val="none" w:sz="0" w:space="0" w:color="auto"/>
        <w:left w:val="none" w:sz="0" w:space="0" w:color="auto"/>
        <w:bottom w:val="none" w:sz="0" w:space="0" w:color="auto"/>
        <w:right w:val="none" w:sz="0" w:space="0" w:color="auto"/>
      </w:divBdr>
    </w:div>
    <w:div w:id="92432761">
      <w:bodyDiv w:val="1"/>
      <w:marLeft w:val="0"/>
      <w:marRight w:val="0"/>
      <w:marTop w:val="0"/>
      <w:marBottom w:val="0"/>
      <w:divBdr>
        <w:top w:val="none" w:sz="0" w:space="0" w:color="auto"/>
        <w:left w:val="none" w:sz="0" w:space="0" w:color="auto"/>
        <w:bottom w:val="none" w:sz="0" w:space="0" w:color="auto"/>
        <w:right w:val="none" w:sz="0" w:space="0" w:color="auto"/>
      </w:divBdr>
    </w:div>
    <w:div w:id="93402062">
      <w:bodyDiv w:val="1"/>
      <w:marLeft w:val="0"/>
      <w:marRight w:val="0"/>
      <w:marTop w:val="0"/>
      <w:marBottom w:val="0"/>
      <w:divBdr>
        <w:top w:val="none" w:sz="0" w:space="0" w:color="auto"/>
        <w:left w:val="none" w:sz="0" w:space="0" w:color="auto"/>
        <w:bottom w:val="none" w:sz="0" w:space="0" w:color="auto"/>
        <w:right w:val="none" w:sz="0" w:space="0" w:color="auto"/>
      </w:divBdr>
    </w:div>
    <w:div w:id="95634197">
      <w:bodyDiv w:val="1"/>
      <w:marLeft w:val="0"/>
      <w:marRight w:val="0"/>
      <w:marTop w:val="0"/>
      <w:marBottom w:val="0"/>
      <w:divBdr>
        <w:top w:val="none" w:sz="0" w:space="0" w:color="auto"/>
        <w:left w:val="none" w:sz="0" w:space="0" w:color="auto"/>
        <w:bottom w:val="none" w:sz="0" w:space="0" w:color="auto"/>
        <w:right w:val="none" w:sz="0" w:space="0" w:color="auto"/>
      </w:divBdr>
    </w:div>
    <w:div w:id="98793288">
      <w:bodyDiv w:val="1"/>
      <w:marLeft w:val="0"/>
      <w:marRight w:val="0"/>
      <w:marTop w:val="0"/>
      <w:marBottom w:val="0"/>
      <w:divBdr>
        <w:top w:val="none" w:sz="0" w:space="0" w:color="auto"/>
        <w:left w:val="none" w:sz="0" w:space="0" w:color="auto"/>
        <w:bottom w:val="none" w:sz="0" w:space="0" w:color="auto"/>
        <w:right w:val="none" w:sz="0" w:space="0" w:color="auto"/>
      </w:divBdr>
    </w:div>
    <w:div w:id="103883530">
      <w:bodyDiv w:val="1"/>
      <w:marLeft w:val="0"/>
      <w:marRight w:val="0"/>
      <w:marTop w:val="0"/>
      <w:marBottom w:val="0"/>
      <w:divBdr>
        <w:top w:val="none" w:sz="0" w:space="0" w:color="auto"/>
        <w:left w:val="none" w:sz="0" w:space="0" w:color="auto"/>
        <w:bottom w:val="none" w:sz="0" w:space="0" w:color="auto"/>
        <w:right w:val="none" w:sz="0" w:space="0" w:color="auto"/>
      </w:divBdr>
    </w:div>
    <w:div w:id="107822806">
      <w:bodyDiv w:val="1"/>
      <w:marLeft w:val="0"/>
      <w:marRight w:val="0"/>
      <w:marTop w:val="0"/>
      <w:marBottom w:val="0"/>
      <w:divBdr>
        <w:top w:val="none" w:sz="0" w:space="0" w:color="auto"/>
        <w:left w:val="none" w:sz="0" w:space="0" w:color="auto"/>
        <w:bottom w:val="none" w:sz="0" w:space="0" w:color="auto"/>
        <w:right w:val="none" w:sz="0" w:space="0" w:color="auto"/>
      </w:divBdr>
    </w:div>
    <w:div w:id="111096623">
      <w:bodyDiv w:val="1"/>
      <w:marLeft w:val="0"/>
      <w:marRight w:val="0"/>
      <w:marTop w:val="0"/>
      <w:marBottom w:val="0"/>
      <w:divBdr>
        <w:top w:val="none" w:sz="0" w:space="0" w:color="auto"/>
        <w:left w:val="none" w:sz="0" w:space="0" w:color="auto"/>
        <w:bottom w:val="none" w:sz="0" w:space="0" w:color="auto"/>
        <w:right w:val="none" w:sz="0" w:space="0" w:color="auto"/>
      </w:divBdr>
    </w:div>
    <w:div w:id="112096937">
      <w:bodyDiv w:val="1"/>
      <w:marLeft w:val="0"/>
      <w:marRight w:val="0"/>
      <w:marTop w:val="0"/>
      <w:marBottom w:val="0"/>
      <w:divBdr>
        <w:top w:val="none" w:sz="0" w:space="0" w:color="auto"/>
        <w:left w:val="none" w:sz="0" w:space="0" w:color="auto"/>
        <w:bottom w:val="none" w:sz="0" w:space="0" w:color="auto"/>
        <w:right w:val="none" w:sz="0" w:space="0" w:color="auto"/>
      </w:divBdr>
    </w:div>
    <w:div w:id="114639866">
      <w:bodyDiv w:val="1"/>
      <w:marLeft w:val="0"/>
      <w:marRight w:val="0"/>
      <w:marTop w:val="0"/>
      <w:marBottom w:val="0"/>
      <w:divBdr>
        <w:top w:val="none" w:sz="0" w:space="0" w:color="auto"/>
        <w:left w:val="none" w:sz="0" w:space="0" w:color="auto"/>
        <w:bottom w:val="none" w:sz="0" w:space="0" w:color="auto"/>
        <w:right w:val="none" w:sz="0" w:space="0" w:color="auto"/>
      </w:divBdr>
    </w:div>
    <w:div w:id="116265391">
      <w:bodyDiv w:val="1"/>
      <w:marLeft w:val="0"/>
      <w:marRight w:val="0"/>
      <w:marTop w:val="0"/>
      <w:marBottom w:val="0"/>
      <w:divBdr>
        <w:top w:val="none" w:sz="0" w:space="0" w:color="auto"/>
        <w:left w:val="none" w:sz="0" w:space="0" w:color="auto"/>
        <w:bottom w:val="none" w:sz="0" w:space="0" w:color="auto"/>
        <w:right w:val="none" w:sz="0" w:space="0" w:color="auto"/>
      </w:divBdr>
    </w:div>
    <w:div w:id="118501978">
      <w:bodyDiv w:val="1"/>
      <w:marLeft w:val="0"/>
      <w:marRight w:val="0"/>
      <w:marTop w:val="0"/>
      <w:marBottom w:val="0"/>
      <w:divBdr>
        <w:top w:val="none" w:sz="0" w:space="0" w:color="auto"/>
        <w:left w:val="none" w:sz="0" w:space="0" w:color="auto"/>
        <w:bottom w:val="none" w:sz="0" w:space="0" w:color="auto"/>
        <w:right w:val="none" w:sz="0" w:space="0" w:color="auto"/>
      </w:divBdr>
    </w:div>
    <w:div w:id="119540793">
      <w:bodyDiv w:val="1"/>
      <w:marLeft w:val="0"/>
      <w:marRight w:val="0"/>
      <w:marTop w:val="0"/>
      <w:marBottom w:val="0"/>
      <w:divBdr>
        <w:top w:val="none" w:sz="0" w:space="0" w:color="auto"/>
        <w:left w:val="none" w:sz="0" w:space="0" w:color="auto"/>
        <w:bottom w:val="none" w:sz="0" w:space="0" w:color="auto"/>
        <w:right w:val="none" w:sz="0" w:space="0" w:color="auto"/>
      </w:divBdr>
    </w:div>
    <w:div w:id="119807681">
      <w:bodyDiv w:val="1"/>
      <w:marLeft w:val="0"/>
      <w:marRight w:val="0"/>
      <w:marTop w:val="0"/>
      <w:marBottom w:val="0"/>
      <w:divBdr>
        <w:top w:val="none" w:sz="0" w:space="0" w:color="auto"/>
        <w:left w:val="none" w:sz="0" w:space="0" w:color="auto"/>
        <w:bottom w:val="none" w:sz="0" w:space="0" w:color="auto"/>
        <w:right w:val="none" w:sz="0" w:space="0" w:color="auto"/>
      </w:divBdr>
    </w:div>
    <w:div w:id="125200621">
      <w:bodyDiv w:val="1"/>
      <w:marLeft w:val="0"/>
      <w:marRight w:val="0"/>
      <w:marTop w:val="0"/>
      <w:marBottom w:val="0"/>
      <w:divBdr>
        <w:top w:val="none" w:sz="0" w:space="0" w:color="auto"/>
        <w:left w:val="none" w:sz="0" w:space="0" w:color="auto"/>
        <w:bottom w:val="none" w:sz="0" w:space="0" w:color="auto"/>
        <w:right w:val="none" w:sz="0" w:space="0" w:color="auto"/>
      </w:divBdr>
    </w:div>
    <w:div w:id="131562702">
      <w:bodyDiv w:val="1"/>
      <w:marLeft w:val="0"/>
      <w:marRight w:val="0"/>
      <w:marTop w:val="0"/>
      <w:marBottom w:val="0"/>
      <w:divBdr>
        <w:top w:val="none" w:sz="0" w:space="0" w:color="auto"/>
        <w:left w:val="none" w:sz="0" w:space="0" w:color="auto"/>
        <w:bottom w:val="none" w:sz="0" w:space="0" w:color="auto"/>
        <w:right w:val="none" w:sz="0" w:space="0" w:color="auto"/>
      </w:divBdr>
    </w:div>
    <w:div w:id="131800564">
      <w:bodyDiv w:val="1"/>
      <w:marLeft w:val="0"/>
      <w:marRight w:val="0"/>
      <w:marTop w:val="0"/>
      <w:marBottom w:val="0"/>
      <w:divBdr>
        <w:top w:val="none" w:sz="0" w:space="0" w:color="auto"/>
        <w:left w:val="none" w:sz="0" w:space="0" w:color="auto"/>
        <w:bottom w:val="none" w:sz="0" w:space="0" w:color="auto"/>
        <w:right w:val="none" w:sz="0" w:space="0" w:color="auto"/>
      </w:divBdr>
    </w:div>
    <w:div w:id="134102489">
      <w:bodyDiv w:val="1"/>
      <w:marLeft w:val="0"/>
      <w:marRight w:val="0"/>
      <w:marTop w:val="0"/>
      <w:marBottom w:val="0"/>
      <w:divBdr>
        <w:top w:val="none" w:sz="0" w:space="0" w:color="auto"/>
        <w:left w:val="none" w:sz="0" w:space="0" w:color="auto"/>
        <w:bottom w:val="none" w:sz="0" w:space="0" w:color="auto"/>
        <w:right w:val="none" w:sz="0" w:space="0" w:color="auto"/>
      </w:divBdr>
    </w:div>
    <w:div w:id="134182352">
      <w:bodyDiv w:val="1"/>
      <w:marLeft w:val="0"/>
      <w:marRight w:val="0"/>
      <w:marTop w:val="0"/>
      <w:marBottom w:val="0"/>
      <w:divBdr>
        <w:top w:val="none" w:sz="0" w:space="0" w:color="auto"/>
        <w:left w:val="none" w:sz="0" w:space="0" w:color="auto"/>
        <w:bottom w:val="none" w:sz="0" w:space="0" w:color="auto"/>
        <w:right w:val="none" w:sz="0" w:space="0" w:color="auto"/>
      </w:divBdr>
    </w:div>
    <w:div w:id="135606278">
      <w:bodyDiv w:val="1"/>
      <w:marLeft w:val="0"/>
      <w:marRight w:val="0"/>
      <w:marTop w:val="0"/>
      <w:marBottom w:val="0"/>
      <w:divBdr>
        <w:top w:val="none" w:sz="0" w:space="0" w:color="auto"/>
        <w:left w:val="none" w:sz="0" w:space="0" w:color="auto"/>
        <w:bottom w:val="none" w:sz="0" w:space="0" w:color="auto"/>
        <w:right w:val="none" w:sz="0" w:space="0" w:color="auto"/>
      </w:divBdr>
    </w:div>
    <w:div w:id="139465196">
      <w:bodyDiv w:val="1"/>
      <w:marLeft w:val="0"/>
      <w:marRight w:val="0"/>
      <w:marTop w:val="0"/>
      <w:marBottom w:val="0"/>
      <w:divBdr>
        <w:top w:val="none" w:sz="0" w:space="0" w:color="auto"/>
        <w:left w:val="none" w:sz="0" w:space="0" w:color="auto"/>
        <w:bottom w:val="none" w:sz="0" w:space="0" w:color="auto"/>
        <w:right w:val="none" w:sz="0" w:space="0" w:color="auto"/>
      </w:divBdr>
    </w:div>
    <w:div w:id="141504873">
      <w:bodyDiv w:val="1"/>
      <w:marLeft w:val="0"/>
      <w:marRight w:val="0"/>
      <w:marTop w:val="0"/>
      <w:marBottom w:val="0"/>
      <w:divBdr>
        <w:top w:val="none" w:sz="0" w:space="0" w:color="auto"/>
        <w:left w:val="none" w:sz="0" w:space="0" w:color="auto"/>
        <w:bottom w:val="none" w:sz="0" w:space="0" w:color="auto"/>
        <w:right w:val="none" w:sz="0" w:space="0" w:color="auto"/>
      </w:divBdr>
    </w:div>
    <w:div w:id="144666431">
      <w:bodyDiv w:val="1"/>
      <w:marLeft w:val="0"/>
      <w:marRight w:val="0"/>
      <w:marTop w:val="0"/>
      <w:marBottom w:val="0"/>
      <w:divBdr>
        <w:top w:val="none" w:sz="0" w:space="0" w:color="auto"/>
        <w:left w:val="none" w:sz="0" w:space="0" w:color="auto"/>
        <w:bottom w:val="none" w:sz="0" w:space="0" w:color="auto"/>
        <w:right w:val="none" w:sz="0" w:space="0" w:color="auto"/>
      </w:divBdr>
    </w:div>
    <w:div w:id="146017614">
      <w:bodyDiv w:val="1"/>
      <w:marLeft w:val="0"/>
      <w:marRight w:val="0"/>
      <w:marTop w:val="0"/>
      <w:marBottom w:val="0"/>
      <w:divBdr>
        <w:top w:val="none" w:sz="0" w:space="0" w:color="auto"/>
        <w:left w:val="none" w:sz="0" w:space="0" w:color="auto"/>
        <w:bottom w:val="none" w:sz="0" w:space="0" w:color="auto"/>
        <w:right w:val="none" w:sz="0" w:space="0" w:color="auto"/>
      </w:divBdr>
    </w:div>
    <w:div w:id="146283513">
      <w:bodyDiv w:val="1"/>
      <w:marLeft w:val="0"/>
      <w:marRight w:val="0"/>
      <w:marTop w:val="0"/>
      <w:marBottom w:val="0"/>
      <w:divBdr>
        <w:top w:val="none" w:sz="0" w:space="0" w:color="auto"/>
        <w:left w:val="none" w:sz="0" w:space="0" w:color="auto"/>
        <w:bottom w:val="none" w:sz="0" w:space="0" w:color="auto"/>
        <w:right w:val="none" w:sz="0" w:space="0" w:color="auto"/>
      </w:divBdr>
    </w:div>
    <w:div w:id="148791622">
      <w:bodyDiv w:val="1"/>
      <w:marLeft w:val="0"/>
      <w:marRight w:val="0"/>
      <w:marTop w:val="0"/>
      <w:marBottom w:val="0"/>
      <w:divBdr>
        <w:top w:val="none" w:sz="0" w:space="0" w:color="auto"/>
        <w:left w:val="none" w:sz="0" w:space="0" w:color="auto"/>
        <w:bottom w:val="none" w:sz="0" w:space="0" w:color="auto"/>
        <w:right w:val="none" w:sz="0" w:space="0" w:color="auto"/>
      </w:divBdr>
    </w:div>
    <w:div w:id="151139985">
      <w:bodyDiv w:val="1"/>
      <w:marLeft w:val="0"/>
      <w:marRight w:val="0"/>
      <w:marTop w:val="0"/>
      <w:marBottom w:val="0"/>
      <w:divBdr>
        <w:top w:val="none" w:sz="0" w:space="0" w:color="auto"/>
        <w:left w:val="none" w:sz="0" w:space="0" w:color="auto"/>
        <w:bottom w:val="none" w:sz="0" w:space="0" w:color="auto"/>
        <w:right w:val="none" w:sz="0" w:space="0" w:color="auto"/>
      </w:divBdr>
    </w:div>
    <w:div w:id="151334949">
      <w:bodyDiv w:val="1"/>
      <w:marLeft w:val="0"/>
      <w:marRight w:val="0"/>
      <w:marTop w:val="0"/>
      <w:marBottom w:val="0"/>
      <w:divBdr>
        <w:top w:val="none" w:sz="0" w:space="0" w:color="auto"/>
        <w:left w:val="none" w:sz="0" w:space="0" w:color="auto"/>
        <w:bottom w:val="none" w:sz="0" w:space="0" w:color="auto"/>
        <w:right w:val="none" w:sz="0" w:space="0" w:color="auto"/>
      </w:divBdr>
    </w:div>
    <w:div w:id="156312942">
      <w:bodyDiv w:val="1"/>
      <w:marLeft w:val="0"/>
      <w:marRight w:val="0"/>
      <w:marTop w:val="0"/>
      <w:marBottom w:val="0"/>
      <w:divBdr>
        <w:top w:val="none" w:sz="0" w:space="0" w:color="auto"/>
        <w:left w:val="none" w:sz="0" w:space="0" w:color="auto"/>
        <w:bottom w:val="none" w:sz="0" w:space="0" w:color="auto"/>
        <w:right w:val="none" w:sz="0" w:space="0" w:color="auto"/>
      </w:divBdr>
    </w:div>
    <w:div w:id="158933089">
      <w:bodyDiv w:val="1"/>
      <w:marLeft w:val="0"/>
      <w:marRight w:val="0"/>
      <w:marTop w:val="0"/>
      <w:marBottom w:val="0"/>
      <w:divBdr>
        <w:top w:val="none" w:sz="0" w:space="0" w:color="auto"/>
        <w:left w:val="none" w:sz="0" w:space="0" w:color="auto"/>
        <w:bottom w:val="none" w:sz="0" w:space="0" w:color="auto"/>
        <w:right w:val="none" w:sz="0" w:space="0" w:color="auto"/>
      </w:divBdr>
    </w:div>
    <w:div w:id="160631356">
      <w:bodyDiv w:val="1"/>
      <w:marLeft w:val="0"/>
      <w:marRight w:val="0"/>
      <w:marTop w:val="0"/>
      <w:marBottom w:val="0"/>
      <w:divBdr>
        <w:top w:val="none" w:sz="0" w:space="0" w:color="auto"/>
        <w:left w:val="none" w:sz="0" w:space="0" w:color="auto"/>
        <w:bottom w:val="none" w:sz="0" w:space="0" w:color="auto"/>
        <w:right w:val="none" w:sz="0" w:space="0" w:color="auto"/>
      </w:divBdr>
    </w:div>
    <w:div w:id="162167052">
      <w:bodyDiv w:val="1"/>
      <w:marLeft w:val="0"/>
      <w:marRight w:val="0"/>
      <w:marTop w:val="0"/>
      <w:marBottom w:val="0"/>
      <w:divBdr>
        <w:top w:val="none" w:sz="0" w:space="0" w:color="auto"/>
        <w:left w:val="none" w:sz="0" w:space="0" w:color="auto"/>
        <w:bottom w:val="none" w:sz="0" w:space="0" w:color="auto"/>
        <w:right w:val="none" w:sz="0" w:space="0" w:color="auto"/>
      </w:divBdr>
    </w:div>
    <w:div w:id="163401042">
      <w:bodyDiv w:val="1"/>
      <w:marLeft w:val="0"/>
      <w:marRight w:val="0"/>
      <w:marTop w:val="0"/>
      <w:marBottom w:val="0"/>
      <w:divBdr>
        <w:top w:val="none" w:sz="0" w:space="0" w:color="auto"/>
        <w:left w:val="none" w:sz="0" w:space="0" w:color="auto"/>
        <w:bottom w:val="none" w:sz="0" w:space="0" w:color="auto"/>
        <w:right w:val="none" w:sz="0" w:space="0" w:color="auto"/>
      </w:divBdr>
    </w:div>
    <w:div w:id="165245649">
      <w:bodyDiv w:val="1"/>
      <w:marLeft w:val="0"/>
      <w:marRight w:val="0"/>
      <w:marTop w:val="0"/>
      <w:marBottom w:val="0"/>
      <w:divBdr>
        <w:top w:val="none" w:sz="0" w:space="0" w:color="auto"/>
        <w:left w:val="none" w:sz="0" w:space="0" w:color="auto"/>
        <w:bottom w:val="none" w:sz="0" w:space="0" w:color="auto"/>
        <w:right w:val="none" w:sz="0" w:space="0" w:color="auto"/>
      </w:divBdr>
    </w:div>
    <w:div w:id="167060251">
      <w:bodyDiv w:val="1"/>
      <w:marLeft w:val="0"/>
      <w:marRight w:val="0"/>
      <w:marTop w:val="0"/>
      <w:marBottom w:val="0"/>
      <w:divBdr>
        <w:top w:val="none" w:sz="0" w:space="0" w:color="auto"/>
        <w:left w:val="none" w:sz="0" w:space="0" w:color="auto"/>
        <w:bottom w:val="none" w:sz="0" w:space="0" w:color="auto"/>
        <w:right w:val="none" w:sz="0" w:space="0" w:color="auto"/>
      </w:divBdr>
    </w:div>
    <w:div w:id="168302660">
      <w:bodyDiv w:val="1"/>
      <w:marLeft w:val="0"/>
      <w:marRight w:val="0"/>
      <w:marTop w:val="0"/>
      <w:marBottom w:val="0"/>
      <w:divBdr>
        <w:top w:val="none" w:sz="0" w:space="0" w:color="auto"/>
        <w:left w:val="none" w:sz="0" w:space="0" w:color="auto"/>
        <w:bottom w:val="none" w:sz="0" w:space="0" w:color="auto"/>
        <w:right w:val="none" w:sz="0" w:space="0" w:color="auto"/>
      </w:divBdr>
    </w:div>
    <w:div w:id="169566518">
      <w:bodyDiv w:val="1"/>
      <w:marLeft w:val="0"/>
      <w:marRight w:val="0"/>
      <w:marTop w:val="0"/>
      <w:marBottom w:val="0"/>
      <w:divBdr>
        <w:top w:val="none" w:sz="0" w:space="0" w:color="auto"/>
        <w:left w:val="none" w:sz="0" w:space="0" w:color="auto"/>
        <w:bottom w:val="none" w:sz="0" w:space="0" w:color="auto"/>
        <w:right w:val="none" w:sz="0" w:space="0" w:color="auto"/>
      </w:divBdr>
    </w:div>
    <w:div w:id="169877659">
      <w:bodyDiv w:val="1"/>
      <w:marLeft w:val="0"/>
      <w:marRight w:val="0"/>
      <w:marTop w:val="0"/>
      <w:marBottom w:val="0"/>
      <w:divBdr>
        <w:top w:val="none" w:sz="0" w:space="0" w:color="auto"/>
        <w:left w:val="none" w:sz="0" w:space="0" w:color="auto"/>
        <w:bottom w:val="none" w:sz="0" w:space="0" w:color="auto"/>
        <w:right w:val="none" w:sz="0" w:space="0" w:color="auto"/>
      </w:divBdr>
    </w:div>
    <w:div w:id="175265685">
      <w:bodyDiv w:val="1"/>
      <w:marLeft w:val="0"/>
      <w:marRight w:val="0"/>
      <w:marTop w:val="0"/>
      <w:marBottom w:val="0"/>
      <w:divBdr>
        <w:top w:val="none" w:sz="0" w:space="0" w:color="auto"/>
        <w:left w:val="none" w:sz="0" w:space="0" w:color="auto"/>
        <w:bottom w:val="none" w:sz="0" w:space="0" w:color="auto"/>
        <w:right w:val="none" w:sz="0" w:space="0" w:color="auto"/>
      </w:divBdr>
    </w:div>
    <w:div w:id="194386397">
      <w:bodyDiv w:val="1"/>
      <w:marLeft w:val="0"/>
      <w:marRight w:val="0"/>
      <w:marTop w:val="0"/>
      <w:marBottom w:val="0"/>
      <w:divBdr>
        <w:top w:val="none" w:sz="0" w:space="0" w:color="auto"/>
        <w:left w:val="none" w:sz="0" w:space="0" w:color="auto"/>
        <w:bottom w:val="none" w:sz="0" w:space="0" w:color="auto"/>
        <w:right w:val="none" w:sz="0" w:space="0" w:color="auto"/>
      </w:divBdr>
    </w:div>
    <w:div w:id="194736945">
      <w:bodyDiv w:val="1"/>
      <w:marLeft w:val="0"/>
      <w:marRight w:val="0"/>
      <w:marTop w:val="0"/>
      <w:marBottom w:val="0"/>
      <w:divBdr>
        <w:top w:val="none" w:sz="0" w:space="0" w:color="auto"/>
        <w:left w:val="none" w:sz="0" w:space="0" w:color="auto"/>
        <w:bottom w:val="none" w:sz="0" w:space="0" w:color="auto"/>
        <w:right w:val="none" w:sz="0" w:space="0" w:color="auto"/>
      </w:divBdr>
    </w:div>
    <w:div w:id="195657260">
      <w:bodyDiv w:val="1"/>
      <w:marLeft w:val="0"/>
      <w:marRight w:val="0"/>
      <w:marTop w:val="0"/>
      <w:marBottom w:val="0"/>
      <w:divBdr>
        <w:top w:val="none" w:sz="0" w:space="0" w:color="auto"/>
        <w:left w:val="none" w:sz="0" w:space="0" w:color="auto"/>
        <w:bottom w:val="none" w:sz="0" w:space="0" w:color="auto"/>
        <w:right w:val="none" w:sz="0" w:space="0" w:color="auto"/>
      </w:divBdr>
    </w:div>
    <w:div w:id="197276480">
      <w:bodyDiv w:val="1"/>
      <w:marLeft w:val="0"/>
      <w:marRight w:val="0"/>
      <w:marTop w:val="0"/>
      <w:marBottom w:val="0"/>
      <w:divBdr>
        <w:top w:val="none" w:sz="0" w:space="0" w:color="auto"/>
        <w:left w:val="none" w:sz="0" w:space="0" w:color="auto"/>
        <w:bottom w:val="none" w:sz="0" w:space="0" w:color="auto"/>
        <w:right w:val="none" w:sz="0" w:space="0" w:color="auto"/>
      </w:divBdr>
    </w:div>
    <w:div w:id="197591212">
      <w:bodyDiv w:val="1"/>
      <w:marLeft w:val="0"/>
      <w:marRight w:val="0"/>
      <w:marTop w:val="0"/>
      <w:marBottom w:val="0"/>
      <w:divBdr>
        <w:top w:val="none" w:sz="0" w:space="0" w:color="auto"/>
        <w:left w:val="none" w:sz="0" w:space="0" w:color="auto"/>
        <w:bottom w:val="none" w:sz="0" w:space="0" w:color="auto"/>
        <w:right w:val="none" w:sz="0" w:space="0" w:color="auto"/>
      </w:divBdr>
    </w:div>
    <w:div w:id="20004783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7836192">
      <w:bodyDiv w:val="1"/>
      <w:marLeft w:val="0"/>
      <w:marRight w:val="0"/>
      <w:marTop w:val="0"/>
      <w:marBottom w:val="0"/>
      <w:divBdr>
        <w:top w:val="none" w:sz="0" w:space="0" w:color="auto"/>
        <w:left w:val="none" w:sz="0" w:space="0" w:color="auto"/>
        <w:bottom w:val="none" w:sz="0" w:space="0" w:color="auto"/>
        <w:right w:val="none" w:sz="0" w:space="0" w:color="auto"/>
      </w:divBdr>
    </w:div>
    <w:div w:id="208080005">
      <w:bodyDiv w:val="1"/>
      <w:marLeft w:val="0"/>
      <w:marRight w:val="0"/>
      <w:marTop w:val="0"/>
      <w:marBottom w:val="0"/>
      <w:divBdr>
        <w:top w:val="none" w:sz="0" w:space="0" w:color="auto"/>
        <w:left w:val="none" w:sz="0" w:space="0" w:color="auto"/>
        <w:bottom w:val="none" w:sz="0" w:space="0" w:color="auto"/>
        <w:right w:val="none" w:sz="0" w:space="0" w:color="auto"/>
      </w:divBdr>
    </w:div>
    <w:div w:id="208416178">
      <w:bodyDiv w:val="1"/>
      <w:marLeft w:val="0"/>
      <w:marRight w:val="0"/>
      <w:marTop w:val="0"/>
      <w:marBottom w:val="0"/>
      <w:divBdr>
        <w:top w:val="none" w:sz="0" w:space="0" w:color="auto"/>
        <w:left w:val="none" w:sz="0" w:space="0" w:color="auto"/>
        <w:bottom w:val="none" w:sz="0" w:space="0" w:color="auto"/>
        <w:right w:val="none" w:sz="0" w:space="0" w:color="auto"/>
      </w:divBdr>
    </w:div>
    <w:div w:id="209079430">
      <w:bodyDiv w:val="1"/>
      <w:marLeft w:val="0"/>
      <w:marRight w:val="0"/>
      <w:marTop w:val="0"/>
      <w:marBottom w:val="0"/>
      <w:divBdr>
        <w:top w:val="none" w:sz="0" w:space="0" w:color="auto"/>
        <w:left w:val="none" w:sz="0" w:space="0" w:color="auto"/>
        <w:bottom w:val="none" w:sz="0" w:space="0" w:color="auto"/>
        <w:right w:val="none" w:sz="0" w:space="0" w:color="auto"/>
      </w:divBdr>
    </w:div>
    <w:div w:id="211693576">
      <w:bodyDiv w:val="1"/>
      <w:marLeft w:val="0"/>
      <w:marRight w:val="0"/>
      <w:marTop w:val="0"/>
      <w:marBottom w:val="0"/>
      <w:divBdr>
        <w:top w:val="none" w:sz="0" w:space="0" w:color="auto"/>
        <w:left w:val="none" w:sz="0" w:space="0" w:color="auto"/>
        <w:bottom w:val="none" w:sz="0" w:space="0" w:color="auto"/>
        <w:right w:val="none" w:sz="0" w:space="0" w:color="auto"/>
      </w:divBdr>
    </w:div>
    <w:div w:id="212541234">
      <w:bodyDiv w:val="1"/>
      <w:marLeft w:val="0"/>
      <w:marRight w:val="0"/>
      <w:marTop w:val="0"/>
      <w:marBottom w:val="0"/>
      <w:divBdr>
        <w:top w:val="none" w:sz="0" w:space="0" w:color="auto"/>
        <w:left w:val="none" w:sz="0" w:space="0" w:color="auto"/>
        <w:bottom w:val="none" w:sz="0" w:space="0" w:color="auto"/>
        <w:right w:val="none" w:sz="0" w:space="0" w:color="auto"/>
      </w:divBdr>
    </w:div>
    <w:div w:id="216430394">
      <w:bodyDiv w:val="1"/>
      <w:marLeft w:val="0"/>
      <w:marRight w:val="0"/>
      <w:marTop w:val="0"/>
      <w:marBottom w:val="0"/>
      <w:divBdr>
        <w:top w:val="none" w:sz="0" w:space="0" w:color="auto"/>
        <w:left w:val="none" w:sz="0" w:space="0" w:color="auto"/>
        <w:bottom w:val="none" w:sz="0" w:space="0" w:color="auto"/>
        <w:right w:val="none" w:sz="0" w:space="0" w:color="auto"/>
      </w:divBdr>
    </w:div>
    <w:div w:id="216748116">
      <w:bodyDiv w:val="1"/>
      <w:marLeft w:val="0"/>
      <w:marRight w:val="0"/>
      <w:marTop w:val="0"/>
      <w:marBottom w:val="0"/>
      <w:divBdr>
        <w:top w:val="none" w:sz="0" w:space="0" w:color="auto"/>
        <w:left w:val="none" w:sz="0" w:space="0" w:color="auto"/>
        <w:bottom w:val="none" w:sz="0" w:space="0" w:color="auto"/>
        <w:right w:val="none" w:sz="0" w:space="0" w:color="auto"/>
      </w:divBdr>
    </w:div>
    <w:div w:id="217209824">
      <w:bodyDiv w:val="1"/>
      <w:marLeft w:val="0"/>
      <w:marRight w:val="0"/>
      <w:marTop w:val="0"/>
      <w:marBottom w:val="0"/>
      <w:divBdr>
        <w:top w:val="none" w:sz="0" w:space="0" w:color="auto"/>
        <w:left w:val="none" w:sz="0" w:space="0" w:color="auto"/>
        <w:bottom w:val="none" w:sz="0" w:space="0" w:color="auto"/>
        <w:right w:val="none" w:sz="0" w:space="0" w:color="auto"/>
      </w:divBdr>
    </w:div>
    <w:div w:id="220675161">
      <w:bodyDiv w:val="1"/>
      <w:marLeft w:val="0"/>
      <w:marRight w:val="0"/>
      <w:marTop w:val="0"/>
      <w:marBottom w:val="0"/>
      <w:divBdr>
        <w:top w:val="none" w:sz="0" w:space="0" w:color="auto"/>
        <w:left w:val="none" w:sz="0" w:space="0" w:color="auto"/>
        <w:bottom w:val="none" w:sz="0" w:space="0" w:color="auto"/>
        <w:right w:val="none" w:sz="0" w:space="0" w:color="auto"/>
      </w:divBdr>
    </w:div>
    <w:div w:id="220797284">
      <w:bodyDiv w:val="1"/>
      <w:marLeft w:val="0"/>
      <w:marRight w:val="0"/>
      <w:marTop w:val="0"/>
      <w:marBottom w:val="0"/>
      <w:divBdr>
        <w:top w:val="none" w:sz="0" w:space="0" w:color="auto"/>
        <w:left w:val="none" w:sz="0" w:space="0" w:color="auto"/>
        <w:bottom w:val="none" w:sz="0" w:space="0" w:color="auto"/>
        <w:right w:val="none" w:sz="0" w:space="0" w:color="auto"/>
      </w:divBdr>
    </w:div>
    <w:div w:id="222260062">
      <w:bodyDiv w:val="1"/>
      <w:marLeft w:val="0"/>
      <w:marRight w:val="0"/>
      <w:marTop w:val="0"/>
      <w:marBottom w:val="0"/>
      <w:divBdr>
        <w:top w:val="none" w:sz="0" w:space="0" w:color="auto"/>
        <w:left w:val="none" w:sz="0" w:space="0" w:color="auto"/>
        <w:bottom w:val="none" w:sz="0" w:space="0" w:color="auto"/>
        <w:right w:val="none" w:sz="0" w:space="0" w:color="auto"/>
      </w:divBdr>
    </w:div>
    <w:div w:id="226307091">
      <w:bodyDiv w:val="1"/>
      <w:marLeft w:val="0"/>
      <w:marRight w:val="0"/>
      <w:marTop w:val="0"/>
      <w:marBottom w:val="0"/>
      <w:divBdr>
        <w:top w:val="none" w:sz="0" w:space="0" w:color="auto"/>
        <w:left w:val="none" w:sz="0" w:space="0" w:color="auto"/>
        <w:bottom w:val="none" w:sz="0" w:space="0" w:color="auto"/>
        <w:right w:val="none" w:sz="0" w:space="0" w:color="auto"/>
      </w:divBdr>
    </w:div>
    <w:div w:id="228536106">
      <w:bodyDiv w:val="1"/>
      <w:marLeft w:val="0"/>
      <w:marRight w:val="0"/>
      <w:marTop w:val="0"/>
      <w:marBottom w:val="0"/>
      <w:divBdr>
        <w:top w:val="none" w:sz="0" w:space="0" w:color="auto"/>
        <w:left w:val="none" w:sz="0" w:space="0" w:color="auto"/>
        <w:bottom w:val="none" w:sz="0" w:space="0" w:color="auto"/>
        <w:right w:val="none" w:sz="0" w:space="0" w:color="auto"/>
      </w:divBdr>
    </w:div>
    <w:div w:id="230117943">
      <w:bodyDiv w:val="1"/>
      <w:marLeft w:val="0"/>
      <w:marRight w:val="0"/>
      <w:marTop w:val="0"/>
      <w:marBottom w:val="0"/>
      <w:divBdr>
        <w:top w:val="none" w:sz="0" w:space="0" w:color="auto"/>
        <w:left w:val="none" w:sz="0" w:space="0" w:color="auto"/>
        <w:bottom w:val="none" w:sz="0" w:space="0" w:color="auto"/>
        <w:right w:val="none" w:sz="0" w:space="0" w:color="auto"/>
      </w:divBdr>
    </w:div>
    <w:div w:id="231549632">
      <w:bodyDiv w:val="1"/>
      <w:marLeft w:val="0"/>
      <w:marRight w:val="0"/>
      <w:marTop w:val="0"/>
      <w:marBottom w:val="0"/>
      <w:divBdr>
        <w:top w:val="none" w:sz="0" w:space="0" w:color="auto"/>
        <w:left w:val="none" w:sz="0" w:space="0" w:color="auto"/>
        <w:bottom w:val="none" w:sz="0" w:space="0" w:color="auto"/>
        <w:right w:val="none" w:sz="0" w:space="0" w:color="auto"/>
      </w:divBdr>
    </w:div>
    <w:div w:id="236012998">
      <w:bodyDiv w:val="1"/>
      <w:marLeft w:val="0"/>
      <w:marRight w:val="0"/>
      <w:marTop w:val="0"/>
      <w:marBottom w:val="0"/>
      <w:divBdr>
        <w:top w:val="none" w:sz="0" w:space="0" w:color="auto"/>
        <w:left w:val="none" w:sz="0" w:space="0" w:color="auto"/>
        <w:bottom w:val="none" w:sz="0" w:space="0" w:color="auto"/>
        <w:right w:val="none" w:sz="0" w:space="0" w:color="auto"/>
      </w:divBdr>
    </w:div>
    <w:div w:id="238368015">
      <w:bodyDiv w:val="1"/>
      <w:marLeft w:val="0"/>
      <w:marRight w:val="0"/>
      <w:marTop w:val="0"/>
      <w:marBottom w:val="0"/>
      <w:divBdr>
        <w:top w:val="none" w:sz="0" w:space="0" w:color="auto"/>
        <w:left w:val="none" w:sz="0" w:space="0" w:color="auto"/>
        <w:bottom w:val="none" w:sz="0" w:space="0" w:color="auto"/>
        <w:right w:val="none" w:sz="0" w:space="0" w:color="auto"/>
      </w:divBdr>
    </w:div>
    <w:div w:id="238833496">
      <w:bodyDiv w:val="1"/>
      <w:marLeft w:val="0"/>
      <w:marRight w:val="0"/>
      <w:marTop w:val="0"/>
      <w:marBottom w:val="0"/>
      <w:divBdr>
        <w:top w:val="none" w:sz="0" w:space="0" w:color="auto"/>
        <w:left w:val="none" w:sz="0" w:space="0" w:color="auto"/>
        <w:bottom w:val="none" w:sz="0" w:space="0" w:color="auto"/>
        <w:right w:val="none" w:sz="0" w:space="0" w:color="auto"/>
      </w:divBdr>
    </w:div>
    <w:div w:id="239408855">
      <w:bodyDiv w:val="1"/>
      <w:marLeft w:val="0"/>
      <w:marRight w:val="0"/>
      <w:marTop w:val="0"/>
      <w:marBottom w:val="0"/>
      <w:divBdr>
        <w:top w:val="none" w:sz="0" w:space="0" w:color="auto"/>
        <w:left w:val="none" w:sz="0" w:space="0" w:color="auto"/>
        <w:bottom w:val="none" w:sz="0" w:space="0" w:color="auto"/>
        <w:right w:val="none" w:sz="0" w:space="0" w:color="auto"/>
      </w:divBdr>
    </w:div>
    <w:div w:id="248585132">
      <w:bodyDiv w:val="1"/>
      <w:marLeft w:val="0"/>
      <w:marRight w:val="0"/>
      <w:marTop w:val="0"/>
      <w:marBottom w:val="0"/>
      <w:divBdr>
        <w:top w:val="none" w:sz="0" w:space="0" w:color="auto"/>
        <w:left w:val="none" w:sz="0" w:space="0" w:color="auto"/>
        <w:bottom w:val="none" w:sz="0" w:space="0" w:color="auto"/>
        <w:right w:val="none" w:sz="0" w:space="0" w:color="auto"/>
      </w:divBdr>
    </w:div>
    <w:div w:id="250700056">
      <w:bodyDiv w:val="1"/>
      <w:marLeft w:val="0"/>
      <w:marRight w:val="0"/>
      <w:marTop w:val="0"/>
      <w:marBottom w:val="0"/>
      <w:divBdr>
        <w:top w:val="none" w:sz="0" w:space="0" w:color="auto"/>
        <w:left w:val="none" w:sz="0" w:space="0" w:color="auto"/>
        <w:bottom w:val="none" w:sz="0" w:space="0" w:color="auto"/>
        <w:right w:val="none" w:sz="0" w:space="0" w:color="auto"/>
      </w:divBdr>
    </w:div>
    <w:div w:id="250703772">
      <w:bodyDiv w:val="1"/>
      <w:marLeft w:val="0"/>
      <w:marRight w:val="0"/>
      <w:marTop w:val="0"/>
      <w:marBottom w:val="0"/>
      <w:divBdr>
        <w:top w:val="none" w:sz="0" w:space="0" w:color="auto"/>
        <w:left w:val="none" w:sz="0" w:space="0" w:color="auto"/>
        <w:bottom w:val="none" w:sz="0" w:space="0" w:color="auto"/>
        <w:right w:val="none" w:sz="0" w:space="0" w:color="auto"/>
      </w:divBdr>
    </w:div>
    <w:div w:id="253366978">
      <w:bodyDiv w:val="1"/>
      <w:marLeft w:val="0"/>
      <w:marRight w:val="0"/>
      <w:marTop w:val="0"/>
      <w:marBottom w:val="0"/>
      <w:divBdr>
        <w:top w:val="none" w:sz="0" w:space="0" w:color="auto"/>
        <w:left w:val="none" w:sz="0" w:space="0" w:color="auto"/>
        <w:bottom w:val="none" w:sz="0" w:space="0" w:color="auto"/>
        <w:right w:val="none" w:sz="0" w:space="0" w:color="auto"/>
      </w:divBdr>
    </w:div>
    <w:div w:id="254441851">
      <w:bodyDiv w:val="1"/>
      <w:marLeft w:val="0"/>
      <w:marRight w:val="0"/>
      <w:marTop w:val="0"/>
      <w:marBottom w:val="0"/>
      <w:divBdr>
        <w:top w:val="none" w:sz="0" w:space="0" w:color="auto"/>
        <w:left w:val="none" w:sz="0" w:space="0" w:color="auto"/>
        <w:bottom w:val="none" w:sz="0" w:space="0" w:color="auto"/>
        <w:right w:val="none" w:sz="0" w:space="0" w:color="auto"/>
      </w:divBdr>
    </w:div>
    <w:div w:id="256258320">
      <w:bodyDiv w:val="1"/>
      <w:marLeft w:val="0"/>
      <w:marRight w:val="0"/>
      <w:marTop w:val="0"/>
      <w:marBottom w:val="0"/>
      <w:divBdr>
        <w:top w:val="none" w:sz="0" w:space="0" w:color="auto"/>
        <w:left w:val="none" w:sz="0" w:space="0" w:color="auto"/>
        <w:bottom w:val="none" w:sz="0" w:space="0" w:color="auto"/>
        <w:right w:val="none" w:sz="0" w:space="0" w:color="auto"/>
      </w:divBdr>
    </w:div>
    <w:div w:id="256796747">
      <w:bodyDiv w:val="1"/>
      <w:marLeft w:val="0"/>
      <w:marRight w:val="0"/>
      <w:marTop w:val="0"/>
      <w:marBottom w:val="0"/>
      <w:divBdr>
        <w:top w:val="none" w:sz="0" w:space="0" w:color="auto"/>
        <w:left w:val="none" w:sz="0" w:space="0" w:color="auto"/>
        <w:bottom w:val="none" w:sz="0" w:space="0" w:color="auto"/>
        <w:right w:val="none" w:sz="0" w:space="0" w:color="auto"/>
      </w:divBdr>
    </w:div>
    <w:div w:id="258561721">
      <w:bodyDiv w:val="1"/>
      <w:marLeft w:val="0"/>
      <w:marRight w:val="0"/>
      <w:marTop w:val="0"/>
      <w:marBottom w:val="0"/>
      <w:divBdr>
        <w:top w:val="none" w:sz="0" w:space="0" w:color="auto"/>
        <w:left w:val="none" w:sz="0" w:space="0" w:color="auto"/>
        <w:bottom w:val="none" w:sz="0" w:space="0" w:color="auto"/>
        <w:right w:val="none" w:sz="0" w:space="0" w:color="auto"/>
      </w:divBdr>
    </w:div>
    <w:div w:id="258946972">
      <w:bodyDiv w:val="1"/>
      <w:marLeft w:val="0"/>
      <w:marRight w:val="0"/>
      <w:marTop w:val="0"/>
      <w:marBottom w:val="0"/>
      <w:divBdr>
        <w:top w:val="none" w:sz="0" w:space="0" w:color="auto"/>
        <w:left w:val="none" w:sz="0" w:space="0" w:color="auto"/>
        <w:bottom w:val="none" w:sz="0" w:space="0" w:color="auto"/>
        <w:right w:val="none" w:sz="0" w:space="0" w:color="auto"/>
      </w:divBdr>
    </w:div>
    <w:div w:id="260845978">
      <w:bodyDiv w:val="1"/>
      <w:marLeft w:val="0"/>
      <w:marRight w:val="0"/>
      <w:marTop w:val="0"/>
      <w:marBottom w:val="0"/>
      <w:divBdr>
        <w:top w:val="none" w:sz="0" w:space="0" w:color="auto"/>
        <w:left w:val="none" w:sz="0" w:space="0" w:color="auto"/>
        <w:bottom w:val="none" w:sz="0" w:space="0" w:color="auto"/>
        <w:right w:val="none" w:sz="0" w:space="0" w:color="auto"/>
      </w:divBdr>
    </w:div>
    <w:div w:id="263811470">
      <w:bodyDiv w:val="1"/>
      <w:marLeft w:val="0"/>
      <w:marRight w:val="0"/>
      <w:marTop w:val="0"/>
      <w:marBottom w:val="0"/>
      <w:divBdr>
        <w:top w:val="none" w:sz="0" w:space="0" w:color="auto"/>
        <w:left w:val="none" w:sz="0" w:space="0" w:color="auto"/>
        <w:bottom w:val="none" w:sz="0" w:space="0" w:color="auto"/>
        <w:right w:val="none" w:sz="0" w:space="0" w:color="auto"/>
      </w:divBdr>
    </w:div>
    <w:div w:id="267741274">
      <w:bodyDiv w:val="1"/>
      <w:marLeft w:val="0"/>
      <w:marRight w:val="0"/>
      <w:marTop w:val="0"/>
      <w:marBottom w:val="0"/>
      <w:divBdr>
        <w:top w:val="none" w:sz="0" w:space="0" w:color="auto"/>
        <w:left w:val="none" w:sz="0" w:space="0" w:color="auto"/>
        <w:bottom w:val="none" w:sz="0" w:space="0" w:color="auto"/>
        <w:right w:val="none" w:sz="0" w:space="0" w:color="auto"/>
      </w:divBdr>
    </w:div>
    <w:div w:id="271744781">
      <w:bodyDiv w:val="1"/>
      <w:marLeft w:val="0"/>
      <w:marRight w:val="0"/>
      <w:marTop w:val="0"/>
      <w:marBottom w:val="0"/>
      <w:divBdr>
        <w:top w:val="none" w:sz="0" w:space="0" w:color="auto"/>
        <w:left w:val="none" w:sz="0" w:space="0" w:color="auto"/>
        <w:bottom w:val="none" w:sz="0" w:space="0" w:color="auto"/>
        <w:right w:val="none" w:sz="0" w:space="0" w:color="auto"/>
      </w:divBdr>
    </w:div>
    <w:div w:id="273172417">
      <w:bodyDiv w:val="1"/>
      <w:marLeft w:val="0"/>
      <w:marRight w:val="0"/>
      <w:marTop w:val="0"/>
      <w:marBottom w:val="0"/>
      <w:divBdr>
        <w:top w:val="none" w:sz="0" w:space="0" w:color="auto"/>
        <w:left w:val="none" w:sz="0" w:space="0" w:color="auto"/>
        <w:bottom w:val="none" w:sz="0" w:space="0" w:color="auto"/>
        <w:right w:val="none" w:sz="0" w:space="0" w:color="auto"/>
      </w:divBdr>
    </w:div>
    <w:div w:id="278687818">
      <w:bodyDiv w:val="1"/>
      <w:marLeft w:val="0"/>
      <w:marRight w:val="0"/>
      <w:marTop w:val="0"/>
      <w:marBottom w:val="0"/>
      <w:divBdr>
        <w:top w:val="none" w:sz="0" w:space="0" w:color="auto"/>
        <w:left w:val="none" w:sz="0" w:space="0" w:color="auto"/>
        <w:bottom w:val="none" w:sz="0" w:space="0" w:color="auto"/>
        <w:right w:val="none" w:sz="0" w:space="0" w:color="auto"/>
      </w:divBdr>
    </w:div>
    <w:div w:id="280377963">
      <w:bodyDiv w:val="1"/>
      <w:marLeft w:val="0"/>
      <w:marRight w:val="0"/>
      <w:marTop w:val="0"/>
      <w:marBottom w:val="0"/>
      <w:divBdr>
        <w:top w:val="none" w:sz="0" w:space="0" w:color="auto"/>
        <w:left w:val="none" w:sz="0" w:space="0" w:color="auto"/>
        <w:bottom w:val="none" w:sz="0" w:space="0" w:color="auto"/>
        <w:right w:val="none" w:sz="0" w:space="0" w:color="auto"/>
      </w:divBdr>
    </w:div>
    <w:div w:id="284972336">
      <w:bodyDiv w:val="1"/>
      <w:marLeft w:val="0"/>
      <w:marRight w:val="0"/>
      <w:marTop w:val="0"/>
      <w:marBottom w:val="0"/>
      <w:divBdr>
        <w:top w:val="none" w:sz="0" w:space="0" w:color="auto"/>
        <w:left w:val="none" w:sz="0" w:space="0" w:color="auto"/>
        <w:bottom w:val="none" w:sz="0" w:space="0" w:color="auto"/>
        <w:right w:val="none" w:sz="0" w:space="0" w:color="auto"/>
      </w:divBdr>
    </w:div>
    <w:div w:id="285820716">
      <w:bodyDiv w:val="1"/>
      <w:marLeft w:val="0"/>
      <w:marRight w:val="0"/>
      <w:marTop w:val="0"/>
      <w:marBottom w:val="0"/>
      <w:divBdr>
        <w:top w:val="none" w:sz="0" w:space="0" w:color="auto"/>
        <w:left w:val="none" w:sz="0" w:space="0" w:color="auto"/>
        <w:bottom w:val="none" w:sz="0" w:space="0" w:color="auto"/>
        <w:right w:val="none" w:sz="0" w:space="0" w:color="auto"/>
      </w:divBdr>
    </w:div>
    <w:div w:id="286811938">
      <w:bodyDiv w:val="1"/>
      <w:marLeft w:val="0"/>
      <w:marRight w:val="0"/>
      <w:marTop w:val="0"/>
      <w:marBottom w:val="0"/>
      <w:divBdr>
        <w:top w:val="none" w:sz="0" w:space="0" w:color="auto"/>
        <w:left w:val="none" w:sz="0" w:space="0" w:color="auto"/>
        <w:bottom w:val="none" w:sz="0" w:space="0" w:color="auto"/>
        <w:right w:val="none" w:sz="0" w:space="0" w:color="auto"/>
      </w:divBdr>
    </w:div>
    <w:div w:id="289017523">
      <w:bodyDiv w:val="1"/>
      <w:marLeft w:val="0"/>
      <w:marRight w:val="0"/>
      <w:marTop w:val="0"/>
      <w:marBottom w:val="0"/>
      <w:divBdr>
        <w:top w:val="none" w:sz="0" w:space="0" w:color="auto"/>
        <w:left w:val="none" w:sz="0" w:space="0" w:color="auto"/>
        <w:bottom w:val="none" w:sz="0" w:space="0" w:color="auto"/>
        <w:right w:val="none" w:sz="0" w:space="0" w:color="auto"/>
      </w:divBdr>
    </w:div>
    <w:div w:id="292178507">
      <w:bodyDiv w:val="1"/>
      <w:marLeft w:val="0"/>
      <w:marRight w:val="0"/>
      <w:marTop w:val="0"/>
      <w:marBottom w:val="0"/>
      <w:divBdr>
        <w:top w:val="none" w:sz="0" w:space="0" w:color="auto"/>
        <w:left w:val="none" w:sz="0" w:space="0" w:color="auto"/>
        <w:bottom w:val="none" w:sz="0" w:space="0" w:color="auto"/>
        <w:right w:val="none" w:sz="0" w:space="0" w:color="auto"/>
      </w:divBdr>
    </w:div>
    <w:div w:id="292977812">
      <w:bodyDiv w:val="1"/>
      <w:marLeft w:val="0"/>
      <w:marRight w:val="0"/>
      <w:marTop w:val="0"/>
      <w:marBottom w:val="0"/>
      <w:divBdr>
        <w:top w:val="none" w:sz="0" w:space="0" w:color="auto"/>
        <w:left w:val="none" w:sz="0" w:space="0" w:color="auto"/>
        <w:bottom w:val="none" w:sz="0" w:space="0" w:color="auto"/>
        <w:right w:val="none" w:sz="0" w:space="0" w:color="auto"/>
      </w:divBdr>
    </w:div>
    <w:div w:id="297496373">
      <w:bodyDiv w:val="1"/>
      <w:marLeft w:val="0"/>
      <w:marRight w:val="0"/>
      <w:marTop w:val="0"/>
      <w:marBottom w:val="0"/>
      <w:divBdr>
        <w:top w:val="none" w:sz="0" w:space="0" w:color="auto"/>
        <w:left w:val="none" w:sz="0" w:space="0" w:color="auto"/>
        <w:bottom w:val="none" w:sz="0" w:space="0" w:color="auto"/>
        <w:right w:val="none" w:sz="0" w:space="0" w:color="auto"/>
      </w:divBdr>
    </w:div>
    <w:div w:id="298801461">
      <w:bodyDiv w:val="1"/>
      <w:marLeft w:val="0"/>
      <w:marRight w:val="0"/>
      <w:marTop w:val="0"/>
      <w:marBottom w:val="0"/>
      <w:divBdr>
        <w:top w:val="none" w:sz="0" w:space="0" w:color="auto"/>
        <w:left w:val="none" w:sz="0" w:space="0" w:color="auto"/>
        <w:bottom w:val="none" w:sz="0" w:space="0" w:color="auto"/>
        <w:right w:val="none" w:sz="0" w:space="0" w:color="auto"/>
      </w:divBdr>
    </w:div>
    <w:div w:id="302274215">
      <w:bodyDiv w:val="1"/>
      <w:marLeft w:val="0"/>
      <w:marRight w:val="0"/>
      <w:marTop w:val="0"/>
      <w:marBottom w:val="0"/>
      <w:divBdr>
        <w:top w:val="none" w:sz="0" w:space="0" w:color="auto"/>
        <w:left w:val="none" w:sz="0" w:space="0" w:color="auto"/>
        <w:bottom w:val="none" w:sz="0" w:space="0" w:color="auto"/>
        <w:right w:val="none" w:sz="0" w:space="0" w:color="auto"/>
      </w:divBdr>
    </w:div>
    <w:div w:id="302736231">
      <w:bodyDiv w:val="1"/>
      <w:marLeft w:val="0"/>
      <w:marRight w:val="0"/>
      <w:marTop w:val="0"/>
      <w:marBottom w:val="0"/>
      <w:divBdr>
        <w:top w:val="none" w:sz="0" w:space="0" w:color="auto"/>
        <w:left w:val="none" w:sz="0" w:space="0" w:color="auto"/>
        <w:bottom w:val="none" w:sz="0" w:space="0" w:color="auto"/>
        <w:right w:val="none" w:sz="0" w:space="0" w:color="auto"/>
      </w:divBdr>
    </w:div>
    <w:div w:id="311105220">
      <w:bodyDiv w:val="1"/>
      <w:marLeft w:val="0"/>
      <w:marRight w:val="0"/>
      <w:marTop w:val="0"/>
      <w:marBottom w:val="0"/>
      <w:divBdr>
        <w:top w:val="none" w:sz="0" w:space="0" w:color="auto"/>
        <w:left w:val="none" w:sz="0" w:space="0" w:color="auto"/>
        <w:bottom w:val="none" w:sz="0" w:space="0" w:color="auto"/>
        <w:right w:val="none" w:sz="0" w:space="0" w:color="auto"/>
      </w:divBdr>
    </w:div>
    <w:div w:id="314796667">
      <w:bodyDiv w:val="1"/>
      <w:marLeft w:val="0"/>
      <w:marRight w:val="0"/>
      <w:marTop w:val="0"/>
      <w:marBottom w:val="0"/>
      <w:divBdr>
        <w:top w:val="none" w:sz="0" w:space="0" w:color="auto"/>
        <w:left w:val="none" w:sz="0" w:space="0" w:color="auto"/>
        <w:bottom w:val="none" w:sz="0" w:space="0" w:color="auto"/>
        <w:right w:val="none" w:sz="0" w:space="0" w:color="auto"/>
      </w:divBdr>
    </w:div>
    <w:div w:id="318925147">
      <w:bodyDiv w:val="1"/>
      <w:marLeft w:val="0"/>
      <w:marRight w:val="0"/>
      <w:marTop w:val="0"/>
      <w:marBottom w:val="0"/>
      <w:divBdr>
        <w:top w:val="none" w:sz="0" w:space="0" w:color="auto"/>
        <w:left w:val="none" w:sz="0" w:space="0" w:color="auto"/>
        <w:bottom w:val="none" w:sz="0" w:space="0" w:color="auto"/>
        <w:right w:val="none" w:sz="0" w:space="0" w:color="auto"/>
      </w:divBdr>
    </w:div>
    <w:div w:id="321469222">
      <w:bodyDiv w:val="1"/>
      <w:marLeft w:val="0"/>
      <w:marRight w:val="0"/>
      <w:marTop w:val="0"/>
      <w:marBottom w:val="0"/>
      <w:divBdr>
        <w:top w:val="none" w:sz="0" w:space="0" w:color="auto"/>
        <w:left w:val="none" w:sz="0" w:space="0" w:color="auto"/>
        <w:bottom w:val="none" w:sz="0" w:space="0" w:color="auto"/>
        <w:right w:val="none" w:sz="0" w:space="0" w:color="auto"/>
      </w:divBdr>
    </w:div>
    <w:div w:id="322315760">
      <w:bodyDiv w:val="1"/>
      <w:marLeft w:val="0"/>
      <w:marRight w:val="0"/>
      <w:marTop w:val="0"/>
      <w:marBottom w:val="0"/>
      <w:divBdr>
        <w:top w:val="none" w:sz="0" w:space="0" w:color="auto"/>
        <w:left w:val="none" w:sz="0" w:space="0" w:color="auto"/>
        <w:bottom w:val="none" w:sz="0" w:space="0" w:color="auto"/>
        <w:right w:val="none" w:sz="0" w:space="0" w:color="auto"/>
      </w:divBdr>
    </w:div>
    <w:div w:id="325130144">
      <w:bodyDiv w:val="1"/>
      <w:marLeft w:val="0"/>
      <w:marRight w:val="0"/>
      <w:marTop w:val="0"/>
      <w:marBottom w:val="0"/>
      <w:divBdr>
        <w:top w:val="none" w:sz="0" w:space="0" w:color="auto"/>
        <w:left w:val="none" w:sz="0" w:space="0" w:color="auto"/>
        <w:bottom w:val="none" w:sz="0" w:space="0" w:color="auto"/>
        <w:right w:val="none" w:sz="0" w:space="0" w:color="auto"/>
      </w:divBdr>
    </w:div>
    <w:div w:id="326178476">
      <w:bodyDiv w:val="1"/>
      <w:marLeft w:val="0"/>
      <w:marRight w:val="0"/>
      <w:marTop w:val="0"/>
      <w:marBottom w:val="0"/>
      <w:divBdr>
        <w:top w:val="none" w:sz="0" w:space="0" w:color="auto"/>
        <w:left w:val="none" w:sz="0" w:space="0" w:color="auto"/>
        <w:bottom w:val="none" w:sz="0" w:space="0" w:color="auto"/>
        <w:right w:val="none" w:sz="0" w:space="0" w:color="auto"/>
      </w:divBdr>
    </w:div>
    <w:div w:id="328677580">
      <w:bodyDiv w:val="1"/>
      <w:marLeft w:val="0"/>
      <w:marRight w:val="0"/>
      <w:marTop w:val="0"/>
      <w:marBottom w:val="0"/>
      <w:divBdr>
        <w:top w:val="none" w:sz="0" w:space="0" w:color="auto"/>
        <w:left w:val="none" w:sz="0" w:space="0" w:color="auto"/>
        <w:bottom w:val="none" w:sz="0" w:space="0" w:color="auto"/>
        <w:right w:val="none" w:sz="0" w:space="0" w:color="auto"/>
      </w:divBdr>
    </w:div>
    <w:div w:id="328868135">
      <w:bodyDiv w:val="1"/>
      <w:marLeft w:val="0"/>
      <w:marRight w:val="0"/>
      <w:marTop w:val="0"/>
      <w:marBottom w:val="0"/>
      <w:divBdr>
        <w:top w:val="none" w:sz="0" w:space="0" w:color="auto"/>
        <w:left w:val="none" w:sz="0" w:space="0" w:color="auto"/>
        <w:bottom w:val="none" w:sz="0" w:space="0" w:color="auto"/>
        <w:right w:val="none" w:sz="0" w:space="0" w:color="auto"/>
      </w:divBdr>
    </w:div>
    <w:div w:id="329988154">
      <w:bodyDiv w:val="1"/>
      <w:marLeft w:val="0"/>
      <w:marRight w:val="0"/>
      <w:marTop w:val="0"/>
      <w:marBottom w:val="0"/>
      <w:divBdr>
        <w:top w:val="none" w:sz="0" w:space="0" w:color="auto"/>
        <w:left w:val="none" w:sz="0" w:space="0" w:color="auto"/>
        <w:bottom w:val="none" w:sz="0" w:space="0" w:color="auto"/>
        <w:right w:val="none" w:sz="0" w:space="0" w:color="auto"/>
      </w:divBdr>
    </w:div>
    <w:div w:id="330717375">
      <w:bodyDiv w:val="1"/>
      <w:marLeft w:val="0"/>
      <w:marRight w:val="0"/>
      <w:marTop w:val="0"/>
      <w:marBottom w:val="0"/>
      <w:divBdr>
        <w:top w:val="none" w:sz="0" w:space="0" w:color="auto"/>
        <w:left w:val="none" w:sz="0" w:space="0" w:color="auto"/>
        <w:bottom w:val="none" w:sz="0" w:space="0" w:color="auto"/>
        <w:right w:val="none" w:sz="0" w:space="0" w:color="auto"/>
      </w:divBdr>
    </w:div>
    <w:div w:id="33380319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883104">
      <w:bodyDiv w:val="1"/>
      <w:marLeft w:val="0"/>
      <w:marRight w:val="0"/>
      <w:marTop w:val="0"/>
      <w:marBottom w:val="0"/>
      <w:divBdr>
        <w:top w:val="none" w:sz="0" w:space="0" w:color="auto"/>
        <w:left w:val="none" w:sz="0" w:space="0" w:color="auto"/>
        <w:bottom w:val="none" w:sz="0" w:space="0" w:color="auto"/>
        <w:right w:val="none" w:sz="0" w:space="0" w:color="auto"/>
      </w:divBdr>
    </w:div>
    <w:div w:id="337850133">
      <w:bodyDiv w:val="1"/>
      <w:marLeft w:val="0"/>
      <w:marRight w:val="0"/>
      <w:marTop w:val="0"/>
      <w:marBottom w:val="0"/>
      <w:divBdr>
        <w:top w:val="none" w:sz="0" w:space="0" w:color="auto"/>
        <w:left w:val="none" w:sz="0" w:space="0" w:color="auto"/>
        <w:bottom w:val="none" w:sz="0" w:space="0" w:color="auto"/>
        <w:right w:val="none" w:sz="0" w:space="0" w:color="auto"/>
      </w:divBdr>
    </w:div>
    <w:div w:id="346446994">
      <w:bodyDiv w:val="1"/>
      <w:marLeft w:val="0"/>
      <w:marRight w:val="0"/>
      <w:marTop w:val="0"/>
      <w:marBottom w:val="0"/>
      <w:divBdr>
        <w:top w:val="none" w:sz="0" w:space="0" w:color="auto"/>
        <w:left w:val="none" w:sz="0" w:space="0" w:color="auto"/>
        <w:bottom w:val="none" w:sz="0" w:space="0" w:color="auto"/>
        <w:right w:val="none" w:sz="0" w:space="0" w:color="auto"/>
      </w:divBdr>
    </w:div>
    <w:div w:id="346448193">
      <w:bodyDiv w:val="1"/>
      <w:marLeft w:val="0"/>
      <w:marRight w:val="0"/>
      <w:marTop w:val="0"/>
      <w:marBottom w:val="0"/>
      <w:divBdr>
        <w:top w:val="none" w:sz="0" w:space="0" w:color="auto"/>
        <w:left w:val="none" w:sz="0" w:space="0" w:color="auto"/>
        <w:bottom w:val="none" w:sz="0" w:space="0" w:color="auto"/>
        <w:right w:val="none" w:sz="0" w:space="0" w:color="auto"/>
      </w:divBdr>
    </w:div>
    <w:div w:id="348027851">
      <w:bodyDiv w:val="1"/>
      <w:marLeft w:val="0"/>
      <w:marRight w:val="0"/>
      <w:marTop w:val="0"/>
      <w:marBottom w:val="0"/>
      <w:divBdr>
        <w:top w:val="none" w:sz="0" w:space="0" w:color="auto"/>
        <w:left w:val="none" w:sz="0" w:space="0" w:color="auto"/>
        <w:bottom w:val="none" w:sz="0" w:space="0" w:color="auto"/>
        <w:right w:val="none" w:sz="0" w:space="0" w:color="auto"/>
      </w:divBdr>
    </w:div>
    <w:div w:id="348063427">
      <w:bodyDiv w:val="1"/>
      <w:marLeft w:val="0"/>
      <w:marRight w:val="0"/>
      <w:marTop w:val="0"/>
      <w:marBottom w:val="0"/>
      <w:divBdr>
        <w:top w:val="none" w:sz="0" w:space="0" w:color="auto"/>
        <w:left w:val="none" w:sz="0" w:space="0" w:color="auto"/>
        <w:bottom w:val="none" w:sz="0" w:space="0" w:color="auto"/>
        <w:right w:val="none" w:sz="0" w:space="0" w:color="auto"/>
      </w:divBdr>
    </w:div>
    <w:div w:id="348140270">
      <w:bodyDiv w:val="1"/>
      <w:marLeft w:val="0"/>
      <w:marRight w:val="0"/>
      <w:marTop w:val="0"/>
      <w:marBottom w:val="0"/>
      <w:divBdr>
        <w:top w:val="none" w:sz="0" w:space="0" w:color="auto"/>
        <w:left w:val="none" w:sz="0" w:space="0" w:color="auto"/>
        <w:bottom w:val="none" w:sz="0" w:space="0" w:color="auto"/>
        <w:right w:val="none" w:sz="0" w:space="0" w:color="auto"/>
      </w:divBdr>
    </w:div>
    <w:div w:id="349113962">
      <w:bodyDiv w:val="1"/>
      <w:marLeft w:val="0"/>
      <w:marRight w:val="0"/>
      <w:marTop w:val="0"/>
      <w:marBottom w:val="0"/>
      <w:divBdr>
        <w:top w:val="none" w:sz="0" w:space="0" w:color="auto"/>
        <w:left w:val="none" w:sz="0" w:space="0" w:color="auto"/>
        <w:bottom w:val="none" w:sz="0" w:space="0" w:color="auto"/>
        <w:right w:val="none" w:sz="0" w:space="0" w:color="auto"/>
      </w:divBdr>
    </w:div>
    <w:div w:id="351535195">
      <w:bodyDiv w:val="1"/>
      <w:marLeft w:val="0"/>
      <w:marRight w:val="0"/>
      <w:marTop w:val="0"/>
      <w:marBottom w:val="0"/>
      <w:divBdr>
        <w:top w:val="none" w:sz="0" w:space="0" w:color="auto"/>
        <w:left w:val="none" w:sz="0" w:space="0" w:color="auto"/>
        <w:bottom w:val="none" w:sz="0" w:space="0" w:color="auto"/>
        <w:right w:val="none" w:sz="0" w:space="0" w:color="auto"/>
      </w:divBdr>
    </w:div>
    <w:div w:id="353115899">
      <w:bodyDiv w:val="1"/>
      <w:marLeft w:val="0"/>
      <w:marRight w:val="0"/>
      <w:marTop w:val="0"/>
      <w:marBottom w:val="0"/>
      <w:divBdr>
        <w:top w:val="none" w:sz="0" w:space="0" w:color="auto"/>
        <w:left w:val="none" w:sz="0" w:space="0" w:color="auto"/>
        <w:bottom w:val="none" w:sz="0" w:space="0" w:color="auto"/>
        <w:right w:val="none" w:sz="0" w:space="0" w:color="auto"/>
      </w:divBdr>
    </w:div>
    <w:div w:id="355497144">
      <w:bodyDiv w:val="1"/>
      <w:marLeft w:val="0"/>
      <w:marRight w:val="0"/>
      <w:marTop w:val="0"/>
      <w:marBottom w:val="0"/>
      <w:divBdr>
        <w:top w:val="none" w:sz="0" w:space="0" w:color="auto"/>
        <w:left w:val="none" w:sz="0" w:space="0" w:color="auto"/>
        <w:bottom w:val="none" w:sz="0" w:space="0" w:color="auto"/>
        <w:right w:val="none" w:sz="0" w:space="0" w:color="auto"/>
      </w:divBdr>
    </w:div>
    <w:div w:id="356859182">
      <w:bodyDiv w:val="1"/>
      <w:marLeft w:val="0"/>
      <w:marRight w:val="0"/>
      <w:marTop w:val="0"/>
      <w:marBottom w:val="0"/>
      <w:divBdr>
        <w:top w:val="none" w:sz="0" w:space="0" w:color="auto"/>
        <w:left w:val="none" w:sz="0" w:space="0" w:color="auto"/>
        <w:bottom w:val="none" w:sz="0" w:space="0" w:color="auto"/>
        <w:right w:val="none" w:sz="0" w:space="0" w:color="auto"/>
      </w:divBdr>
    </w:div>
    <w:div w:id="357121232">
      <w:bodyDiv w:val="1"/>
      <w:marLeft w:val="0"/>
      <w:marRight w:val="0"/>
      <w:marTop w:val="0"/>
      <w:marBottom w:val="0"/>
      <w:divBdr>
        <w:top w:val="none" w:sz="0" w:space="0" w:color="auto"/>
        <w:left w:val="none" w:sz="0" w:space="0" w:color="auto"/>
        <w:bottom w:val="none" w:sz="0" w:space="0" w:color="auto"/>
        <w:right w:val="none" w:sz="0" w:space="0" w:color="auto"/>
      </w:divBdr>
    </w:div>
    <w:div w:id="357706871">
      <w:bodyDiv w:val="1"/>
      <w:marLeft w:val="0"/>
      <w:marRight w:val="0"/>
      <w:marTop w:val="0"/>
      <w:marBottom w:val="0"/>
      <w:divBdr>
        <w:top w:val="none" w:sz="0" w:space="0" w:color="auto"/>
        <w:left w:val="none" w:sz="0" w:space="0" w:color="auto"/>
        <w:bottom w:val="none" w:sz="0" w:space="0" w:color="auto"/>
        <w:right w:val="none" w:sz="0" w:space="0" w:color="auto"/>
      </w:divBdr>
    </w:div>
    <w:div w:id="357708252">
      <w:bodyDiv w:val="1"/>
      <w:marLeft w:val="0"/>
      <w:marRight w:val="0"/>
      <w:marTop w:val="0"/>
      <w:marBottom w:val="0"/>
      <w:divBdr>
        <w:top w:val="none" w:sz="0" w:space="0" w:color="auto"/>
        <w:left w:val="none" w:sz="0" w:space="0" w:color="auto"/>
        <w:bottom w:val="none" w:sz="0" w:space="0" w:color="auto"/>
        <w:right w:val="none" w:sz="0" w:space="0" w:color="auto"/>
      </w:divBdr>
    </w:div>
    <w:div w:id="366758909">
      <w:bodyDiv w:val="1"/>
      <w:marLeft w:val="0"/>
      <w:marRight w:val="0"/>
      <w:marTop w:val="0"/>
      <w:marBottom w:val="0"/>
      <w:divBdr>
        <w:top w:val="none" w:sz="0" w:space="0" w:color="auto"/>
        <w:left w:val="none" w:sz="0" w:space="0" w:color="auto"/>
        <w:bottom w:val="none" w:sz="0" w:space="0" w:color="auto"/>
        <w:right w:val="none" w:sz="0" w:space="0" w:color="auto"/>
      </w:divBdr>
    </w:div>
    <w:div w:id="367684126">
      <w:bodyDiv w:val="1"/>
      <w:marLeft w:val="0"/>
      <w:marRight w:val="0"/>
      <w:marTop w:val="0"/>
      <w:marBottom w:val="0"/>
      <w:divBdr>
        <w:top w:val="none" w:sz="0" w:space="0" w:color="auto"/>
        <w:left w:val="none" w:sz="0" w:space="0" w:color="auto"/>
        <w:bottom w:val="none" w:sz="0" w:space="0" w:color="auto"/>
        <w:right w:val="none" w:sz="0" w:space="0" w:color="auto"/>
      </w:divBdr>
    </w:div>
    <w:div w:id="367726523">
      <w:bodyDiv w:val="1"/>
      <w:marLeft w:val="0"/>
      <w:marRight w:val="0"/>
      <w:marTop w:val="0"/>
      <w:marBottom w:val="0"/>
      <w:divBdr>
        <w:top w:val="none" w:sz="0" w:space="0" w:color="auto"/>
        <w:left w:val="none" w:sz="0" w:space="0" w:color="auto"/>
        <w:bottom w:val="none" w:sz="0" w:space="0" w:color="auto"/>
        <w:right w:val="none" w:sz="0" w:space="0" w:color="auto"/>
      </w:divBdr>
    </w:div>
    <w:div w:id="369696459">
      <w:bodyDiv w:val="1"/>
      <w:marLeft w:val="0"/>
      <w:marRight w:val="0"/>
      <w:marTop w:val="0"/>
      <w:marBottom w:val="0"/>
      <w:divBdr>
        <w:top w:val="none" w:sz="0" w:space="0" w:color="auto"/>
        <w:left w:val="none" w:sz="0" w:space="0" w:color="auto"/>
        <w:bottom w:val="none" w:sz="0" w:space="0" w:color="auto"/>
        <w:right w:val="none" w:sz="0" w:space="0" w:color="auto"/>
      </w:divBdr>
    </w:div>
    <w:div w:id="375551189">
      <w:bodyDiv w:val="1"/>
      <w:marLeft w:val="0"/>
      <w:marRight w:val="0"/>
      <w:marTop w:val="0"/>
      <w:marBottom w:val="0"/>
      <w:divBdr>
        <w:top w:val="none" w:sz="0" w:space="0" w:color="auto"/>
        <w:left w:val="none" w:sz="0" w:space="0" w:color="auto"/>
        <w:bottom w:val="none" w:sz="0" w:space="0" w:color="auto"/>
        <w:right w:val="none" w:sz="0" w:space="0" w:color="auto"/>
      </w:divBdr>
    </w:div>
    <w:div w:id="377749544">
      <w:bodyDiv w:val="1"/>
      <w:marLeft w:val="0"/>
      <w:marRight w:val="0"/>
      <w:marTop w:val="0"/>
      <w:marBottom w:val="0"/>
      <w:divBdr>
        <w:top w:val="none" w:sz="0" w:space="0" w:color="auto"/>
        <w:left w:val="none" w:sz="0" w:space="0" w:color="auto"/>
        <w:bottom w:val="none" w:sz="0" w:space="0" w:color="auto"/>
        <w:right w:val="none" w:sz="0" w:space="0" w:color="auto"/>
      </w:divBdr>
    </w:div>
    <w:div w:id="377751579">
      <w:bodyDiv w:val="1"/>
      <w:marLeft w:val="0"/>
      <w:marRight w:val="0"/>
      <w:marTop w:val="0"/>
      <w:marBottom w:val="0"/>
      <w:divBdr>
        <w:top w:val="none" w:sz="0" w:space="0" w:color="auto"/>
        <w:left w:val="none" w:sz="0" w:space="0" w:color="auto"/>
        <w:bottom w:val="none" w:sz="0" w:space="0" w:color="auto"/>
        <w:right w:val="none" w:sz="0" w:space="0" w:color="auto"/>
      </w:divBdr>
    </w:div>
    <w:div w:id="381831038">
      <w:bodyDiv w:val="1"/>
      <w:marLeft w:val="0"/>
      <w:marRight w:val="0"/>
      <w:marTop w:val="0"/>
      <w:marBottom w:val="0"/>
      <w:divBdr>
        <w:top w:val="none" w:sz="0" w:space="0" w:color="auto"/>
        <w:left w:val="none" w:sz="0" w:space="0" w:color="auto"/>
        <w:bottom w:val="none" w:sz="0" w:space="0" w:color="auto"/>
        <w:right w:val="none" w:sz="0" w:space="0" w:color="auto"/>
      </w:divBdr>
    </w:div>
    <w:div w:id="382600729">
      <w:bodyDiv w:val="1"/>
      <w:marLeft w:val="0"/>
      <w:marRight w:val="0"/>
      <w:marTop w:val="0"/>
      <w:marBottom w:val="0"/>
      <w:divBdr>
        <w:top w:val="none" w:sz="0" w:space="0" w:color="auto"/>
        <w:left w:val="none" w:sz="0" w:space="0" w:color="auto"/>
        <w:bottom w:val="none" w:sz="0" w:space="0" w:color="auto"/>
        <w:right w:val="none" w:sz="0" w:space="0" w:color="auto"/>
      </w:divBdr>
    </w:div>
    <w:div w:id="386145613">
      <w:bodyDiv w:val="1"/>
      <w:marLeft w:val="0"/>
      <w:marRight w:val="0"/>
      <w:marTop w:val="0"/>
      <w:marBottom w:val="0"/>
      <w:divBdr>
        <w:top w:val="none" w:sz="0" w:space="0" w:color="auto"/>
        <w:left w:val="none" w:sz="0" w:space="0" w:color="auto"/>
        <w:bottom w:val="none" w:sz="0" w:space="0" w:color="auto"/>
        <w:right w:val="none" w:sz="0" w:space="0" w:color="auto"/>
      </w:divBdr>
    </w:div>
    <w:div w:id="387191812">
      <w:bodyDiv w:val="1"/>
      <w:marLeft w:val="0"/>
      <w:marRight w:val="0"/>
      <w:marTop w:val="0"/>
      <w:marBottom w:val="0"/>
      <w:divBdr>
        <w:top w:val="none" w:sz="0" w:space="0" w:color="auto"/>
        <w:left w:val="none" w:sz="0" w:space="0" w:color="auto"/>
        <w:bottom w:val="none" w:sz="0" w:space="0" w:color="auto"/>
        <w:right w:val="none" w:sz="0" w:space="0" w:color="auto"/>
      </w:divBdr>
    </w:div>
    <w:div w:id="389379109">
      <w:bodyDiv w:val="1"/>
      <w:marLeft w:val="0"/>
      <w:marRight w:val="0"/>
      <w:marTop w:val="0"/>
      <w:marBottom w:val="0"/>
      <w:divBdr>
        <w:top w:val="none" w:sz="0" w:space="0" w:color="auto"/>
        <w:left w:val="none" w:sz="0" w:space="0" w:color="auto"/>
        <w:bottom w:val="none" w:sz="0" w:space="0" w:color="auto"/>
        <w:right w:val="none" w:sz="0" w:space="0" w:color="auto"/>
      </w:divBdr>
    </w:div>
    <w:div w:id="390857440">
      <w:bodyDiv w:val="1"/>
      <w:marLeft w:val="0"/>
      <w:marRight w:val="0"/>
      <w:marTop w:val="0"/>
      <w:marBottom w:val="0"/>
      <w:divBdr>
        <w:top w:val="none" w:sz="0" w:space="0" w:color="auto"/>
        <w:left w:val="none" w:sz="0" w:space="0" w:color="auto"/>
        <w:bottom w:val="none" w:sz="0" w:space="0" w:color="auto"/>
        <w:right w:val="none" w:sz="0" w:space="0" w:color="auto"/>
      </w:divBdr>
    </w:div>
    <w:div w:id="391849190">
      <w:bodyDiv w:val="1"/>
      <w:marLeft w:val="0"/>
      <w:marRight w:val="0"/>
      <w:marTop w:val="0"/>
      <w:marBottom w:val="0"/>
      <w:divBdr>
        <w:top w:val="none" w:sz="0" w:space="0" w:color="auto"/>
        <w:left w:val="none" w:sz="0" w:space="0" w:color="auto"/>
        <w:bottom w:val="none" w:sz="0" w:space="0" w:color="auto"/>
        <w:right w:val="none" w:sz="0" w:space="0" w:color="auto"/>
      </w:divBdr>
    </w:div>
    <w:div w:id="395016156">
      <w:bodyDiv w:val="1"/>
      <w:marLeft w:val="0"/>
      <w:marRight w:val="0"/>
      <w:marTop w:val="0"/>
      <w:marBottom w:val="0"/>
      <w:divBdr>
        <w:top w:val="none" w:sz="0" w:space="0" w:color="auto"/>
        <w:left w:val="none" w:sz="0" w:space="0" w:color="auto"/>
        <w:bottom w:val="none" w:sz="0" w:space="0" w:color="auto"/>
        <w:right w:val="none" w:sz="0" w:space="0" w:color="auto"/>
      </w:divBdr>
    </w:div>
    <w:div w:id="399720840">
      <w:bodyDiv w:val="1"/>
      <w:marLeft w:val="0"/>
      <w:marRight w:val="0"/>
      <w:marTop w:val="0"/>
      <w:marBottom w:val="0"/>
      <w:divBdr>
        <w:top w:val="none" w:sz="0" w:space="0" w:color="auto"/>
        <w:left w:val="none" w:sz="0" w:space="0" w:color="auto"/>
        <w:bottom w:val="none" w:sz="0" w:space="0" w:color="auto"/>
        <w:right w:val="none" w:sz="0" w:space="0" w:color="auto"/>
      </w:divBdr>
    </w:div>
    <w:div w:id="402412318">
      <w:bodyDiv w:val="1"/>
      <w:marLeft w:val="0"/>
      <w:marRight w:val="0"/>
      <w:marTop w:val="0"/>
      <w:marBottom w:val="0"/>
      <w:divBdr>
        <w:top w:val="none" w:sz="0" w:space="0" w:color="auto"/>
        <w:left w:val="none" w:sz="0" w:space="0" w:color="auto"/>
        <w:bottom w:val="none" w:sz="0" w:space="0" w:color="auto"/>
        <w:right w:val="none" w:sz="0" w:space="0" w:color="auto"/>
      </w:divBdr>
    </w:div>
    <w:div w:id="405301293">
      <w:bodyDiv w:val="1"/>
      <w:marLeft w:val="0"/>
      <w:marRight w:val="0"/>
      <w:marTop w:val="0"/>
      <w:marBottom w:val="0"/>
      <w:divBdr>
        <w:top w:val="none" w:sz="0" w:space="0" w:color="auto"/>
        <w:left w:val="none" w:sz="0" w:space="0" w:color="auto"/>
        <w:bottom w:val="none" w:sz="0" w:space="0" w:color="auto"/>
        <w:right w:val="none" w:sz="0" w:space="0" w:color="auto"/>
      </w:divBdr>
    </w:div>
    <w:div w:id="407920593">
      <w:bodyDiv w:val="1"/>
      <w:marLeft w:val="0"/>
      <w:marRight w:val="0"/>
      <w:marTop w:val="0"/>
      <w:marBottom w:val="0"/>
      <w:divBdr>
        <w:top w:val="none" w:sz="0" w:space="0" w:color="auto"/>
        <w:left w:val="none" w:sz="0" w:space="0" w:color="auto"/>
        <w:bottom w:val="none" w:sz="0" w:space="0" w:color="auto"/>
        <w:right w:val="none" w:sz="0" w:space="0" w:color="auto"/>
      </w:divBdr>
    </w:div>
    <w:div w:id="411127061">
      <w:bodyDiv w:val="1"/>
      <w:marLeft w:val="0"/>
      <w:marRight w:val="0"/>
      <w:marTop w:val="0"/>
      <w:marBottom w:val="0"/>
      <w:divBdr>
        <w:top w:val="none" w:sz="0" w:space="0" w:color="auto"/>
        <w:left w:val="none" w:sz="0" w:space="0" w:color="auto"/>
        <w:bottom w:val="none" w:sz="0" w:space="0" w:color="auto"/>
        <w:right w:val="none" w:sz="0" w:space="0" w:color="auto"/>
      </w:divBdr>
    </w:div>
    <w:div w:id="422800703">
      <w:bodyDiv w:val="1"/>
      <w:marLeft w:val="0"/>
      <w:marRight w:val="0"/>
      <w:marTop w:val="0"/>
      <w:marBottom w:val="0"/>
      <w:divBdr>
        <w:top w:val="none" w:sz="0" w:space="0" w:color="auto"/>
        <w:left w:val="none" w:sz="0" w:space="0" w:color="auto"/>
        <w:bottom w:val="none" w:sz="0" w:space="0" w:color="auto"/>
        <w:right w:val="none" w:sz="0" w:space="0" w:color="auto"/>
      </w:divBdr>
    </w:div>
    <w:div w:id="423917425">
      <w:bodyDiv w:val="1"/>
      <w:marLeft w:val="0"/>
      <w:marRight w:val="0"/>
      <w:marTop w:val="0"/>
      <w:marBottom w:val="0"/>
      <w:divBdr>
        <w:top w:val="none" w:sz="0" w:space="0" w:color="auto"/>
        <w:left w:val="none" w:sz="0" w:space="0" w:color="auto"/>
        <w:bottom w:val="none" w:sz="0" w:space="0" w:color="auto"/>
        <w:right w:val="none" w:sz="0" w:space="0" w:color="auto"/>
      </w:divBdr>
    </w:div>
    <w:div w:id="423919355">
      <w:bodyDiv w:val="1"/>
      <w:marLeft w:val="0"/>
      <w:marRight w:val="0"/>
      <w:marTop w:val="0"/>
      <w:marBottom w:val="0"/>
      <w:divBdr>
        <w:top w:val="none" w:sz="0" w:space="0" w:color="auto"/>
        <w:left w:val="none" w:sz="0" w:space="0" w:color="auto"/>
        <w:bottom w:val="none" w:sz="0" w:space="0" w:color="auto"/>
        <w:right w:val="none" w:sz="0" w:space="0" w:color="auto"/>
      </w:divBdr>
    </w:div>
    <w:div w:id="425080306">
      <w:bodyDiv w:val="1"/>
      <w:marLeft w:val="0"/>
      <w:marRight w:val="0"/>
      <w:marTop w:val="0"/>
      <w:marBottom w:val="0"/>
      <w:divBdr>
        <w:top w:val="none" w:sz="0" w:space="0" w:color="auto"/>
        <w:left w:val="none" w:sz="0" w:space="0" w:color="auto"/>
        <w:bottom w:val="none" w:sz="0" w:space="0" w:color="auto"/>
        <w:right w:val="none" w:sz="0" w:space="0" w:color="auto"/>
      </w:divBdr>
    </w:div>
    <w:div w:id="426774050">
      <w:bodyDiv w:val="1"/>
      <w:marLeft w:val="0"/>
      <w:marRight w:val="0"/>
      <w:marTop w:val="0"/>
      <w:marBottom w:val="0"/>
      <w:divBdr>
        <w:top w:val="none" w:sz="0" w:space="0" w:color="auto"/>
        <w:left w:val="none" w:sz="0" w:space="0" w:color="auto"/>
        <w:bottom w:val="none" w:sz="0" w:space="0" w:color="auto"/>
        <w:right w:val="none" w:sz="0" w:space="0" w:color="auto"/>
      </w:divBdr>
    </w:div>
    <w:div w:id="428237914">
      <w:bodyDiv w:val="1"/>
      <w:marLeft w:val="0"/>
      <w:marRight w:val="0"/>
      <w:marTop w:val="0"/>
      <w:marBottom w:val="0"/>
      <w:divBdr>
        <w:top w:val="none" w:sz="0" w:space="0" w:color="auto"/>
        <w:left w:val="none" w:sz="0" w:space="0" w:color="auto"/>
        <w:bottom w:val="none" w:sz="0" w:space="0" w:color="auto"/>
        <w:right w:val="none" w:sz="0" w:space="0" w:color="auto"/>
      </w:divBdr>
    </w:div>
    <w:div w:id="440730464">
      <w:bodyDiv w:val="1"/>
      <w:marLeft w:val="0"/>
      <w:marRight w:val="0"/>
      <w:marTop w:val="0"/>
      <w:marBottom w:val="0"/>
      <w:divBdr>
        <w:top w:val="none" w:sz="0" w:space="0" w:color="auto"/>
        <w:left w:val="none" w:sz="0" w:space="0" w:color="auto"/>
        <w:bottom w:val="none" w:sz="0" w:space="0" w:color="auto"/>
        <w:right w:val="none" w:sz="0" w:space="0" w:color="auto"/>
      </w:divBdr>
    </w:div>
    <w:div w:id="441413226">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3573145">
      <w:bodyDiv w:val="1"/>
      <w:marLeft w:val="0"/>
      <w:marRight w:val="0"/>
      <w:marTop w:val="0"/>
      <w:marBottom w:val="0"/>
      <w:divBdr>
        <w:top w:val="none" w:sz="0" w:space="0" w:color="auto"/>
        <w:left w:val="none" w:sz="0" w:space="0" w:color="auto"/>
        <w:bottom w:val="none" w:sz="0" w:space="0" w:color="auto"/>
        <w:right w:val="none" w:sz="0" w:space="0" w:color="auto"/>
      </w:divBdr>
    </w:div>
    <w:div w:id="444465877">
      <w:bodyDiv w:val="1"/>
      <w:marLeft w:val="0"/>
      <w:marRight w:val="0"/>
      <w:marTop w:val="0"/>
      <w:marBottom w:val="0"/>
      <w:divBdr>
        <w:top w:val="none" w:sz="0" w:space="0" w:color="auto"/>
        <w:left w:val="none" w:sz="0" w:space="0" w:color="auto"/>
        <w:bottom w:val="none" w:sz="0" w:space="0" w:color="auto"/>
        <w:right w:val="none" w:sz="0" w:space="0" w:color="auto"/>
      </w:divBdr>
    </w:div>
    <w:div w:id="446001044">
      <w:bodyDiv w:val="1"/>
      <w:marLeft w:val="0"/>
      <w:marRight w:val="0"/>
      <w:marTop w:val="0"/>
      <w:marBottom w:val="0"/>
      <w:divBdr>
        <w:top w:val="none" w:sz="0" w:space="0" w:color="auto"/>
        <w:left w:val="none" w:sz="0" w:space="0" w:color="auto"/>
        <w:bottom w:val="none" w:sz="0" w:space="0" w:color="auto"/>
        <w:right w:val="none" w:sz="0" w:space="0" w:color="auto"/>
      </w:divBdr>
    </w:div>
    <w:div w:id="446848606">
      <w:bodyDiv w:val="1"/>
      <w:marLeft w:val="0"/>
      <w:marRight w:val="0"/>
      <w:marTop w:val="0"/>
      <w:marBottom w:val="0"/>
      <w:divBdr>
        <w:top w:val="none" w:sz="0" w:space="0" w:color="auto"/>
        <w:left w:val="none" w:sz="0" w:space="0" w:color="auto"/>
        <w:bottom w:val="none" w:sz="0" w:space="0" w:color="auto"/>
        <w:right w:val="none" w:sz="0" w:space="0" w:color="auto"/>
      </w:divBdr>
    </w:div>
    <w:div w:id="447086656">
      <w:bodyDiv w:val="1"/>
      <w:marLeft w:val="0"/>
      <w:marRight w:val="0"/>
      <w:marTop w:val="0"/>
      <w:marBottom w:val="0"/>
      <w:divBdr>
        <w:top w:val="none" w:sz="0" w:space="0" w:color="auto"/>
        <w:left w:val="none" w:sz="0" w:space="0" w:color="auto"/>
        <w:bottom w:val="none" w:sz="0" w:space="0" w:color="auto"/>
        <w:right w:val="none" w:sz="0" w:space="0" w:color="auto"/>
      </w:divBdr>
    </w:div>
    <w:div w:id="449007201">
      <w:bodyDiv w:val="1"/>
      <w:marLeft w:val="0"/>
      <w:marRight w:val="0"/>
      <w:marTop w:val="0"/>
      <w:marBottom w:val="0"/>
      <w:divBdr>
        <w:top w:val="none" w:sz="0" w:space="0" w:color="auto"/>
        <w:left w:val="none" w:sz="0" w:space="0" w:color="auto"/>
        <w:bottom w:val="none" w:sz="0" w:space="0" w:color="auto"/>
        <w:right w:val="none" w:sz="0" w:space="0" w:color="auto"/>
      </w:divBdr>
    </w:div>
    <w:div w:id="450247570">
      <w:bodyDiv w:val="1"/>
      <w:marLeft w:val="0"/>
      <w:marRight w:val="0"/>
      <w:marTop w:val="0"/>
      <w:marBottom w:val="0"/>
      <w:divBdr>
        <w:top w:val="none" w:sz="0" w:space="0" w:color="auto"/>
        <w:left w:val="none" w:sz="0" w:space="0" w:color="auto"/>
        <w:bottom w:val="none" w:sz="0" w:space="0" w:color="auto"/>
        <w:right w:val="none" w:sz="0" w:space="0" w:color="auto"/>
      </w:divBdr>
    </w:div>
    <w:div w:id="451287702">
      <w:bodyDiv w:val="1"/>
      <w:marLeft w:val="0"/>
      <w:marRight w:val="0"/>
      <w:marTop w:val="0"/>
      <w:marBottom w:val="0"/>
      <w:divBdr>
        <w:top w:val="none" w:sz="0" w:space="0" w:color="auto"/>
        <w:left w:val="none" w:sz="0" w:space="0" w:color="auto"/>
        <w:bottom w:val="none" w:sz="0" w:space="0" w:color="auto"/>
        <w:right w:val="none" w:sz="0" w:space="0" w:color="auto"/>
      </w:divBdr>
    </w:div>
    <w:div w:id="454834716">
      <w:bodyDiv w:val="1"/>
      <w:marLeft w:val="0"/>
      <w:marRight w:val="0"/>
      <w:marTop w:val="0"/>
      <w:marBottom w:val="0"/>
      <w:divBdr>
        <w:top w:val="none" w:sz="0" w:space="0" w:color="auto"/>
        <w:left w:val="none" w:sz="0" w:space="0" w:color="auto"/>
        <w:bottom w:val="none" w:sz="0" w:space="0" w:color="auto"/>
        <w:right w:val="none" w:sz="0" w:space="0" w:color="auto"/>
      </w:divBdr>
    </w:div>
    <w:div w:id="45582950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795722">
      <w:bodyDiv w:val="1"/>
      <w:marLeft w:val="0"/>
      <w:marRight w:val="0"/>
      <w:marTop w:val="0"/>
      <w:marBottom w:val="0"/>
      <w:divBdr>
        <w:top w:val="none" w:sz="0" w:space="0" w:color="auto"/>
        <w:left w:val="none" w:sz="0" w:space="0" w:color="auto"/>
        <w:bottom w:val="none" w:sz="0" w:space="0" w:color="auto"/>
        <w:right w:val="none" w:sz="0" w:space="0" w:color="auto"/>
      </w:divBdr>
    </w:div>
    <w:div w:id="465511456">
      <w:bodyDiv w:val="1"/>
      <w:marLeft w:val="0"/>
      <w:marRight w:val="0"/>
      <w:marTop w:val="0"/>
      <w:marBottom w:val="0"/>
      <w:divBdr>
        <w:top w:val="none" w:sz="0" w:space="0" w:color="auto"/>
        <w:left w:val="none" w:sz="0" w:space="0" w:color="auto"/>
        <w:bottom w:val="none" w:sz="0" w:space="0" w:color="auto"/>
        <w:right w:val="none" w:sz="0" w:space="0" w:color="auto"/>
      </w:divBdr>
    </w:div>
    <w:div w:id="466705500">
      <w:bodyDiv w:val="1"/>
      <w:marLeft w:val="0"/>
      <w:marRight w:val="0"/>
      <w:marTop w:val="0"/>
      <w:marBottom w:val="0"/>
      <w:divBdr>
        <w:top w:val="none" w:sz="0" w:space="0" w:color="auto"/>
        <w:left w:val="none" w:sz="0" w:space="0" w:color="auto"/>
        <w:bottom w:val="none" w:sz="0" w:space="0" w:color="auto"/>
        <w:right w:val="none" w:sz="0" w:space="0" w:color="auto"/>
      </w:divBdr>
    </w:div>
    <w:div w:id="466820317">
      <w:bodyDiv w:val="1"/>
      <w:marLeft w:val="0"/>
      <w:marRight w:val="0"/>
      <w:marTop w:val="0"/>
      <w:marBottom w:val="0"/>
      <w:divBdr>
        <w:top w:val="none" w:sz="0" w:space="0" w:color="auto"/>
        <w:left w:val="none" w:sz="0" w:space="0" w:color="auto"/>
        <w:bottom w:val="none" w:sz="0" w:space="0" w:color="auto"/>
        <w:right w:val="none" w:sz="0" w:space="0" w:color="auto"/>
      </w:divBdr>
    </w:div>
    <w:div w:id="469442401">
      <w:bodyDiv w:val="1"/>
      <w:marLeft w:val="0"/>
      <w:marRight w:val="0"/>
      <w:marTop w:val="0"/>
      <w:marBottom w:val="0"/>
      <w:divBdr>
        <w:top w:val="none" w:sz="0" w:space="0" w:color="auto"/>
        <w:left w:val="none" w:sz="0" w:space="0" w:color="auto"/>
        <w:bottom w:val="none" w:sz="0" w:space="0" w:color="auto"/>
        <w:right w:val="none" w:sz="0" w:space="0" w:color="auto"/>
      </w:divBdr>
    </w:div>
    <w:div w:id="474882520">
      <w:bodyDiv w:val="1"/>
      <w:marLeft w:val="0"/>
      <w:marRight w:val="0"/>
      <w:marTop w:val="0"/>
      <w:marBottom w:val="0"/>
      <w:divBdr>
        <w:top w:val="none" w:sz="0" w:space="0" w:color="auto"/>
        <w:left w:val="none" w:sz="0" w:space="0" w:color="auto"/>
        <w:bottom w:val="none" w:sz="0" w:space="0" w:color="auto"/>
        <w:right w:val="none" w:sz="0" w:space="0" w:color="auto"/>
      </w:divBdr>
    </w:div>
    <w:div w:id="483547431">
      <w:bodyDiv w:val="1"/>
      <w:marLeft w:val="0"/>
      <w:marRight w:val="0"/>
      <w:marTop w:val="0"/>
      <w:marBottom w:val="0"/>
      <w:divBdr>
        <w:top w:val="none" w:sz="0" w:space="0" w:color="auto"/>
        <w:left w:val="none" w:sz="0" w:space="0" w:color="auto"/>
        <w:bottom w:val="none" w:sz="0" w:space="0" w:color="auto"/>
        <w:right w:val="none" w:sz="0" w:space="0" w:color="auto"/>
      </w:divBdr>
    </w:div>
    <w:div w:id="484080492">
      <w:bodyDiv w:val="1"/>
      <w:marLeft w:val="0"/>
      <w:marRight w:val="0"/>
      <w:marTop w:val="0"/>
      <w:marBottom w:val="0"/>
      <w:divBdr>
        <w:top w:val="none" w:sz="0" w:space="0" w:color="auto"/>
        <w:left w:val="none" w:sz="0" w:space="0" w:color="auto"/>
        <w:bottom w:val="none" w:sz="0" w:space="0" w:color="auto"/>
        <w:right w:val="none" w:sz="0" w:space="0" w:color="auto"/>
      </w:divBdr>
    </w:div>
    <w:div w:id="486095181">
      <w:bodyDiv w:val="1"/>
      <w:marLeft w:val="0"/>
      <w:marRight w:val="0"/>
      <w:marTop w:val="0"/>
      <w:marBottom w:val="0"/>
      <w:divBdr>
        <w:top w:val="none" w:sz="0" w:space="0" w:color="auto"/>
        <w:left w:val="none" w:sz="0" w:space="0" w:color="auto"/>
        <w:bottom w:val="none" w:sz="0" w:space="0" w:color="auto"/>
        <w:right w:val="none" w:sz="0" w:space="0" w:color="auto"/>
      </w:divBdr>
    </w:div>
    <w:div w:id="492070217">
      <w:bodyDiv w:val="1"/>
      <w:marLeft w:val="0"/>
      <w:marRight w:val="0"/>
      <w:marTop w:val="0"/>
      <w:marBottom w:val="0"/>
      <w:divBdr>
        <w:top w:val="none" w:sz="0" w:space="0" w:color="auto"/>
        <w:left w:val="none" w:sz="0" w:space="0" w:color="auto"/>
        <w:bottom w:val="none" w:sz="0" w:space="0" w:color="auto"/>
        <w:right w:val="none" w:sz="0" w:space="0" w:color="auto"/>
      </w:divBdr>
    </w:div>
    <w:div w:id="493574495">
      <w:bodyDiv w:val="1"/>
      <w:marLeft w:val="0"/>
      <w:marRight w:val="0"/>
      <w:marTop w:val="0"/>
      <w:marBottom w:val="0"/>
      <w:divBdr>
        <w:top w:val="none" w:sz="0" w:space="0" w:color="auto"/>
        <w:left w:val="none" w:sz="0" w:space="0" w:color="auto"/>
        <w:bottom w:val="none" w:sz="0" w:space="0" w:color="auto"/>
        <w:right w:val="none" w:sz="0" w:space="0" w:color="auto"/>
      </w:divBdr>
    </w:div>
    <w:div w:id="494105028">
      <w:bodyDiv w:val="1"/>
      <w:marLeft w:val="0"/>
      <w:marRight w:val="0"/>
      <w:marTop w:val="0"/>
      <w:marBottom w:val="0"/>
      <w:divBdr>
        <w:top w:val="none" w:sz="0" w:space="0" w:color="auto"/>
        <w:left w:val="none" w:sz="0" w:space="0" w:color="auto"/>
        <w:bottom w:val="none" w:sz="0" w:space="0" w:color="auto"/>
        <w:right w:val="none" w:sz="0" w:space="0" w:color="auto"/>
      </w:divBdr>
    </w:div>
    <w:div w:id="495462024">
      <w:bodyDiv w:val="1"/>
      <w:marLeft w:val="0"/>
      <w:marRight w:val="0"/>
      <w:marTop w:val="0"/>
      <w:marBottom w:val="0"/>
      <w:divBdr>
        <w:top w:val="none" w:sz="0" w:space="0" w:color="auto"/>
        <w:left w:val="none" w:sz="0" w:space="0" w:color="auto"/>
        <w:bottom w:val="none" w:sz="0" w:space="0" w:color="auto"/>
        <w:right w:val="none" w:sz="0" w:space="0" w:color="auto"/>
      </w:divBdr>
    </w:div>
    <w:div w:id="496383114">
      <w:bodyDiv w:val="1"/>
      <w:marLeft w:val="0"/>
      <w:marRight w:val="0"/>
      <w:marTop w:val="0"/>
      <w:marBottom w:val="0"/>
      <w:divBdr>
        <w:top w:val="none" w:sz="0" w:space="0" w:color="auto"/>
        <w:left w:val="none" w:sz="0" w:space="0" w:color="auto"/>
        <w:bottom w:val="none" w:sz="0" w:space="0" w:color="auto"/>
        <w:right w:val="none" w:sz="0" w:space="0" w:color="auto"/>
      </w:divBdr>
    </w:div>
    <w:div w:id="502165627">
      <w:bodyDiv w:val="1"/>
      <w:marLeft w:val="0"/>
      <w:marRight w:val="0"/>
      <w:marTop w:val="0"/>
      <w:marBottom w:val="0"/>
      <w:divBdr>
        <w:top w:val="none" w:sz="0" w:space="0" w:color="auto"/>
        <w:left w:val="none" w:sz="0" w:space="0" w:color="auto"/>
        <w:bottom w:val="none" w:sz="0" w:space="0" w:color="auto"/>
        <w:right w:val="none" w:sz="0" w:space="0" w:color="auto"/>
      </w:divBdr>
    </w:div>
    <w:div w:id="506021410">
      <w:bodyDiv w:val="1"/>
      <w:marLeft w:val="0"/>
      <w:marRight w:val="0"/>
      <w:marTop w:val="0"/>
      <w:marBottom w:val="0"/>
      <w:divBdr>
        <w:top w:val="none" w:sz="0" w:space="0" w:color="auto"/>
        <w:left w:val="none" w:sz="0" w:space="0" w:color="auto"/>
        <w:bottom w:val="none" w:sz="0" w:space="0" w:color="auto"/>
        <w:right w:val="none" w:sz="0" w:space="0" w:color="auto"/>
      </w:divBdr>
    </w:div>
    <w:div w:id="506948824">
      <w:bodyDiv w:val="1"/>
      <w:marLeft w:val="0"/>
      <w:marRight w:val="0"/>
      <w:marTop w:val="0"/>
      <w:marBottom w:val="0"/>
      <w:divBdr>
        <w:top w:val="none" w:sz="0" w:space="0" w:color="auto"/>
        <w:left w:val="none" w:sz="0" w:space="0" w:color="auto"/>
        <w:bottom w:val="none" w:sz="0" w:space="0" w:color="auto"/>
        <w:right w:val="none" w:sz="0" w:space="0" w:color="auto"/>
      </w:divBdr>
    </w:div>
    <w:div w:id="510682864">
      <w:bodyDiv w:val="1"/>
      <w:marLeft w:val="0"/>
      <w:marRight w:val="0"/>
      <w:marTop w:val="0"/>
      <w:marBottom w:val="0"/>
      <w:divBdr>
        <w:top w:val="none" w:sz="0" w:space="0" w:color="auto"/>
        <w:left w:val="none" w:sz="0" w:space="0" w:color="auto"/>
        <w:bottom w:val="none" w:sz="0" w:space="0" w:color="auto"/>
        <w:right w:val="none" w:sz="0" w:space="0" w:color="auto"/>
      </w:divBdr>
    </w:div>
    <w:div w:id="511184891">
      <w:bodyDiv w:val="1"/>
      <w:marLeft w:val="0"/>
      <w:marRight w:val="0"/>
      <w:marTop w:val="0"/>
      <w:marBottom w:val="0"/>
      <w:divBdr>
        <w:top w:val="none" w:sz="0" w:space="0" w:color="auto"/>
        <w:left w:val="none" w:sz="0" w:space="0" w:color="auto"/>
        <w:bottom w:val="none" w:sz="0" w:space="0" w:color="auto"/>
        <w:right w:val="none" w:sz="0" w:space="0" w:color="auto"/>
      </w:divBdr>
    </w:div>
    <w:div w:id="511727050">
      <w:bodyDiv w:val="1"/>
      <w:marLeft w:val="0"/>
      <w:marRight w:val="0"/>
      <w:marTop w:val="0"/>
      <w:marBottom w:val="0"/>
      <w:divBdr>
        <w:top w:val="none" w:sz="0" w:space="0" w:color="auto"/>
        <w:left w:val="none" w:sz="0" w:space="0" w:color="auto"/>
        <w:bottom w:val="none" w:sz="0" w:space="0" w:color="auto"/>
        <w:right w:val="none" w:sz="0" w:space="0" w:color="auto"/>
      </w:divBdr>
    </w:div>
    <w:div w:id="512376906">
      <w:bodyDiv w:val="1"/>
      <w:marLeft w:val="0"/>
      <w:marRight w:val="0"/>
      <w:marTop w:val="0"/>
      <w:marBottom w:val="0"/>
      <w:divBdr>
        <w:top w:val="none" w:sz="0" w:space="0" w:color="auto"/>
        <w:left w:val="none" w:sz="0" w:space="0" w:color="auto"/>
        <w:bottom w:val="none" w:sz="0" w:space="0" w:color="auto"/>
        <w:right w:val="none" w:sz="0" w:space="0" w:color="auto"/>
      </w:divBdr>
    </w:div>
    <w:div w:id="512841345">
      <w:bodyDiv w:val="1"/>
      <w:marLeft w:val="0"/>
      <w:marRight w:val="0"/>
      <w:marTop w:val="0"/>
      <w:marBottom w:val="0"/>
      <w:divBdr>
        <w:top w:val="none" w:sz="0" w:space="0" w:color="auto"/>
        <w:left w:val="none" w:sz="0" w:space="0" w:color="auto"/>
        <w:bottom w:val="none" w:sz="0" w:space="0" w:color="auto"/>
        <w:right w:val="none" w:sz="0" w:space="0" w:color="auto"/>
      </w:divBdr>
    </w:div>
    <w:div w:id="514149461">
      <w:bodyDiv w:val="1"/>
      <w:marLeft w:val="0"/>
      <w:marRight w:val="0"/>
      <w:marTop w:val="0"/>
      <w:marBottom w:val="0"/>
      <w:divBdr>
        <w:top w:val="none" w:sz="0" w:space="0" w:color="auto"/>
        <w:left w:val="none" w:sz="0" w:space="0" w:color="auto"/>
        <w:bottom w:val="none" w:sz="0" w:space="0" w:color="auto"/>
        <w:right w:val="none" w:sz="0" w:space="0" w:color="auto"/>
      </w:divBdr>
    </w:div>
    <w:div w:id="517086011">
      <w:bodyDiv w:val="1"/>
      <w:marLeft w:val="0"/>
      <w:marRight w:val="0"/>
      <w:marTop w:val="0"/>
      <w:marBottom w:val="0"/>
      <w:divBdr>
        <w:top w:val="none" w:sz="0" w:space="0" w:color="auto"/>
        <w:left w:val="none" w:sz="0" w:space="0" w:color="auto"/>
        <w:bottom w:val="none" w:sz="0" w:space="0" w:color="auto"/>
        <w:right w:val="none" w:sz="0" w:space="0" w:color="auto"/>
      </w:divBdr>
    </w:div>
    <w:div w:id="519856777">
      <w:bodyDiv w:val="1"/>
      <w:marLeft w:val="0"/>
      <w:marRight w:val="0"/>
      <w:marTop w:val="0"/>
      <w:marBottom w:val="0"/>
      <w:divBdr>
        <w:top w:val="none" w:sz="0" w:space="0" w:color="auto"/>
        <w:left w:val="none" w:sz="0" w:space="0" w:color="auto"/>
        <w:bottom w:val="none" w:sz="0" w:space="0" w:color="auto"/>
        <w:right w:val="none" w:sz="0" w:space="0" w:color="auto"/>
      </w:divBdr>
    </w:div>
    <w:div w:id="519902590">
      <w:bodyDiv w:val="1"/>
      <w:marLeft w:val="0"/>
      <w:marRight w:val="0"/>
      <w:marTop w:val="0"/>
      <w:marBottom w:val="0"/>
      <w:divBdr>
        <w:top w:val="none" w:sz="0" w:space="0" w:color="auto"/>
        <w:left w:val="none" w:sz="0" w:space="0" w:color="auto"/>
        <w:bottom w:val="none" w:sz="0" w:space="0" w:color="auto"/>
        <w:right w:val="none" w:sz="0" w:space="0" w:color="auto"/>
      </w:divBdr>
    </w:div>
    <w:div w:id="522591914">
      <w:bodyDiv w:val="1"/>
      <w:marLeft w:val="0"/>
      <w:marRight w:val="0"/>
      <w:marTop w:val="0"/>
      <w:marBottom w:val="0"/>
      <w:divBdr>
        <w:top w:val="none" w:sz="0" w:space="0" w:color="auto"/>
        <w:left w:val="none" w:sz="0" w:space="0" w:color="auto"/>
        <w:bottom w:val="none" w:sz="0" w:space="0" w:color="auto"/>
        <w:right w:val="none" w:sz="0" w:space="0" w:color="auto"/>
      </w:divBdr>
    </w:div>
    <w:div w:id="524053636">
      <w:bodyDiv w:val="1"/>
      <w:marLeft w:val="0"/>
      <w:marRight w:val="0"/>
      <w:marTop w:val="0"/>
      <w:marBottom w:val="0"/>
      <w:divBdr>
        <w:top w:val="none" w:sz="0" w:space="0" w:color="auto"/>
        <w:left w:val="none" w:sz="0" w:space="0" w:color="auto"/>
        <w:bottom w:val="none" w:sz="0" w:space="0" w:color="auto"/>
        <w:right w:val="none" w:sz="0" w:space="0" w:color="auto"/>
      </w:divBdr>
    </w:div>
    <w:div w:id="527645496">
      <w:bodyDiv w:val="1"/>
      <w:marLeft w:val="0"/>
      <w:marRight w:val="0"/>
      <w:marTop w:val="0"/>
      <w:marBottom w:val="0"/>
      <w:divBdr>
        <w:top w:val="none" w:sz="0" w:space="0" w:color="auto"/>
        <w:left w:val="none" w:sz="0" w:space="0" w:color="auto"/>
        <w:bottom w:val="none" w:sz="0" w:space="0" w:color="auto"/>
        <w:right w:val="none" w:sz="0" w:space="0" w:color="auto"/>
      </w:divBdr>
    </w:div>
    <w:div w:id="52822628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043607">
      <w:bodyDiv w:val="1"/>
      <w:marLeft w:val="0"/>
      <w:marRight w:val="0"/>
      <w:marTop w:val="0"/>
      <w:marBottom w:val="0"/>
      <w:divBdr>
        <w:top w:val="none" w:sz="0" w:space="0" w:color="auto"/>
        <w:left w:val="none" w:sz="0" w:space="0" w:color="auto"/>
        <w:bottom w:val="none" w:sz="0" w:space="0" w:color="auto"/>
        <w:right w:val="none" w:sz="0" w:space="0" w:color="auto"/>
      </w:divBdr>
    </w:div>
    <w:div w:id="537157966">
      <w:bodyDiv w:val="1"/>
      <w:marLeft w:val="0"/>
      <w:marRight w:val="0"/>
      <w:marTop w:val="0"/>
      <w:marBottom w:val="0"/>
      <w:divBdr>
        <w:top w:val="none" w:sz="0" w:space="0" w:color="auto"/>
        <w:left w:val="none" w:sz="0" w:space="0" w:color="auto"/>
        <w:bottom w:val="none" w:sz="0" w:space="0" w:color="auto"/>
        <w:right w:val="none" w:sz="0" w:space="0" w:color="auto"/>
      </w:divBdr>
    </w:div>
    <w:div w:id="537163404">
      <w:bodyDiv w:val="1"/>
      <w:marLeft w:val="0"/>
      <w:marRight w:val="0"/>
      <w:marTop w:val="0"/>
      <w:marBottom w:val="0"/>
      <w:divBdr>
        <w:top w:val="none" w:sz="0" w:space="0" w:color="auto"/>
        <w:left w:val="none" w:sz="0" w:space="0" w:color="auto"/>
        <w:bottom w:val="none" w:sz="0" w:space="0" w:color="auto"/>
        <w:right w:val="none" w:sz="0" w:space="0" w:color="auto"/>
      </w:divBdr>
    </w:div>
    <w:div w:id="539367147">
      <w:bodyDiv w:val="1"/>
      <w:marLeft w:val="0"/>
      <w:marRight w:val="0"/>
      <w:marTop w:val="0"/>
      <w:marBottom w:val="0"/>
      <w:divBdr>
        <w:top w:val="none" w:sz="0" w:space="0" w:color="auto"/>
        <w:left w:val="none" w:sz="0" w:space="0" w:color="auto"/>
        <w:bottom w:val="none" w:sz="0" w:space="0" w:color="auto"/>
        <w:right w:val="none" w:sz="0" w:space="0" w:color="auto"/>
      </w:divBdr>
    </w:div>
    <w:div w:id="543568694">
      <w:bodyDiv w:val="1"/>
      <w:marLeft w:val="0"/>
      <w:marRight w:val="0"/>
      <w:marTop w:val="0"/>
      <w:marBottom w:val="0"/>
      <w:divBdr>
        <w:top w:val="none" w:sz="0" w:space="0" w:color="auto"/>
        <w:left w:val="none" w:sz="0" w:space="0" w:color="auto"/>
        <w:bottom w:val="none" w:sz="0" w:space="0" w:color="auto"/>
        <w:right w:val="none" w:sz="0" w:space="0" w:color="auto"/>
      </w:divBdr>
    </w:div>
    <w:div w:id="543949474">
      <w:bodyDiv w:val="1"/>
      <w:marLeft w:val="0"/>
      <w:marRight w:val="0"/>
      <w:marTop w:val="0"/>
      <w:marBottom w:val="0"/>
      <w:divBdr>
        <w:top w:val="none" w:sz="0" w:space="0" w:color="auto"/>
        <w:left w:val="none" w:sz="0" w:space="0" w:color="auto"/>
        <w:bottom w:val="none" w:sz="0" w:space="0" w:color="auto"/>
        <w:right w:val="none" w:sz="0" w:space="0" w:color="auto"/>
      </w:divBdr>
    </w:div>
    <w:div w:id="545993182">
      <w:bodyDiv w:val="1"/>
      <w:marLeft w:val="0"/>
      <w:marRight w:val="0"/>
      <w:marTop w:val="0"/>
      <w:marBottom w:val="0"/>
      <w:divBdr>
        <w:top w:val="none" w:sz="0" w:space="0" w:color="auto"/>
        <w:left w:val="none" w:sz="0" w:space="0" w:color="auto"/>
        <w:bottom w:val="none" w:sz="0" w:space="0" w:color="auto"/>
        <w:right w:val="none" w:sz="0" w:space="0" w:color="auto"/>
      </w:divBdr>
    </w:div>
    <w:div w:id="548959967">
      <w:bodyDiv w:val="1"/>
      <w:marLeft w:val="0"/>
      <w:marRight w:val="0"/>
      <w:marTop w:val="0"/>
      <w:marBottom w:val="0"/>
      <w:divBdr>
        <w:top w:val="none" w:sz="0" w:space="0" w:color="auto"/>
        <w:left w:val="none" w:sz="0" w:space="0" w:color="auto"/>
        <w:bottom w:val="none" w:sz="0" w:space="0" w:color="auto"/>
        <w:right w:val="none" w:sz="0" w:space="0" w:color="auto"/>
      </w:divBdr>
    </w:div>
    <w:div w:id="550461550">
      <w:bodyDiv w:val="1"/>
      <w:marLeft w:val="0"/>
      <w:marRight w:val="0"/>
      <w:marTop w:val="0"/>
      <w:marBottom w:val="0"/>
      <w:divBdr>
        <w:top w:val="none" w:sz="0" w:space="0" w:color="auto"/>
        <w:left w:val="none" w:sz="0" w:space="0" w:color="auto"/>
        <w:bottom w:val="none" w:sz="0" w:space="0" w:color="auto"/>
        <w:right w:val="none" w:sz="0" w:space="0" w:color="auto"/>
      </w:divBdr>
    </w:div>
    <w:div w:id="551115536">
      <w:bodyDiv w:val="1"/>
      <w:marLeft w:val="0"/>
      <w:marRight w:val="0"/>
      <w:marTop w:val="0"/>
      <w:marBottom w:val="0"/>
      <w:divBdr>
        <w:top w:val="none" w:sz="0" w:space="0" w:color="auto"/>
        <w:left w:val="none" w:sz="0" w:space="0" w:color="auto"/>
        <w:bottom w:val="none" w:sz="0" w:space="0" w:color="auto"/>
        <w:right w:val="none" w:sz="0" w:space="0" w:color="auto"/>
      </w:divBdr>
    </w:div>
    <w:div w:id="551120910">
      <w:bodyDiv w:val="1"/>
      <w:marLeft w:val="0"/>
      <w:marRight w:val="0"/>
      <w:marTop w:val="0"/>
      <w:marBottom w:val="0"/>
      <w:divBdr>
        <w:top w:val="none" w:sz="0" w:space="0" w:color="auto"/>
        <w:left w:val="none" w:sz="0" w:space="0" w:color="auto"/>
        <w:bottom w:val="none" w:sz="0" w:space="0" w:color="auto"/>
        <w:right w:val="none" w:sz="0" w:space="0" w:color="auto"/>
      </w:divBdr>
    </w:div>
    <w:div w:id="552348186">
      <w:bodyDiv w:val="1"/>
      <w:marLeft w:val="0"/>
      <w:marRight w:val="0"/>
      <w:marTop w:val="0"/>
      <w:marBottom w:val="0"/>
      <w:divBdr>
        <w:top w:val="none" w:sz="0" w:space="0" w:color="auto"/>
        <w:left w:val="none" w:sz="0" w:space="0" w:color="auto"/>
        <w:bottom w:val="none" w:sz="0" w:space="0" w:color="auto"/>
        <w:right w:val="none" w:sz="0" w:space="0" w:color="auto"/>
      </w:divBdr>
    </w:div>
    <w:div w:id="554702342">
      <w:bodyDiv w:val="1"/>
      <w:marLeft w:val="0"/>
      <w:marRight w:val="0"/>
      <w:marTop w:val="0"/>
      <w:marBottom w:val="0"/>
      <w:divBdr>
        <w:top w:val="none" w:sz="0" w:space="0" w:color="auto"/>
        <w:left w:val="none" w:sz="0" w:space="0" w:color="auto"/>
        <w:bottom w:val="none" w:sz="0" w:space="0" w:color="auto"/>
        <w:right w:val="none" w:sz="0" w:space="0" w:color="auto"/>
      </w:divBdr>
    </w:div>
    <w:div w:id="556169023">
      <w:bodyDiv w:val="1"/>
      <w:marLeft w:val="0"/>
      <w:marRight w:val="0"/>
      <w:marTop w:val="0"/>
      <w:marBottom w:val="0"/>
      <w:divBdr>
        <w:top w:val="none" w:sz="0" w:space="0" w:color="auto"/>
        <w:left w:val="none" w:sz="0" w:space="0" w:color="auto"/>
        <w:bottom w:val="none" w:sz="0" w:space="0" w:color="auto"/>
        <w:right w:val="none" w:sz="0" w:space="0" w:color="auto"/>
      </w:divBdr>
    </w:div>
    <w:div w:id="556597380">
      <w:bodyDiv w:val="1"/>
      <w:marLeft w:val="0"/>
      <w:marRight w:val="0"/>
      <w:marTop w:val="0"/>
      <w:marBottom w:val="0"/>
      <w:divBdr>
        <w:top w:val="none" w:sz="0" w:space="0" w:color="auto"/>
        <w:left w:val="none" w:sz="0" w:space="0" w:color="auto"/>
        <w:bottom w:val="none" w:sz="0" w:space="0" w:color="auto"/>
        <w:right w:val="none" w:sz="0" w:space="0" w:color="auto"/>
      </w:divBdr>
    </w:div>
    <w:div w:id="557670977">
      <w:bodyDiv w:val="1"/>
      <w:marLeft w:val="0"/>
      <w:marRight w:val="0"/>
      <w:marTop w:val="0"/>
      <w:marBottom w:val="0"/>
      <w:divBdr>
        <w:top w:val="none" w:sz="0" w:space="0" w:color="auto"/>
        <w:left w:val="none" w:sz="0" w:space="0" w:color="auto"/>
        <w:bottom w:val="none" w:sz="0" w:space="0" w:color="auto"/>
        <w:right w:val="none" w:sz="0" w:space="0" w:color="auto"/>
      </w:divBdr>
    </w:div>
    <w:div w:id="564612069">
      <w:bodyDiv w:val="1"/>
      <w:marLeft w:val="0"/>
      <w:marRight w:val="0"/>
      <w:marTop w:val="0"/>
      <w:marBottom w:val="0"/>
      <w:divBdr>
        <w:top w:val="none" w:sz="0" w:space="0" w:color="auto"/>
        <w:left w:val="none" w:sz="0" w:space="0" w:color="auto"/>
        <w:bottom w:val="none" w:sz="0" w:space="0" w:color="auto"/>
        <w:right w:val="none" w:sz="0" w:space="0" w:color="auto"/>
      </w:divBdr>
    </w:div>
    <w:div w:id="564996118">
      <w:bodyDiv w:val="1"/>
      <w:marLeft w:val="0"/>
      <w:marRight w:val="0"/>
      <w:marTop w:val="0"/>
      <w:marBottom w:val="0"/>
      <w:divBdr>
        <w:top w:val="none" w:sz="0" w:space="0" w:color="auto"/>
        <w:left w:val="none" w:sz="0" w:space="0" w:color="auto"/>
        <w:bottom w:val="none" w:sz="0" w:space="0" w:color="auto"/>
        <w:right w:val="none" w:sz="0" w:space="0" w:color="auto"/>
      </w:divBdr>
    </w:div>
    <w:div w:id="568155735">
      <w:bodyDiv w:val="1"/>
      <w:marLeft w:val="0"/>
      <w:marRight w:val="0"/>
      <w:marTop w:val="0"/>
      <w:marBottom w:val="0"/>
      <w:divBdr>
        <w:top w:val="none" w:sz="0" w:space="0" w:color="auto"/>
        <w:left w:val="none" w:sz="0" w:space="0" w:color="auto"/>
        <w:bottom w:val="none" w:sz="0" w:space="0" w:color="auto"/>
        <w:right w:val="none" w:sz="0" w:space="0" w:color="auto"/>
      </w:divBdr>
    </w:div>
    <w:div w:id="569731049">
      <w:bodyDiv w:val="1"/>
      <w:marLeft w:val="0"/>
      <w:marRight w:val="0"/>
      <w:marTop w:val="0"/>
      <w:marBottom w:val="0"/>
      <w:divBdr>
        <w:top w:val="none" w:sz="0" w:space="0" w:color="auto"/>
        <w:left w:val="none" w:sz="0" w:space="0" w:color="auto"/>
        <w:bottom w:val="none" w:sz="0" w:space="0" w:color="auto"/>
        <w:right w:val="none" w:sz="0" w:space="0" w:color="auto"/>
      </w:divBdr>
    </w:div>
    <w:div w:id="573972286">
      <w:bodyDiv w:val="1"/>
      <w:marLeft w:val="0"/>
      <w:marRight w:val="0"/>
      <w:marTop w:val="0"/>
      <w:marBottom w:val="0"/>
      <w:divBdr>
        <w:top w:val="none" w:sz="0" w:space="0" w:color="auto"/>
        <w:left w:val="none" w:sz="0" w:space="0" w:color="auto"/>
        <w:bottom w:val="none" w:sz="0" w:space="0" w:color="auto"/>
        <w:right w:val="none" w:sz="0" w:space="0" w:color="auto"/>
      </w:divBdr>
    </w:div>
    <w:div w:id="575215120">
      <w:bodyDiv w:val="1"/>
      <w:marLeft w:val="0"/>
      <w:marRight w:val="0"/>
      <w:marTop w:val="0"/>
      <w:marBottom w:val="0"/>
      <w:divBdr>
        <w:top w:val="none" w:sz="0" w:space="0" w:color="auto"/>
        <w:left w:val="none" w:sz="0" w:space="0" w:color="auto"/>
        <w:bottom w:val="none" w:sz="0" w:space="0" w:color="auto"/>
        <w:right w:val="none" w:sz="0" w:space="0" w:color="auto"/>
      </w:divBdr>
    </w:div>
    <w:div w:id="575360783">
      <w:bodyDiv w:val="1"/>
      <w:marLeft w:val="0"/>
      <w:marRight w:val="0"/>
      <w:marTop w:val="0"/>
      <w:marBottom w:val="0"/>
      <w:divBdr>
        <w:top w:val="none" w:sz="0" w:space="0" w:color="auto"/>
        <w:left w:val="none" w:sz="0" w:space="0" w:color="auto"/>
        <w:bottom w:val="none" w:sz="0" w:space="0" w:color="auto"/>
        <w:right w:val="none" w:sz="0" w:space="0" w:color="auto"/>
      </w:divBdr>
    </w:div>
    <w:div w:id="575433278">
      <w:bodyDiv w:val="1"/>
      <w:marLeft w:val="0"/>
      <w:marRight w:val="0"/>
      <w:marTop w:val="0"/>
      <w:marBottom w:val="0"/>
      <w:divBdr>
        <w:top w:val="none" w:sz="0" w:space="0" w:color="auto"/>
        <w:left w:val="none" w:sz="0" w:space="0" w:color="auto"/>
        <w:bottom w:val="none" w:sz="0" w:space="0" w:color="auto"/>
        <w:right w:val="none" w:sz="0" w:space="0" w:color="auto"/>
      </w:divBdr>
    </w:div>
    <w:div w:id="579679231">
      <w:bodyDiv w:val="1"/>
      <w:marLeft w:val="0"/>
      <w:marRight w:val="0"/>
      <w:marTop w:val="0"/>
      <w:marBottom w:val="0"/>
      <w:divBdr>
        <w:top w:val="none" w:sz="0" w:space="0" w:color="auto"/>
        <w:left w:val="none" w:sz="0" w:space="0" w:color="auto"/>
        <w:bottom w:val="none" w:sz="0" w:space="0" w:color="auto"/>
        <w:right w:val="none" w:sz="0" w:space="0" w:color="auto"/>
      </w:divBdr>
    </w:div>
    <w:div w:id="582105312">
      <w:bodyDiv w:val="1"/>
      <w:marLeft w:val="0"/>
      <w:marRight w:val="0"/>
      <w:marTop w:val="0"/>
      <w:marBottom w:val="0"/>
      <w:divBdr>
        <w:top w:val="none" w:sz="0" w:space="0" w:color="auto"/>
        <w:left w:val="none" w:sz="0" w:space="0" w:color="auto"/>
        <w:bottom w:val="none" w:sz="0" w:space="0" w:color="auto"/>
        <w:right w:val="none" w:sz="0" w:space="0" w:color="auto"/>
      </w:divBdr>
    </w:div>
    <w:div w:id="584652024">
      <w:bodyDiv w:val="1"/>
      <w:marLeft w:val="0"/>
      <w:marRight w:val="0"/>
      <w:marTop w:val="0"/>
      <w:marBottom w:val="0"/>
      <w:divBdr>
        <w:top w:val="none" w:sz="0" w:space="0" w:color="auto"/>
        <w:left w:val="none" w:sz="0" w:space="0" w:color="auto"/>
        <w:bottom w:val="none" w:sz="0" w:space="0" w:color="auto"/>
        <w:right w:val="none" w:sz="0" w:space="0" w:color="auto"/>
      </w:divBdr>
    </w:div>
    <w:div w:id="585383570">
      <w:bodyDiv w:val="1"/>
      <w:marLeft w:val="0"/>
      <w:marRight w:val="0"/>
      <w:marTop w:val="0"/>
      <w:marBottom w:val="0"/>
      <w:divBdr>
        <w:top w:val="none" w:sz="0" w:space="0" w:color="auto"/>
        <w:left w:val="none" w:sz="0" w:space="0" w:color="auto"/>
        <w:bottom w:val="none" w:sz="0" w:space="0" w:color="auto"/>
        <w:right w:val="none" w:sz="0" w:space="0" w:color="auto"/>
      </w:divBdr>
    </w:div>
    <w:div w:id="591623650">
      <w:bodyDiv w:val="1"/>
      <w:marLeft w:val="0"/>
      <w:marRight w:val="0"/>
      <w:marTop w:val="0"/>
      <w:marBottom w:val="0"/>
      <w:divBdr>
        <w:top w:val="none" w:sz="0" w:space="0" w:color="auto"/>
        <w:left w:val="none" w:sz="0" w:space="0" w:color="auto"/>
        <w:bottom w:val="none" w:sz="0" w:space="0" w:color="auto"/>
        <w:right w:val="none" w:sz="0" w:space="0" w:color="auto"/>
      </w:divBdr>
    </w:div>
    <w:div w:id="593394714">
      <w:bodyDiv w:val="1"/>
      <w:marLeft w:val="0"/>
      <w:marRight w:val="0"/>
      <w:marTop w:val="0"/>
      <w:marBottom w:val="0"/>
      <w:divBdr>
        <w:top w:val="none" w:sz="0" w:space="0" w:color="auto"/>
        <w:left w:val="none" w:sz="0" w:space="0" w:color="auto"/>
        <w:bottom w:val="none" w:sz="0" w:space="0" w:color="auto"/>
        <w:right w:val="none" w:sz="0" w:space="0" w:color="auto"/>
      </w:divBdr>
    </w:div>
    <w:div w:id="594174017">
      <w:bodyDiv w:val="1"/>
      <w:marLeft w:val="0"/>
      <w:marRight w:val="0"/>
      <w:marTop w:val="0"/>
      <w:marBottom w:val="0"/>
      <w:divBdr>
        <w:top w:val="none" w:sz="0" w:space="0" w:color="auto"/>
        <w:left w:val="none" w:sz="0" w:space="0" w:color="auto"/>
        <w:bottom w:val="none" w:sz="0" w:space="0" w:color="auto"/>
        <w:right w:val="none" w:sz="0" w:space="0" w:color="auto"/>
      </w:divBdr>
    </w:div>
    <w:div w:id="594367701">
      <w:bodyDiv w:val="1"/>
      <w:marLeft w:val="0"/>
      <w:marRight w:val="0"/>
      <w:marTop w:val="0"/>
      <w:marBottom w:val="0"/>
      <w:divBdr>
        <w:top w:val="none" w:sz="0" w:space="0" w:color="auto"/>
        <w:left w:val="none" w:sz="0" w:space="0" w:color="auto"/>
        <w:bottom w:val="none" w:sz="0" w:space="0" w:color="auto"/>
        <w:right w:val="none" w:sz="0" w:space="0" w:color="auto"/>
      </w:divBdr>
    </w:div>
    <w:div w:id="595095488">
      <w:bodyDiv w:val="1"/>
      <w:marLeft w:val="0"/>
      <w:marRight w:val="0"/>
      <w:marTop w:val="0"/>
      <w:marBottom w:val="0"/>
      <w:divBdr>
        <w:top w:val="none" w:sz="0" w:space="0" w:color="auto"/>
        <w:left w:val="none" w:sz="0" w:space="0" w:color="auto"/>
        <w:bottom w:val="none" w:sz="0" w:space="0" w:color="auto"/>
        <w:right w:val="none" w:sz="0" w:space="0" w:color="auto"/>
      </w:divBdr>
    </w:div>
    <w:div w:id="598411180">
      <w:bodyDiv w:val="1"/>
      <w:marLeft w:val="0"/>
      <w:marRight w:val="0"/>
      <w:marTop w:val="0"/>
      <w:marBottom w:val="0"/>
      <w:divBdr>
        <w:top w:val="none" w:sz="0" w:space="0" w:color="auto"/>
        <w:left w:val="none" w:sz="0" w:space="0" w:color="auto"/>
        <w:bottom w:val="none" w:sz="0" w:space="0" w:color="auto"/>
        <w:right w:val="none" w:sz="0" w:space="0" w:color="auto"/>
      </w:divBdr>
    </w:div>
    <w:div w:id="602960032">
      <w:bodyDiv w:val="1"/>
      <w:marLeft w:val="0"/>
      <w:marRight w:val="0"/>
      <w:marTop w:val="0"/>
      <w:marBottom w:val="0"/>
      <w:divBdr>
        <w:top w:val="none" w:sz="0" w:space="0" w:color="auto"/>
        <w:left w:val="none" w:sz="0" w:space="0" w:color="auto"/>
        <w:bottom w:val="none" w:sz="0" w:space="0" w:color="auto"/>
        <w:right w:val="none" w:sz="0" w:space="0" w:color="auto"/>
      </w:divBdr>
    </w:div>
    <w:div w:id="603928699">
      <w:bodyDiv w:val="1"/>
      <w:marLeft w:val="0"/>
      <w:marRight w:val="0"/>
      <w:marTop w:val="0"/>
      <w:marBottom w:val="0"/>
      <w:divBdr>
        <w:top w:val="none" w:sz="0" w:space="0" w:color="auto"/>
        <w:left w:val="none" w:sz="0" w:space="0" w:color="auto"/>
        <w:bottom w:val="none" w:sz="0" w:space="0" w:color="auto"/>
        <w:right w:val="none" w:sz="0" w:space="0" w:color="auto"/>
      </w:divBdr>
    </w:div>
    <w:div w:id="608507293">
      <w:bodyDiv w:val="1"/>
      <w:marLeft w:val="0"/>
      <w:marRight w:val="0"/>
      <w:marTop w:val="0"/>
      <w:marBottom w:val="0"/>
      <w:divBdr>
        <w:top w:val="none" w:sz="0" w:space="0" w:color="auto"/>
        <w:left w:val="none" w:sz="0" w:space="0" w:color="auto"/>
        <w:bottom w:val="none" w:sz="0" w:space="0" w:color="auto"/>
        <w:right w:val="none" w:sz="0" w:space="0" w:color="auto"/>
      </w:divBdr>
    </w:div>
    <w:div w:id="610089421">
      <w:bodyDiv w:val="1"/>
      <w:marLeft w:val="0"/>
      <w:marRight w:val="0"/>
      <w:marTop w:val="0"/>
      <w:marBottom w:val="0"/>
      <w:divBdr>
        <w:top w:val="none" w:sz="0" w:space="0" w:color="auto"/>
        <w:left w:val="none" w:sz="0" w:space="0" w:color="auto"/>
        <w:bottom w:val="none" w:sz="0" w:space="0" w:color="auto"/>
        <w:right w:val="none" w:sz="0" w:space="0" w:color="auto"/>
      </w:divBdr>
    </w:div>
    <w:div w:id="612132465">
      <w:bodyDiv w:val="1"/>
      <w:marLeft w:val="0"/>
      <w:marRight w:val="0"/>
      <w:marTop w:val="0"/>
      <w:marBottom w:val="0"/>
      <w:divBdr>
        <w:top w:val="none" w:sz="0" w:space="0" w:color="auto"/>
        <w:left w:val="none" w:sz="0" w:space="0" w:color="auto"/>
        <w:bottom w:val="none" w:sz="0" w:space="0" w:color="auto"/>
        <w:right w:val="none" w:sz="0" w:space="0" w:color="auto"/>
      </w:divBdr>
    </w:div>
    <w:div w:id="612329020">
      <w:bodyDiv w:val="1"/>
      <w:marLeft w:val="0"/>
      <w:marRight w:val="0"/>
      <w:marTop w:val="0"/>
      <w:marBottom w:val="0"/>
      <w:divBdr>
        <w:top w:val="none" w:sz="0" w:space="0" w:color="auto"/>
        <w:left w:val="none" w:sz="0" w:space="0" w:color="auto"/>
        <w:bottom w:val="none" w:sz="0" w:space="0" w:color="auto"/>
        <w:right w:val="none" w:sz="0" w:space="0" w:color="auto"/>
      </w:divBdr>
    </w:div>
    <w:div w:id="620040026">
      <w:bodyDiv w:val="1"/>
      <w:marLeft w:val="0"/>
      <w:marRight w:val="0"/>
      <w:marTop w:val="0"/>
      <w:marBottom w:val="0"/>
      <w:divBdr>
        <w:top w:val="none" w:sz="0" w:space="0" w:color="auto"/>
        <w:left w:val="none" w:sz="0" w:space="0" w:color="auto"/>
        <w:bottom w:val="none" w:sz="0" w:space="0" w:color="auto"/>
        <w:right w:val="none" w:sz="0" w:space="0" w:color="auto"/>
      </w:divBdr>
    </w:div>
    <w:div w:id="621545026">
      <w:bodyDiv w:val="1"/>
      <w:marLeft w:val="0"/>
      <w:marRight w:val="0"/>
      <w:marTop w:val="0"/>
      <w:marBottom w:val="0"/>
      <w:divBdr>
        <w:top w:val="none" w:sz="0" w:space="0" w:color="auto"/>
        <w:left w:val="none" w:sz="0" w:space="0" w:color="auto"/>
        <w:bottom w:val="none" w:sz="0" w:space="0" w:color="auto"/>
        <w:right w:val="none" w:sz="0" w:space="0" w:color="auto"/>
      </w:divBdr>
    </w:div>
    <w:div w:id="626088537">
      <w:bodyDiv w:val="1"/>
      <w:marLeft w:val="0"/>
      <w:marRight w:val="0"/>
      <w:marTop w:val="0"/>
      <w:marBottom w:val="0"/>
      <w:divBdr>
        <w:top w:val="none" w:sz="0" w:space="0" w:color="auto"/>
        <w:left w:val="none" w:sz="0" w:space="0" w:color="auto"/>
        <w:bottom w:val="none" w:sz="0" w:space="0" w:color="auto"/>
        <w:right w:val="none" w:sz="0" w:space="0" w:color="auto"/>
      </w:divBdr>
    </w:div>
    <w:div w:id="626467514">
      <w:bodyDiv w:val="1"/>
      <w:marLeft w:val="0"/>
      <w:marRight w:val="0"/>
      <w:marTop w:val="0"/>
      <w:marBottom w:val="0"/>
      <w:divBdr>
        <w:top w:val="none" w:sz="0" w:space="0" w:color="auto"/>
        <w:left w:val="none" w:sz="0" w:space="0" w:color="auto"/>
        <w:bottom w:val="none" w:sz="0" w:space="0" w:color="auto"/>
        <w:right w:val="none" w:sz="0" w:space="0" w:color="auto"/>
      </w:divBdr>
    </w:div>
    <w:div w:id="628586801">
      <w:bodyDiv w:val="1"/>
      <w:marLeft w:val="0"/>
      <w:marRight w:val="0"/>
      <w:marTop w:val="0"/>
      <w:marBottom w:val="0"/>
      <w:divBdr>
        <w:top w:val="none" w:sz="0" w:space="0" w:color="auto"/>
        <w:left w:val="none" w:sz="0" w:space="0" w:color="auto"/>
        <w:bottom w:val="none" w:sz="0" w:space="0" w:color="auto"/>
        <w:right w:val="none" w:sz="0" w:space="0" w:color="auto"/>
      </w:divBdr>
    </w:div>
    <w:div w:id="630480171">
      <w:bodyDiv w:val="1"/>
      <w:marLeft w:val="0"/>
      <w:marRight w:val="0"/>
      <w:marTop w:val="0"/>
      <w:marBottom w:val="0"/>
      <w:divBdr>
        <w:top w:val="none" w:sz="0" w:space="0" w:color="auto"/>
        <w:left w:val="none" w:sz="0" w:space="0" w:color="auto"/>
        <w:bottom w:val="none" w:sz="0" w:space="0" w:color="auto"/>
        <w:right w:val="none" w:sz="0" w:space="0" w:color="auto"/>
      </w:divBdr>
    </w:div>
    <w:div w:id="632909266">
      <w:bodyDiv w:val="1"/>
      <w:marLeft w:val="0"/>
      <w:marRight w:val="0"/>
      <w:marTop w:val="0"/>
      <w:marBottom w:val="0"/>
      <w:divBdr>
        <w:top w:val="none" w:sz="0" w:space="0" w:color="auto"/>
        <w:left w:val="none" w:sz="0" w:space="0" w:color="auto"/>
        <w:bottom w:val="none" w:sz="0" w:space="0" w:color="auto"/>
        <w:right w:val="none" w:sz="0" w:space="0" w:color="auto"/>
      </w:divBdr>
    </w:div>
    <w:div w:id="635719186">
      <w:bodyDiv w:val="1"/>
      <w:marLeft w:val="0"/>
      <w:marRight w:val="0"/>
      <w:marTop w:val="0"/>
      <w:marBottom w:val="0"/>
      <w:divBdr>
        <w:top w:val="none" w:sz="0" w:space="0" w:color="auto"/>
        <w:left w:val="none" w:sz="0" w:space="0" w:color="auto"/>
        <w:bottom w:val="none" w:sz="0" w:space="0" w:color="auto"/>
        <w:right w:val="none" w:sz="0" w:space="0" w:color="auto"/>
      </w:divBdr>
    </w:div>
    <w:div w:id="646785467">
      <w:bodyDiv w:val="1"/>
      <w:marLeft w:val="0"/>
      <w:marRight w:val="0"/>
      <w:marTop w:val="0"/>
      <w:marBottom w:val="0"/>
      <w:divBdr>
        <w:top w:val="none" w:sz="0" w:space="0" w:color="auto"/>
        <w:left w:val="none" w:sz="0" w:space="0" w:color="auto"/>
        <w:bottom w:val="none" w:sz="0" w:space="0" w:color="auto"/>
        <w:right w:val="none" w:sz="0" w:space="0" w:color="auto"/>
      </w:divBdr>
    </w:div>
    <w:div w:id="647251681">
      <w:bodyDiv w:val="1"/>
      <w:marLeft w:val="0"/>
      <w:marRight w:val="0"/>
      <w:marTop w:val="0"/>
      <w:marBottom w:val="0"/>
      <w:divBdr>
        <w:top w:val="none" w:sz="0" w:space="0" w:color="auto"/>
        <w:left w:val="none" w:sz="0" w:space="0" w:color="auto"/>
        <w:bottom w:val="none" w:sz="0" w:space="0" w:color="auto"/>
        <w:right w:val="none" w:sz="0" w:space="0" w:color="auto"/>
      </w:divBdr>
    </w:div>
    <w:div w:id="647439744">
      <w:bodyDiv w:val="1"/>
      <w:marLeft w:val="0"/>
      <w:marRight w:val="0"/>
      <w:marTop w:val="0"/>
      <w:marBottom w:val="0"/>
      <w:divBdr>
        <w:top w:val="none" w:sz="0" w:space="0" w:color="auto"/>
        <w:left w:val="none" w:sz="0" w:space="0" w:color="auto"/>
        <w:bottom w:val="none" w:sz="0" w:space="0" w:color="auto"/>
        <w:right w:val="none" w:sz="0" w:space="0" w:color="auto"/>
      </w:divBdr>
    </w:div>
    <w:div w:id="648637782">
      <w:bodyDiv w:val="1"/>
      <w:marLeft w:val="0"/>
      <w:marRight w:val="0"/>
      <w:marTop w:val="0"/>
      <w:marBottom w:val="0"/>
      <w:divBdr>
        <w:top w:val="none" w:sz="0" w:space="0" w:color="auto"/>
        <w:left w:val="none" w:sz="0" w:space="0" w:color="auto"/>
        <w:bottom w:val="none" w:sz="0" w:space="0" w:color="auto"/>
        <w:right w:val="none" w:sz="0" w:space="0" w:color="auto"/>
      </w:divBdr>
    </w:div>
    <w:div w:id="649602212">
      <w:bodyDiv w:val="1"/>
      <w:marLeft w:val="0"/>
      <w:marRight w:val="0"/>
      <w:marTop w:val="0"/>
      <w:marBottom w:val="0"/>
      <w:divBdr>
        <w:top w:val="none" w:sz="0" w:space="0" w:color="auto"/>
        <w:left w:val="none" w:sz="0" w:space="0" w:color="auto"/>
        <w:bottom w:val="none" w:sz="0" w:space="0" w:color="auto"/>
        <w:right w:val="none" w:sz="0" w:space="0" w:color="auto"/>
      </w:divBdr>
    </w:div>
    <w:div w:id="651757635">
      <w:bodyDiv w:val="1"/>
      <w:marLeft w:val="0"/>
      <w:marRight w:val="0"/>
      <w:marTop w:val="0"/>
      <w:marBottom w:val="0"/>
      <w:divBdr>
        <w:top w:val="none" w:sz="0" w:space="0" w:color="auto"/>
        <w:left w:val="none" w:sz="0" w:space="0" w:color="auto"/>
        <w:bottom w:val="none" w:sz="0" w:space="0" w:color="auto"/>
        <w:right w:val="none" w:sz="0" w:space="0" w:color="auto"/>
      </w:divBdr>
    </w:div>
    <w:div w:id="652685773">
      <w:bodyDiv w:val="1"/>
      <w:marLeft w:val="0"/>
      <w:marRight w:val="0"/>
      <w:marTop w:val="0"/>
      <w:marBottom w:val="0"/>
      <w:divBdr>
        <w:top w:val="none" w:sz="0" w:space="0" w:color="auto"/>
        <w:left w:val="none" w:sz="0" w:space="0" w:color="auto"/>
        <w:bottom w:val="none" w:sz="0" w:space="0" w:color="auto"/>
        <w:right w:val="none" w:sz="0" w:space="0" w:color="auto"/>
      </w:divBdr>
    </w:div>
    <w:div w:id="653145383">
      <w:bodyDiv w:val="1"/>
      <w:marLeft w:val="0"/>
      <w:marRight w:val="0"/>
      <w:marTop w:val="0"/>
      <w:marBottom w:val="0"/>
      <w:divBdr>
        <w:top w:val="none" w:sz="0" w:space="0" w:color="auto"/>
        <w:left w:val="none" w:sz="0" w:space="0" w:color="auto"/>
        <w:bottom w:val="none" w:sz="0" w:space="0" w:color="auto"/>
        <w:right w:val="none" w:sz="0" w:space="0" w:color="auto"/>
      </w:divBdr>
    </w:div>
    <w:div w:id="655035392">
      <w:bodyDiv w:val="1"/>
      <w:marLeft w:val="0"/>
      <w:marRight w:val="0"/>
      <w:marTop w:val="0"/>
      <w:marBottom w:val="0"/>
      <w:divBdr>
        <w:top w:val="none" w:sz="0" w:space="0" w:color="auto"/>
        <w:left w:val="none" w:sz="0" w:space="0" w:color="auto"/>
        <w:bottom w:val="none" w:sz="0" w:space="0" w:color="auto"/>
        <w:right w:val="none" w:sz="0" w:space="0" w:color="auto"/>
      </w:divBdr>
    </w:div>
    <w:div w:id="656496101">
      <w:bodyDiv w:val="1"/>
      <w:marLeft w:val="0"/>
      <w:marRight w:val="0"/>
      <w:marTop w:val="0"/>
      <w:marBottom w:val="0"/>
      <w:divBdr>
        <w:top w:val="none" w:sz="0" w:space="0" w:color="auto"/>
        <w:left w:val="none" w:sz="0" w:space="0" w:color="auto"/>
        <w:bottom w:val="none" w:sz="0" w:space="0" w:color="auto"/>
        <w:right w:val="none" w:sz="0" w:space="0" w:color="auto"/>
      </w:divBdr>
    </w:div>
    <w:div w:id="658506401">
      <w:bodyDiv w:val="1"/>
      <w:marLeft w:val="0"/>
      <w:marRight w:val="0"/>
      <w:marTop w:val="0"/>
      <w:marBottom w:val="0"/>
      <w:divBdr>
        <w:top w:val="none" w:sz="0" w:space="0" w:color="auto"/>
        <w:left w:val="none" w:sz="0" w:space="0" w:color="auto"/>
        <w:bottom w:val="none" w:sz="0" w:space="0" w:color="auto"/>
        <w:right w:val="none" w:sz="0" w:space="0" w:color="auto"/>
      </w:divBdr>
    </w:div>
    <w:div w:id="659307221">
      <w:bodyDiv w:val="1"/>
      <w:marLeft w:val="0"/>
      <w:marRight w:val="0"/>
      <w:marTop w:val="0"/>
      <w:marBottom w:val="0"/>
      <w:divBdr>
        <w:top w:val="none" w:sz="0" w:space="0" w:color="auto"/>
        <w:left w:val="none" w:sz="0" w:space="0" w:color="auto"/>
        <w:bottom w:val="none" w:sz="0" w:space="0" w:color="auto"/>
        <w:right w:val="none" w:sz="0" w:space="0" w:color="auto"/>
      </w:divBdr>
    </w:div>
    <w:div w:id="660352362">
      <w:bodyDiv w:val="1"/>
      <w:marLeft w:val="0"/>
      <w:marRight w:val="0"/>
      <w:marTop w:val="0"/>
      <w:marBottom w:val="0"/>
      <w:divBdr>
        <w:top w:val="none" w:sz="0" w:space="0" w:color="auto"/>
        <w:left w:val="none" w:sz="0" w:space="0" w:color="auto"/>
        <w:bottom w:val="none" w:sz="0" w:space="0" w:color="auto"/>
        <w:right w:val="none" w:sz="0" w:space="0" w:color="auto"/>
      </w:divBdr>
    </w:div>
    <w:div w:id="663242912">
      <w:bodyDiv w:val="1"/>
      <w:marLeft w:val="0"/>
      <w:marRight w:val="0"/>
      <w:marTop w:val="0"/>
      <w:marBottom w:val="0"/>
      <w:divBdr>
        <w:top w:val="none" w:sz="0" w:space="0" w:color="auto"/>
        <w:left w:val="none" w:sz="0" w:space="0" w:color="auto"/>
        <w:bottom w:val="none" w:sz="0" w:space="0" w:color="auto"/>
        <w:right w:val="none" w:sz="0" w:space="0" w:color="auto"/>
      </w:divBdr>
    </w:div>
    <w:div w:id="664743498">
      <w:bodyDiv w:val="1"/>
      <w:marLeft w:val="0"/>
      <w:marRight w:val="0"/>
      <w:marTop w:val="0"/>
      <w:marBottom w:val="0"/>
      <w:divBdr>
        <w:top w:val="none" w:sz="0" w:space="0" w:color="auto"/>
        <w:left w:val="none" w:sz="0" w:space="0" w:color="auto"/>
        <w:bottom w:val="none" w:sz="0" w:space="0" w:color="auto"/>
        <w:right w:val="none" w:sz="0" w:space="0" w:color="auto"/>
      </w:divBdr>
    </w:div>
    <w:div w:id="665477535">
      <w:bodyDiv w:val="1"/>
      <w:marLeft w:val="0"/>
      <w:marRight w:val="0"/>
      <w:marTop w:val="0"/>
      <w:marBottom w:val="0"/>
      <w:divBdr>
        <w:top w:val="none" w:sz="0" w:space="0" w:color="auto"/>
        <w:left w:val="none" w:sz="0" w:space="0" w:color="auto"/>
        <w:bottom w:val="none" w:sz="0" w:space="0" w:color="auto"/>
        <w:right w:val="none" w:sz="0" w:space="0" w:color="auto"/>
      </w:divBdr>
    </w:div>
    <w:div w:id="674648262">
      <w:bodyDiv w:val="1"/>
      <w:marLeft w:val="0"/>
      <w:marRight w:val="0"/>
      <w:marTop w:val="0"/>
      <w:marBottom w:val="0"/>
      <w:divBdr>
        <w:top w:val="none" w:sz="0" w:space="0" w:color="auto"/>
        <w:left w:val="none" w:sz="0" w:space="0" w:color="auto"/>
        <w:bottom w:val="none" w:sz="0" w:space="0" w:color="auto"/>
        <w:right w:val="none" w:sz="0" w:space="0" w:color="auto"/>
      </w:divBdr>
    </w:div>
    <w:div w:id="678510964">
      <w:bodyDiv w:val="1"/>
      <w:marLeft w:val="0"/>
      <w:marRight w:val="0"/>
      <w:marTop w:val="0"/>
      <w:marBottom w:val="0"/>
      <w:divBdr>
        <w:top w:val="none" w:sz="0" w:space="0" w:color="auto"/>
        <w:left w:val="none" w:sz="0" w:space="0" w:color="auto"/>
        <w:bottom w:val="none" w:sz="0" w:space="0" w:color="auto"/>
        <w:right w:val="none" w:sz="0" w:space="0" w:color="auto"/>
      </w:divBdr>
    </w:div>
    <w:div w:id="679813313">
      <w:bodyDiv w:val="1"/>
      <w:marLeft w:val="0"/>
      <w:marRight w:val="0"/>
      <w:marTop w:val="0"/>
      <w:marBottom w:val="0"/>
      <w:divBdr>
        <w:top w:val="none" w:sz="0" w:space="0" w:color="auto"/>
        <w:left w:val="none" w:sz="0" w:space="0" w:color="auto"/>
        <w:bottom w:val="none" w:sz="0" w:space="0" w:color="auto"/>
        <w:right w:val="none" w:sz="0" w:space="0" w:color="auto"/>
      </w:divBdr>
    </w:div>
    <w:div w:id="681400893">
      <w:bodyDiv w:val="1"/>
      <w:marLeft w:val="0"/>
      <w:marRight w:val="0"/>
      <w:marTop w:val="0"/>
      <w:marBottom w:val="0"/>
      <w:divBdr>
        <w:top w:val="none" w:sz="0" w:space="0" w:color="auto"/>
        <w:left w:val="none" w:sz="0" w:space="0" w:color="auto"/>
        <w:bottom w:val="none" w:sz="0" w:space="0" w:color="auto"/>
        <w:right w:val="none" w:sz="0" w:space="0" w:color="auto"/>
      </w:divBdr>
    </w:div>
    <w:div w:id="686178130">
      <w:bodyDiv w:val="1"/>
      <w:marLeft w:val="0"/>
      <w:marRight w:val="0"/>
      <w:marTop w:val="0"/>
      <w:marBottom w:val="0"/>
      <w:divBdr>
        <w:top w:val="none" w:sz="0" w:space="0" w:color="auto"/>
        <w:left w:val="none" w:sz="0" w:space="0" w:color="auto"/>
        <w:bottom w:val="none" w:sz="0" w:space="0" w:color="auto"/>
        <w:right w:val="none" w:sz="0" w:space="0" w:color="auto"/>
      </w:divBdr>
    </w:div>
    <w:div w:id="690645121">
      <w:bodyDiv w:val="1"/>
      <w:marLeft w:val="0"/>
      <w:marRight w:val="0"/>
      <w:marTop w:val="0"/>
      <w:marBottom w:val="0"/>
      <w:divBdr>
        <w:top w:val="none" w:sz="0" w:space="0" w:color="auto"/>
        <w:left w:val="none" w:sz="0" w:space="0" w:color="auto"/>
        <w:bottom w:val="none" w:sz="0" w:space="0" w:color="auto"/>
        <w:right w:val="none" w:sz="0" w:space="0" w:color="auto"/>
      </w:divBdr>
    </w:div>
    <w:div w:id="696346803">
      <w:bodyDiv w:val="1"/>
      <w:marLeft w:val="0"/>
      <w:marRight w:val="0"/>
      <w:marTop w:val="0"/>
      <w:marBottom w:val="0"/>
      <w:divBdr>
        <w:top w:val="none" w:sz="0" w:space="0" w:color="auto"/>
        <w:left w:val="none" w:sz="0" w:space="0" w:color="auto"/>
        <w:bottom w:val="none" w:sz="0" w:space="0" w:color="auto"/>
        <w:right w:val="none" w:sz="0" w:space="0" w:color="auto"/>
      </w:divBdr>
    </w:div>
    <w:div w:id="696540646">
      <w:bodyDiv w:val="1"/>
      <w:marLeft w:val="0"/>
      <w:marRight w:val="0"/>
      <w:marTop w:val="0"/>
      <w:marBottom w:val="0"/>
      <w:divBdr>
        <w:top w:val="none" w:sz="0" w:space="0" w:color="auto"/>
        <w:left w:val="none" w:sz="0" w:space="0" w:color="auto"/>
        <w:bottom w:val="none" w:sz="0" w:space="0" w:color="auto"/>
        <w:right w:val="none" w:sz="0" w:space="0" w:color="auto"/>
      </w:divBdr>
    </w:div>
    <w:div w:id="697390359">
      <w:bodyDiv w:val="1"/>
      <w:marLeft w:val="0"/>
      <w:marRight w:val="0"/>
      <w:marTop w:val="0"/>
      <w:marBottom w:val="0"/>
      <w:divBdr>
        <w:top w:val="none" w:sz="0" w:space="0" w:color="auto"/>
        <w:left w:val="none" w:sz="0" w:space="0" w:color="auto"/>
        <w:bottom w:val="none" w:sz="0" w:space="0" w:color="auto"/>
        <w:right w:val="none" w:sz="0" w:space="0" w:color="auto"/>
      </w:divBdr>
    </w:div>
    <w:div w:id="698043745">
      <w:bodyDiv w:val="1"/>
      <w:marLeft w:val="0"/>
      <w:marRight w:val="0"/>
      <w:marTop w:val="0"/>
      <w:marBottom w:val="0"/>
      <w:divBdr>
        <w:top w:val="none" w:sz="0" w:space="0" w:color="auto"/>
        <w:left w:val="none" w:sz="0" w:space="0" w:color="auto"/>
        <w:bottom w:val="none" w:sz="0" w:space="0" w:color="auto"/>
        <w:right w:val="none" w:sz="0" w:space="0" w:color="auto"/>
      </w:divBdr>
    </w:div>
    <w:div w:id="698510301">
      <w:bodyDiv w:val="1"/>
      <w:marLeft w:val="0"/>
      <w:marRight w:val="0"/>
      <w:marTop w:val="0"/>
      <w:marBottom w:val="0"/>
      <w:divBdr>
        <w:top w:val="none" w:sz="0" w:space="0" w:color="auto"/>
        <w:left w:val="none" w:sz="0" w:space="0" w:color="auto"/>
        <w:bottom w:val="none" w:sz="0" w:space="0" w:color="auto"/>
        <w:right w:val="none" w:sz="0" w:space="0" w:color="auto"/>
      </w:divBdr>
    </w:div>
    <w:div w:id="700587881">
      <w:bodyDiv w:val="1"/>
      <w:marLeft w:val="0"/>
      <w:marRight w:val="0"/>
      <w:marTop w:val="0"/>
      <w:marBottom w:val="0"/>
      <w:divBdr>
        <w:top w:val="none" w:sz="0" w:space="0" w:color="auto"/>
        <w:left w:val="none" w:sz="0" w:space="0" w:color="auto"/>
        <w:bottom w:val="none" w:sz="0" w:space="0" w:color="auto"/>
        <w:right w:val="none" w:sz="0" w:space="0" w:color="auto"/>
      </w:divBdr>
    </w:div>
    <w:div w:id="700785542">
      <w:bodyDiv w:val="1"/>
      <w:marLeft w:val="0"/>
      <w:marRight w:val="0"/>
      <w:marTop w:val="0"/>
      <w:marBottom w:val="0"/>
      <w:divBdr>
        <w:top w:val="none" w:sz="0" w:space="0" w:color="auto"/>
        <w:left w:val="none" w:sz="0" w:space="0" w:color="auto"/>
        <w:bottom w:val="none" w:sz="0" w:space="0" w:color="auto"/>
        <w:right w:val="none" w:sz="0" w:space="0" w:color="auto"/>
      </w:divBdr>
    </w:div>
    <w:div w:id="702558571">
      <w:bodyDiv w:val="1"/>
      <w:marLeft w:val="0"/>
      <w:marRight w:val="0"/>
      <w:marTop w:val="0"/>
      <w:marBottom w:val="0"/>
      <w:divBdr>
        <w:top w:val="none" w:sz="0" w:space="0" w:color="auto"/>
        <w:left w:val="none" w:sz="0" w:space="0" w:color="auto"/>
        <w:bottom w:val="none" w:sz="0" w:space="0" w:color="auto"/>
        <w:right w:val="none" w:sz="0" w:space="0" w:color="auto"/>
      </w:divBdr>
    </w:div>
    <w:div w:id="703792180">
      <w:bodyDiv w:val="1"/>
      <w:marLeft w:val="0"/>
      <w:marRight w:val="0"/>
      <w:marTop w:val="0"/>
      <w:marBottom w:val="0"/>
      <w:divBdr>
        <w:top w:val="none" w:sz="0" w:space="0" w:color="auto"/>
        <w:left w:val="none" w:sz="0" w:space="0" w:color="auto"/>
        <w:bottom w:val="none" w:sz="0" w:space="0" w:color="auto"/>
        <w:right w:val="none" w:sz="0" w:space="0" w:color="auto"/>
      </w:divBdr>
    </w:div>
    <w:div w:id="703868594">
      <w:bodyDiv w:val="1"/>
      <w:marLeft w:val="0"/>
      <w:marRight w:val="0"/>
      <w:marTop w:val="0"/>
      <w:marBottom w:val="0"/>
      <w:divBdr>
        <w:top w:val="none" w:sz="0" w:space="0" w:color="auto"/>
        <w:left w:val="none" w:sz="0" w:space="0" w:color="auto"/>
        <w:bottom w:val="none" w:sz="0" w:space="0" w:color="auto"/>
        <w:right w:val="none" w:sz="0" w:space="0" w:color="auto"/>
      </w:divBdr>
    </w:div>
    <w:div w:id="704792399">
      <w:bodyDiv w:val="1"/>
      <w:marLeft w:val="0"/>
      <w:marRight w:val="0"/>
      <w:marTop w:val="0"/>
      <w:marBottom w:val="0"/>
      <w:divBdr>
        <w:top w:val="none" w:sz="0" w:space="0" w:color="auto"/>
        <w:left w:val="none" w:sz="0" w:space="0" w:color="auto"/>
        <w:bottom w:val="none" w:sz="0" w:space="0" w:color="auto"/>
        <w:right w:val="none" w:sz="0" w:space="0" w:color="auto"/>
      </w:divBdr>
    </w:div>
    <w:div w:id="708842007">
      <w:bodyDiv w:val="1"/>
      <w:marLeft w:val="0"/>
      <w:marRight w:val="0"/>
      <w:marTop w:val="0"/>
      <w:marBottom w:val="0"/>
      <w:divBdr>
        <w:top w:val="none" w:sz="0" w:space="0" w:color="auto"/>
        <w:left w:val="none" w:sz="0" w:space="0" w:color="auto"/>
        <w:bottom w:val="none" w:sz="0" w:space="0" w:color="auto"/>
        <w:right w:val="none" w:sz="0" w:space="0" w:color="auto"/>
      </w:divBdr>
    </w:div>
    <w:div w:id="709955657">
      <w:bodyDiv w:val="1"/>
      <w:marLeft w:val="0"/>
      <w:marRight w:val="0"/>
      <w:marTop w:val="0"/>
      <w:marBottom w:val="0"/>
      <w:divBdr>
        <w:top w:val="none" w:sz="0" w:space="0" w:color="auto"/>
        <w:left w:val="none" w:sz="0" w:space="0" w:color="auto"/>
        <w:bottom w:val="none" w:sz="0" w:space="0" w:color="auto"/>
        <w:right w:val="none" w:sz="0" w:space="0" w:color="auto"/>
      </w:divBdr>
    </w:div>
    <w:div w:id="715010848">
      <w:bodyDiv w:val="1"/>
      <w:marLeft w:val="0"/>
      <w:marRight w:val="0"/>
      <w:marTop w:val="0"/>
      <w:marBottom w:val="0"/>
      <w:divBdr>
        <w:top w:val="none" w:sz="0" w:space="0" w:color="auto"/>
        <w:left w:val="none" w:sz="0" w:space="0" w:color="auto"/>
        <w:bottom w:val="none" w:sz="0" w:space="0" w:color="auto"/>
        <w:right w:val="none" w:sz="0" w:space="0" w:color="auto"/>
      </w:divBdr>
    </w:div>
    <w:div w:id="717627804">
      <w:bodyDiv w:val="1"/>
      <w:marLeft w:val="0"/>
      <w:marRight w:val="0"/>
      <w:marTop w:val="0"/>
      <w:marBottom w:val="0"/>
      <w:divBdr>
        <w:top w:val="none" w:sz="0" w:space="0" w:color="auto"/>
        <w:left w:val="none" w:sz="0" w:space="0" w:color="auto"/>
        <w:bottom w:val="none" w:sz="0" w:space="0" w:color="auto"/>
        <w:right w:val="none" w:sz="0" w:space="0" w:color="auto"/>
      </w:divBdr>
    </w:div>
    <w:div w:id="722680036">
      <w:bodyDiv w:val="1"/>
      <w:marLeft w:val="0"/>
      <w:marRight w:val="0"/>
      <w:marTop w:val="0"/>
      <w:marBottom w:val="0"/>
      <w:divBdr>
        <w:top w:val="none" w:sz="0" w:space="0" w:color="auto"/>
        <w:left w:val="none" w:sz="0" w:space="0" w:color="auto"/>
        <w:bottom w:val="none" w:sz="0" w:space="0" w:color="auto"/>
        <w:right w:val="none" w:sz="0" w:space="0" w:color="auto"/>
      </w:divBdr>
    </w:div>
    <w:div w:id="723800612">
      <w:bodyDiv w:val="1"/>
      <w:marLeft w:val="0"/>
      <w:marRight w:val="0"/>
      <w:marTop w:val="0"/>
      <w:marBottom w:val="0"/>
      <w:divBdr>
        <w:top w:val="none" w:sz="0" w:space="0" w:color="auto"/>
        <w:left w:val="none" w:sz="0" w:space="0" w:color="auto"/>
        <w:bottom w:val="none" w:sz="0" w:space="0" w:color="auto"/>
        <w:right w:val="none" w:sz="0" w:space="0" w:color="auto"/>
      </w:divBdr>
    </w:div>
    <w:div w:id="724960273">
      <w:bodyDiv w:val="1"/>
      <w:marLeft w:val="0"/>
      <w:marRight w:val="0"/>
      <w:marTop w:val="0"/>
      <w:marBottom w:val="0"/>
      <w:divBdr>
        <w:top w:val="none" w:sz="0" w:space="0" w:color="auto"/>
        <w:left w:val="none" w:sz="0" w:space="0" w:color="auto"/>
        <w:bottom w:val="none" w:sz="0" w:space="0" w:color="auto"/>
        <w:right w:val="none" w:sz="0" w:space="0" w:color="auto"/>
      </w:divBdr>
    </w:div>
    <w:div w:id="725492977">
      <w:bodyDiv w:val="1"/>
      <w:marLeft w:val="0"/>
      <w:marRight w:val="0"/>
      <w:marTop w:val="0"/>
      <w:marBottom w:val="0"/>
      <w:divBdr>
        <w:top w:val="none" w:sz="0" w:space="0" w:color="auto"/>
        <w:left w:val="none" w:sz="0" w:space="0" w:color="auto"/>
        <w:bottom w:val="none" w:sz="0" w:space="0" w:color="auto"/>
        <w:right w:val="none" w:sz="0" w:space="0" w:color="auto"/>
      </w:divBdr>
    </w:div>
    <w:div w:id="733435987">
      <w:bodyDiv w:val="1"/>
      <w:marLeft w:val="0"/>
      <w:marRight w:val="0"/>
      <w:marTop w:val="0"/>
      <w:marBottom w:val="0"/>
      <w:divBdr>
        <w:top w:val="none" w:sz="0" w:space="0" w:color="auto"/>
        <w:left w:val="none" w:sz="0" w:space="0" w:color="auto"/>
        <w:bottom w:val="none" w:sz="0" w:space="0" w:color="auto"/>
        <w:right w:val="none" w:sz="0" w:space="0" w:color="auto"/>
      </w:divBdr>
    </w:div>
    <w:div w:id="733939467">
      <w:bodyDiv w:val="1"/>
      <w:marLeft w:val="0"/>
      <w:marRight w:val="0"/>
      <w:marTop w:val="0"/>
      <w:marBottom w:val="0"/>
      <w:divBdr>
        <w:top w:val="none" w:sz="0" w:space="0" w:color="auto"/>
        <w:left w:val="none" w:sz="0" w:space="0" w:color="auto"/>
        <w:bottom w:val="none" w:sz="0" w:space="0" w:color="auto"/>
        <w:right w:val="none" w:sz="0" w:space="0" w:color="auto"/>
      </w:divBdr>
    </w:div>
    <w:div w:id="734813408">
      <w:bodyDiv w:val="1"/>
      <w:marLeft w:val="0"/>
      <w:marRight w:val="0"/>
      <w:marTop w:val="0"/>
      <w:marBottom w:val="0"/>
      <w:divBdr>
        <w:top w:val="none" w:sz="0" w:space="0" w:color="auto"/>
        <w:left w:val="none" w:sz="0" w:space="0" w:color="auto"/>
        <w:bottom w:val="none" w:sz="0" w:space="0" w:color="auto"/>
        <w:right w:val="none" w:sz="0" w:space="0" w:color="auto"/>
      </w:divBdr>
    </w:div>
    <w:div w:id="738358016">
      <w:bodyDiv w:val="1"/>
      <w:marLeft w:val="0"/>
      <w:marRight w:val="0"/>
      <w:marTop w:val="0"/>
      <w:marBottom w:val="0"/>
      <w:divBdr>
        <w:top w:val="none" w:sz="0" w:space="0" w:color="auto"/>
        <w:left w:val="none" w:sz="0" w:space="0" w:color="auto"/>
        <w:bottom w:val="none" w:sz="0" w:space="0" w:color="auto"/>
        <w:right w:val="none" w:sz="0" w:space="0" w:color="auto"/>
      </w:divBdr>
    </w:div>
    <w:div w:id="744836780">
      <w:bodyDiv w:val="1"/>
      <w:marLeft w:val="0"/>
      <w:marRight w:val="0"/>
      <w:marTop w:val="0"/>
      <w:marBottom w:val="0"/>
      <w:divBdr>
        <w:top w:val="none" w:sz="0" w:space="0" w:color="auto"/>
        <w:left w:val="none" w:sz="0" w:space="0" w:color="auto"/>
        <w:bottom w:val="none" w:sz="0" w:space="0" w:color="auto"/>
        <w:right w:val="none" w:sz="0" w:space="0" w:color="auto"/>
      </w:divBdr>
    </w:div>
    <w:div w:id="747195641">
      <w:bodyDiv w:val="1"/>
      <w:marLeft w:val="0"/>
      <w:marRight w:val="0"/>
      <w:marTop w:val="0"/>
      <w:marBottom w:val="0"/>
      <w:divBdr>
        <w:top w:val="none" w:sz="0" w:space="0" w:color="auto"/>
        <w:left w:val="none" w:sz="0" w:space="0" w:color="auto"/>
        <w:bottom w:val="none" w:sz="0" w:space="0" w:color="auto"/>
        <w:right w:val="none" w:sz="0" w:space="0" w:color="auto"/>
      </w:divBdr>
    </w:div>
    <w:div w:id="748885799">
      <w:bodyDiv w:val="1"/>
      <w:marLeft w:val="0"/>
      <w:marRight w:val="0"/>
      <w:marTop w:val="0"/>
      <w:marBottom w:val="0"/>
      <w:divBdr>
        <w:top w:val="none" w:sz="0" w:space="0" w:color="auto"/>
        <w:left w:val="none" w:sz="0" w:space="0" w:color="auto"/>
        <w:bottom w:val="none" w:sz="0" w:space="0" w:color="auto"/>
        <w:right w:val="none" w:sz="0" w:space="0" w:color="auto"/>
      </w:divBdr>
    </w:div>
    <w:div w:id="749541518">
      <w:bodyDiv w:val="1"/>
      <w:marLeft w:val="0"/>
      <w:marRight w:val="0"/>
      <w:marTop w:val="0"/>
      <w:marBottom w:val="0"/>
      <w:divBdr>
        <w:top w:val="none" w:sz="0" w:space="0" w:color="auto"/>
        <w:left w:val="none" w:sz="0" w:space="0" w:color="auto"/>
        <w:bottom w:val="none" w:sz="0" w:space="0" w:color="auto"/>
        <w:right w:val="none" w:sz="0" w:space="0" w:color="auto"/>
      </w:divBdr>
    </w:div>
    <w:div w:id="753892490">
      <w:bodyDiv w:val="1"/>
      <w:marLeft w:val="0"/>
      <w:marRight w:val="0"/>
      <w:marTop w:val="0"/>
      <w:marBottom w:val="0"/>
      <w:divBdr>
        <w:top w:val="none" w:sz="0" w:space="0" w:color="auto"/>
        <w:left w:val="none" w:sz="0" w:space="0" w:color="auto"/>
        <w:bottom w:val="none" w:sz="0" w:space="0" w:color="auto"/>
        <w:right w:val="none" w:sz="0" w:space="0" w:color="auto"/>
      </w:divBdr>
    </w:div>
    <w:div w:id="756093012">
      <w:bodyDiv w:val="1"/>
      <w:marLeft w:val="0"/>
      <w:marRight w:val="0"/>
      <w:marTop w:val="0"/>
      <w:marBottom w:val="0"/>
      <w:divBdr>
        <w:top w:val="none" w:sz="0" w:space="0" w:color="auto"/>
        <w:left w:val="none" w:sz="0" w:space="0" w:color="auto"/>
        <w:bottom w:val="none" w:sz="0" w:space="0" w:color="auto"/>
        <w:right w:val="none" w:sz="0" w:space="0" w:color="auto"/>
      </w:divBdr>
    </w:div>
    <w:div w:id="757753449">
      <w:bodyDiv w:val="1"/>
      <w:marLeft w:val="0"/>
      <w:marRight w:val="0"/>
      <w:marTop w:val="0"/>
      <w:marBottom w:val="0"/>
      <w:divBdr>
        <w:top w:val="none" w:sz="0" w:space="0" w:color="auto"/>
        <w:left w:val="none" w:sz="0" w:space="0" w:color="auto"/>
        <w:bottom w:val="none" w:sz="0" w:space="0" w:color="auto"/>
        <w:right w:val="none" w:sz="0" w:space="0" w:color="auto"/>
      </w:divBdr>
    </w:div>
    <w:div w:id="764687905">
      <w:bodyDiv w:val="1"/>
      <w:marLeft w:val="0"/>
      <w:marRight w:val="0"/>
      <w:marTop w:val="0"/>
      <w:marBottom w:val="0"/>
      <w:divBdr>
        <w:top w:val="none" w:sz="0" w:space="0" w:color="auto"/>
        <w:left w:val="none" w:sz="0" w:space="0" w:color="auto"/>
        <w:bottom w:val="none" w:sz="0" w:space="0" w:color="auto"/>
        <w:right w:val="none" w:sz="0" w:space="0" w:color="auto"/>
      </w:divBdr>
    </w:div>
    <w:div w:id="770972635">
      <w:bodyDiv w:val="1"/>
      <w:marLeft w:val="0"/>
      <w:marRight w:val="0"/>
      <w:marTop w:val="0"/>
      <w:marBottom w:val="0"/>
      <w:divBdr>
        <w:top w:val="none" w:sz="0" w:space="0" w:color="auto"/>
        <w:left w:val="none" w:sz="0" w:space="0" w:color="auto"/>
        <w:bottom w:val="none" w:sz="0" w:space="0" w:color="auto"/>
        <w:right w:val="none" w:sz="0" w:space="0" w:color="auto"/>
      </w:divBdr>
    </w:div>
    <w:div w:id="773021036">
      <w:bodyDiv w:val="1"/>
      <w:marLeft w:val="0"/>
      <w:marRight w:val="0"/>
      <w:marTop w:val="0"/>
      <w:marBottom w:val="0"/>
      <w:divBdr>
        <w:top w:val="none" w:sz="0" w:space="0" w:color="auto"/>
        <w:left w:val="none" w:sz="0" w:space="0" w:color="auto"/>
        <w:bottom w:val="none" w:sz="0" w:space="0" w:color="auto"/>
        <w:right w:val="none" w:sz="0" w:space="0" w:color="auto"/>
      </w:divBdr>
    </w:div>
    <w:div w:id="784423606">
      <w:bodyDiv w:val="1"/>
      <w:marLeft w:val="0"/>
      <w:marRight w:val="0"/>
      <w:marTop w:val="0"/>
      <w:marBottom w:val="0"/>
      <w:divBdr>
        <w:top w:val="none" w:sz="0" w:space="0" w:color="auto"/>
        <w:left w:val="none" w:sz="0" w:space="0" w:color="auto"/>
        <w:bottom w:val="none" w:sz="0" w:space="0" w:color="auto"/>
        <w:right w:val="none" w:sz="0" w:space="0" w:color="auto"/>
      </w:divBdr>
    </w:div>
    <w:div w:id="789280264">
      <w:bodyDiv w:val="1"/>
      <w:marLeft w:val="0"/>
      <w:marRight w:val="0"/>
      <w:marTop w:val="0"/>
      <w:marBottom w:val="0"/>
      <w:divBdr>
        <w:top w:val="none" w:sz="0" w:space="0" w:color="auto"/>
        <w:left w:val="none" w:sz="0" w:space="0" w:color="auto"/>
        <w:bottom w:val="none" w:sz="0" w:space="0" w:color="auto"/>
        <w:right w:val="none" w:sz="0" w:space="0" w:color="auto"/>
      </w:divBdr>
    </w:div>
    <w:div w:id="789397874">
      <w:bodyDiv w:val="1"/>
      <w:marLeft w:val="0"/>
      <w:marRight w:val="0"/>
      <w:marTop w:val="0"/>
      <w:marBottom w:val="0"/>
      <w:divBdr>
        <w:top w:val="none" w:sz="0" w:space="0" w:color="auto"/>
        <w:left w:val="none" w:sz="0" w:space="0" w:color="auto"/>
        <w:bottom w:val="none" w:sz="0" w:space="0" w:color="auto"/>
        <w:right w:val="none" w:sz="0" w:space="0" w:color="auto"/>
      </w:divBdr>
    </w:div>
    <w:div w:id="790901625">
      <w:bodyDiv w:val="1"/>
      <w:marLeft w:val="0"/>
      <w:marRight w:val="0"/>
      <w:marTop w:val="0"/>
      <w:marBottom w:val="0"/>
      <w:divBdr>
        <w:top w:val="none" w:sz="0" w:space="0" w:color="auto"/>
        <w:left w:val="none" w:sz="0" w:space="0" w:color="auto"/>
        <w:bottom w:val="none" w:sz="0" w:space="0" w:color="auto"/>
        <w:right w:val="none" w:sz="0" w:space="0" w:color="auto"/>
      </w:divBdr>
    </w:div>
    <w:div w:id="794564471">
      <w:bodyDiv w:val="1"/>
      <w:marLeft w:val="0"/>
      <w:marRight w:val="0"/>
      <w:marTop w:val="0"/>
      <w:marBottom w:val="0"/>
      <w:divBdr>
        <w:top w:val="none" w:sz="0" w:space="0" w:color="auto"/>
        <w:left w:val="none" w:sz="0" w:space="0" w:color="auto"/>
        <w:bottom w:val="none" w:sz="0" w:space="0" w:color="auto"/>
        <w:right w:val="none" w:sz="0" w:space="0" w:color="auto"/>
      </w:divBdr>
    </w:div>
    <w:div w:id="799029156">
      <w:bodyDiv w:val="1"/>
      <w:marLeft w:val="0"/>
      <w:marRight w:val="0"/>
      <w:marTop w:val="0"/>
      <w:marBottom w:val="0"/>
      <w:divBdr>
        <w:top w:val="none" w:sz="0" w:space="0" w:color="auto"/>
        <w:left w:val="none" w:sz="0" w:space="0" w:color="auto"/>
        <w:bottom w:val="none" w:sz="0" w:space="0" w:color="auto"/>
        <w:right w:val="none" w:sz="0" w:space="0" w:color="auto"/>
      </w:divBdr>
    </w:div>
    <w:div w:id="803961637">
      <w:bodyDiv w:val="1"/>
      <w:marLeft w:val="0"/>
      <w:marRight w:val="0"/>
      <w:marTop w:val="0"/>
      <w:marBottom w:val="0"/>
      <w:divBdr>
        <w:top w:val="none" w:sz="0" w:space="0" w:color="auto"/>
        <w:left w:val="none" w:sz="0" w:space="0" w:color="auto"/>
        <w:bottom w:val="none" w:sz="0" w:space="0" w:color="auto"/>
        <w:right w:val="none" w:sz="0" w:space="0" w:color="auto"/>
      </w:divBdr>
    </w:div>
    <w:div w:id="808203840">
      <w:bodyDiv w:val="1"/>
      <w:marLeft w:val="0"/>
      <w:marRight w:val="0"/>
      <w:marTop w:val="0"/>
      <w:marBottom w:val="0"/>
      <w:divBdr>
        <w:top w:val="none" w:sz="0" w:space="0" w:color="auto"/>
        <w:left w:val="none" w:sz="0" w:space="0" w:color="auto"/>
        <w:bottom w:val="none" w:sz="0" w:space="0" w:color="auto"/>
        <w:right w:val="none" w:sz="0" w:space="0" w:color="auto"/>
      </w:divBdr>
    </w:div>
    <w:div w:id="816842044">
      <w:bodyDiv w:val="1"/>
      <w:marLeft w:val="0"/>
      <w:marRight w:val="0"/>
      <w:marTop w:val="0"/>
      <w:marBottom w:val="0"/>
      <w:divBdr>
        <w:top w:val="none" w:sz="0" w:space="0" w:color="auto"/>
        <w:left w:val="none" w:sz="0" w:space="0" w:color="auto"/>
        <w:bottom w:val="none" w:sz="0" w:space="0" w:color="auto"/>
        <w:right w:val="none" w:sz="0" w:space="0" w:color="auto"/>
      </w:divBdr>
    </w:div>
    <w:div w:id="816847968">
      <w:bodyDiv w:val="1"/>
      <w:marLeft w:val="0"/>
      <w:marRight w:val="0"/>
      <w:marTop w:val="0"/>
      <w:marBottom w:val="0"/>
      <w:divBdr>
        <w:top w:val="none" w:sz="0" w:space="0" w:color="auto"/>
        <w:left w:val="none" w:sz="0" w:space="0" w:color="auto"/>
        <w:bottom w:val="none" w:sz="0" w:space="0" w:color="auto"/>
        <w:right w:val="none" w:sz="0" w:space="0" w:color="auto"/>
      </w:divBdr>
    </w:div>
    <w:div w:id="817258925">
      <w:bodyDiv w:val="1"/>
      <w:marLeft w:val="0"/>
      <w:marRight w:val="0"/>
      <w:marTop w:val="0"/>
      <w:marBottom w:val="0"/>
      <w:divBdr>
        <w:top w:val="none" w:sz="0" w:space="0" w:color="auto"/>
        <w:left w:val="none" w:sz="0" w:space="0" w:color="auto"/>
        <w:bottom w:val="none" w:sz="0" w:space="0" w:color="auto"/>
        <w:right w:val="none" w:sz="0" w:space="0" w:color="auto"/>
      </w:divBdr>
    </w:div>
    <w:div w:id="817770792">
      <w:bodyDiv w:val="1"/>
      <w:marLeft w:val="0"/>
      <w:marRight w:val="0"/>
      <w:marTop w:val="0"/>
      <w:marBottom w:val="0"/>
      <w:divBdr>
        <w:top w:val="none" w:sz="0" w:space="0" w:color="auto"/>
        <w:left w:val="none" w:sz="0" w:space="0" w:color="auto"/>
        <w:bottom w:val="none" w:sz="0" w:space="0" w:color="auto"/>
        <w:right w:val="none" w:sz="0" w:space="0" w:color="auto"/>
      </w:divBdr>
    </w:div>
    <w:div w:id="819081794">
      <w:bodyDiv w:val="1"/>
      <w:marLeft w:val="0"/>
      <w:marRight w:val="0"/>
      <w:marTop w:val="0"/>
      <w:marBottom w:val="0"/>
      <w:divBdr>
        <w:top w:val="none" w:sz="0" w:space="0" w:color="auto"/>
        <w:left w:val="none" w:sz="0" w:space="0" w:color="auto"/>
        <w:bottom w:val="none" w:sz="0" w:space="0" w:color="auto"/>
        <w:right w:val="none" w:sz="0" w:space="0" w:color="auto"/>
      </w:divBdr>
    </w:div>
    <w:div w:id="823936590">
      <w:bodyDiv w:val="1"/>
      <w:marLeft w:val="0"/>
      <w:marRight w:val="0"/>
      <w:marTop w:val="0"/>
      <w:marBottom w:val="0"/>
      <w:divBdr>
        <w:top w:val="none" w:sz="0" w:space="0" w:color="auto"/>
        <w:left w:val="none" w:sz="0" w:space="0" w:color="auto"/>
        <w:bottom w:val="none" w:sz="0" w:space="0" w:color="auto"/>
        <w:right w:val="none" w:sz="0" w:space="0" w:color="auto"/>
      </w:divBdr>
    </w:div>
    <w:div w:id="824204732">
      <w:bodyDiv w:val="1"/>
      <w:marLeft w:val="0"/>
      <w:marRight w:val="0"/>
      <w:marTop w:val="0"/>
      <w:marBottom w:val="0"/>
      <w:divBdr>
        <w:top w:val="none" w:sz="0" w:space="0" w:color="auto"/>
        <w:left w:val="none" w:sz="0" w:space="0" w:color="auto"/>
        <w:bottom w:val="none" w:sz="0" w:space="0" w:color="auto"/>
        <w:right w:val="none" w:sz="0" w:space="0" w:color="auto"/>
      </w:divBdr>
    </w:div>
    <w:div w:id="825628892">
      <w:bodyDiv w:val="1"/>
      <w:marLeft w:val="0"/>
      <w:marRight w:val="0"/>
      <w:marTop w:val="0"/>
      <w:marBottom w:val="0"/>
      <w:divBdr>
        <w:top w:val="none" w:sz="0" w:space="0" w:color="auto"/>
        <w:left w:val="none" w:sz="0" w:space="0" w:color="auto"/>
        <w:bottom w:val="none" w:sz="0" w:space="0" w:color="auto"/>
        <w:right w:val="none" w:sz="0" w:space="0" w:color="auto"/>
      </w:divBdr>
    </w:div>
    <w:div w:id="826287349">
      <w:bodyDiv w:val="1"/>
      <w:marLeft w:val="0"/>
      <w:marRight w:val="0"/>
      <w:marTop w:val="0"/>
      <w:marBottom w:val="0"/>
      <w:divBdr>
        <w:top w:val="none" w:sz="0" w:space="0" w:color="auto"/>
        <w:left w:val="none" w:sz="0" w:space="0" w:color="auto"/>
        <w:bottom w:val="none" w:sz="0" w:space="0" w:color="auto"/>
        <w:right w:val="none" w:sz="0" w:space="0" w:color="auto"/>
      </w:divBdr>
    </w:div>
    <w:div w:id="827524462">
      <w:bodyDiv w:val="1"/>
      <w:marLeft w:val="0"/>
      <w:marRight w:val="0"/>
      <w:marTop w:val="0"/>
      <w:marBottom w:val="0"/>
      <w:divBdr>
        <w:top w:val="none" w:sz="0" w:space="0" w:color="auto"/>
        <w:left w:val="none" w:sz="0" w:space="0" w:color="auto"/>
        <w:bottom w:val="none" w:sz="0" w:space="0" w:color="auto"/>
        <w:right w:val="none" w:sz="0" w:space="0" w:color="auto"/>
      </w:divBdr>
    </w:div>
    <w:div w:id="830290391">
      <w:bodyDiv w:val="1"/>
      <w:marLeft w:val="0"/>
      <w:marRight w:val="0"/>
      <w:marTop w:val="0"/>
      <w:marBottom w:val="0"/>
      <w:divBdr>
        <w:top w:val="none" w:sz="0" w:space="0" w:color="auto"/>
        <w:left w:val="none" w:sz="0" w:space="0" w:color="auto"/>
        <w:bottom w:val="none" w:sz="0" w:space="0" w:color="auto"/>
        <w:right w:val="none" w:sz="0" w:space="0" w:color="auto"/>
      </w:divBdr>
    </w:div>
    <w:div w:id="833372445">
      <w:bodyDiv w:val="1"/>
      <w:marLeft w:val="0"/>
      <w:marRight w:val="0"/>
      <w:marTop w:val="0"/>
      <w:marBottom w:val="0"/>
      <w:divBdr>
        <w:top w:val="none" w:sz="0" w:space="0" w:color="auto"/>
        <w:left w:val="none" w:sz="0" w:space="0" w:color="auto"/>
        <w:bottom w:val="none" w:sz="0" w:space="0" w:color="auto"/>
        <w:right w:val="none" w:sz="0" w:space="0" w:color="auto"/>
      </w:divBdr>
    </w:div>
    <w:div w:id="838350536">
      <w:bodyDiv w:val="1"/>
      <w:marLeft w:val="0"/>
      <w:marRight w:val="0"/>
      <w:marTop w:val="0"/>
      <w:marBottom w:val="0"/>
      <w:divBdr>
        <w:top w:val="none" w:sz="0" w:space="0" w:color="auto"/>
        <w:left w:val="none" w:sz="0" w:space="0" w:color="auto"/>
        <w:bottom w:val="none" w:sz="0" w:space="0" w:color="auto"/>
        <w:right w:val="none" w:sz="0" w:space="0" w:color="auto"/>
      </w:divBdr>
    </w:div>
    <w:div w:id="839613590">
      <w:bodyDiv w:val="1"/>
      <w:marLeft w:val="0"/>
      <w:marRight w:val="0"/>
      <w:marTop w:val="0"/>
      <w:marBottom w:val="0"/>
      <w:divBdr>
        <w:top w:val="none" w:sz="0" w:space="0" w:color="auto"/>
        <w:left w:val="none" w:sz="0" w:space="0" w:color="auto"/>
        <w:bottom w:val="none" w:sz="0" w:space="0" w:color="auto"/>
        <w:right w:val="none" w:sz="0" w:space="0" w:color="auto"/>
      </w:divBdr>
    </w:div>
    <w:div w:id="841550102">
      <w:bodyDiv w:val="1"/>
      <w:marLeft w:val="0"/>
      <w:marRight w:val="0"/>
      <w:marTop w:val="0"/>
      <w:marBottom w:val="0"/>
      <w:divBdr>
        <w:top w:val="none" w:sz="0" w:space="0" w:color="auto"/>
        <w:left w:val="none" w:sz="0" w:space="0" w:color="auto"/>
        <w:bottom w:val="none" w:sz="0" w:space="0" w:color="auto"/>
        <w:right w:val="none" w:sz="0" w:space="0" w:color="auto"/>
      </w:divBdr>
    </w:div>
    <w:div w:id="844974356">
      <w:bodyDiv w:val="1"/>
      <w:marLeft w:val="0"/>
      <w:marRight w:val="0"/>
      <w:marTop w:val="0"/>
      <w:marBottom w:val="0"/>
      <w:divBdr>
        <w:top w:val="none" w:sz="0" w:space="0" w:color="auto"/>
        <w:left w:val="none" w:sz="0" w:space="0" w:color="auto"/>
        <w:bottom w:val="none" w:sz="0" w:space="0" w:color="auto"/>
        <w:right w:val="none" w:sz="0" w:space="0" w:color="auto"/>
      </w:divBdr>
    </w:div>
    <w:div w:id="846092165">
      <w:bodyDiv w:val="1"/>
      <w:marLeft w:val="0"/>
      <w:marRight w:val="0"/>
      <w:marTop w:val="0"/>
      <w:marBottom w:val="0"/>
      <w:divBdr>
        <w:top w:val="none" w:sz="0" w:space="0" w:color="auto"/>
        <w:left w:val="none" w:sz="0" w:space="0" w:color="auto"/>
        <w:bottom w:val="none" w:sz="0" w:space="0" w:color="auto"/>
        <w:right w:val="none" w:sz="0" w:space="0" w:color="auto"/>
      </w:divBdr>
    </w:div>
    <w:div w:id="846939385">
      <w:bodyDiv w:val="1"/>
      <w:marLeft w:val="0"/>
      <w:marRight w:val="0"/>
      <w:marTop w:val="0"/>
      <w:marBottom w:val="0"/>
      <w:divBdr>
        <w:top w:val="none" w:sz="0" w:space="0" w:color="auto"/>
        <w:left w:val="none" w:sz="0" w:space="0" w:color="auto"/>
        <w:bottom w:val="none" w:sz="0" w:space="0" w:color="auto"/>
        <w:right w:val="none" w:sz="0" w:space="0" w:color="auto"/>
      </w:divBdr>
    </w:div>
    <w:div w:id="848981503">
      <w:bodyDiv w:val="1"/>
      <w:marLeft w:val="0"/>
      <w:marRight w:val="0"/>
      <w:marTop w:val="0"/>
      <w:marBottom w:val="0"/>
      <w:divBdr>
        <w:top w:val="none" w:sz="0" w:space="0" w:color="auto"/>
        <w:left w:val="none" w:sz="0" w:space="0" w:color="auto"/>
        <w:bottom w:val="none" w:sz="0" w:space="0" w:color="auto"/>
        <w:right w:val="none" w:sz="0" w:space="0" w:color="auto"/>
      </w:divBdr>
    </w:div>
    <w:div w:id="849952016">
      <w:bodyDiv w:val="1"/>
      <w:marLeft w:val="0"/>
      <w:marRight w:val="0"/>
      <w:marTop w:val="0"/>
      <w:marBottom w:val="0"/>
      <w:divBdr>
        <w:top w:val="none" w:sz="0" w:space="0" w:color="auto"/>
        <w:left w:val="none" w:sz="0" w:space="0" w:color="auto"/>
        <w:bottom w:val="none" w:sz="0" w:space="0" w:color="auto"/>
        <w:right w:val="none" w:sz="0" w:space="0" w:color="auto"/>
      </w:divBdr>
    </w:div>
    <w:div w:id="856576165">
      <w:bodyDiv w:val="1"/>
      <w:marLeft w:val="0"/>
      <w:marRight w:val="0"/>
      <w:marTop w:val="0"/>
      <w:marBottom w:val="0"/>
      <w:divBdr>
        <w:top w:val="none" w:sz="0" w:space="0" w:color="auto"/>
        <w:left w:val="none" w:sz="0" w:space="0" w:color="auto"/>
        <w:bottom w:val="none" w:sz="0" w:space="0" w:color="auto"/>
        <w:right w:val="none" w:sz="0" w:space="0" w:color="auto"/>
      </w:divBdr>
    </w:div>
    <w:div w:id="857423787">
      <w:bodyDiv w:val="1"/>
      <w:marLeft w:val="0"/>
      <w:marRight w:val="0"/>
      <w:marTop w:val="0"/>
      <w:marBottom w:val="0"/>
      <w:divBdr>
        <w:top w:val="none" w:sz="0" w:space="0" w:color="auto"/>
        <w:left w:val="none" w:sz="0" w:space="0" w:color="auto"/>
        <w:bottom w:val="none" w:sz="0" w:space="0" w:color="auto"/>
        <w:right w:val="none" w:sz="0" w:space="0" w:color="auto"/>
      </w:divBdr>
    </w:div>
    <w:div w:id="858857291">
      <w:bodyDiv w:val="1"/>
      <w:marLeft w:val="0"/>
      <w:marRight w:val="0"/>
      <w:marTop w:val="0"/>
      <w:marBottom w:val="0"/>
      <w:divBdr>
        <w:top w:val="none" w:sz="0" w:space="0" w:color="auto"/>
        <w:left w:val="none" w:sz="0" w:space="0" w:color="auto"/>
        <w:bottom w:val="none" w:sz="0" w:space="0" w:color="auto"/>
        <w:right w:val="none" w:sz="0" w:space="0" w:color="auto"/>
      </w:divBdr>
    </w:div>
    <w:div w:id="859512266">
      <w:bodyDiv w:val="1"/>
      <w:marLeft w:val="0"/>
      <w:marRight w:val="0"/>
      <w:marTop w:val="0"/>
      <w:marBottom w:val="0"/>
      <w:divBdr>
        <w:top w:val="none" w:sz="0" w:space="0" w:color="auto"/>
        <w:left w:val="none" w:sz="0" w:space="0" w:color="auto"/>
        <w:bottom w:val="none" w:sz="0" w:space="0" w:color="auto"/>
        <w:right w:val="none" w:sz="0" w:space="0" w:color="auto"/>
      </w:divBdr>
    </w:div>
    <w:div w:id="861362815">
      <w:bodyDiv w:val="1"/>
      <w:marLeft w:val="0"/>
      <w:marRight w:val="0"/>
      <w:marTop w:val="0"/>
      <w:marBottom w:val="0"/>
      <w:divBdr>
        <w:top w:val="none" w:sz="0" w:space="0" w:color="auto"/>
        <w:left w:val="none" w:sz="0" w:space="0" w:color="auto"/>
        <w:bottom w:val="none" w:sz="0" w:space="0" w:color="auto"/>
        <w:right w:val="none" w:sz="0" w:space="0" w:color="auto"/>
      </w:divBdr>
    </w:div>
    <w:div w:id="868568280">
      <w:bodyDiv w:val="1"/>
      <w:marLeft w:val="0"/>
      <w:marRight w:val="0"/>
      <w:marTop w:val="0"/>
      <w:marBottom w:val="0"/>
      <w:divBdr>
        <w:top w:val="none" w:sz="0" w:space="0" w:color="auto"/>
        <w:left w:val="none" w:sz="0" w:space="0" w:color="auto"/>
        <w:bottom w:val="none" w:sz="0" w:space="0" w:color="auto"/>
        <w:right w:val="none" w:sz="0" w:space="0" w:color="auto"/>
      </w:divBdr>
    </w:div>
    <w:div w:id="869101325">
      <w:bodyDiv w:val="1"/>
      <w:marLeft w:val="0"/>
      <w:marRight w:val="0"/>
      <w:marTop w:val="0"/>
      <w:marBottom w:val="0"/>
      <w:divBdr>
        <w:top w:val="none" w:sz="0" w:space="0" w:color="auto"/>
        <w:left w:val="none" w:sz="0" w:space="0" w:color="auto"/>
        <w:bottom w:val="none" w:sz="0" w:space="0" w:color="auto"/>
        <w:right w:val="none" w:sz="0" w:space="0" w:color="auto"/>
      </w:divBdr>
    </w:div>
    <w:div w:id="870650035">
      <w:bodyDiv w:val="1"/>
      <w:marLeft w:val="0"/>
      <w:marRight w:val="0"/>
      <w:marTop w:val="0"/>
      <w:marBottom w:val="0"/>
      <w:divBdr>
        <w:top w:val="none" w:sz="0" w:space="0" w:color="auto"/>
        <w:left w:val="none" w:sz="0" w:space="0" w:color="auto"/>
        <w:bottom w:val="none" w:sz="0" w:space="0" w:color="auto"/>
        <w:right w:val="none" w:sz="0" w:space="0" w:color="auto"/>
      </w:divBdr>
    </w:div>
    <w:div w:id="870873587">
      <w:bodyDiv w:val="1"/>
      <w:marLeft w:val="0"/>
      <w:marRight w:val="0"/>
      <w:marTop w:val="0"/>
      <w:marBottom w:val="0"/>
      <w:divBdr>
        <w:top w:val="none" w:sz="0" w:space="0" w:color="auto"/>
        <w:left w:val="none" w:sz="0" w:space="0" w:color="auto"/>
        <w:bottom w:val="none" w:sz="0" w:space="0" w:color="auto"/>
        <w:right w:val="none" w:sz="0" w:space="0" w:color="auto"/>
      </w:divBdr>
    </w:div>
    <w:div w:id="873077123">
      <w:bodyDiv w:val="1"/>
      <w:marLeft w:val="0"/>
      <w:marRight w:val="0"/>
      <w:marTop w:val="0"/>
      <w:marBottom w:val="0"/>
      <w:divBdr>
        <w:top w:val="none" w:sz="0" w:space="0" w:color="auto"/>
        <w:left w:val="none" w:sz="0" w:space="0" w:color="auto"/>
        <w:bottom w:val="none" w:sz="0" w:space="0" w:color="auto"/>
        <w:right w:val="none" w:sz="0" w:space="0" w:color="auto"/>
      </w:divBdr>
    </w:div>
    <w:div w:id="875241719">
      <w:bodyDiv w:val="1"/>
      <w:marLeft w:val="0"/>
      <w:marRight w:val="0"/>
      <w:marTop w:val="0"/>
      <w:marBottom w:val="0"/>
      <w:divBdr>
        <w:top w:val="none" w:sz="0" w:space="0" w:color="auto"/>
        <w:left w:val="none" w:sz="0" w:space="0" w:color="auto"/>
        <w:bottom w:val="none" w:sz="0" w:space="0" w:color="auto"/>
        <w:right w:val="none" w:sz="0" w:space="0" w:color="auto"/>
      </w:divBdr>
    </w:div>
    <w:div w:id="875586008">
      <w:bodyDiv w:val="1"/>
      <w:marLeft w:val="0"/>
      <w:marRight w:val="0"/>
      <w:marTop w:val="0"/>
      <w:marBottom w:val="0"/>
      <w:divBdr>
        <w:top w:val="none" w:sz="0" w:space="0" w:color="auto"/>
        <w:left w:val="none" w:sz="0" w:space="0" w:color="auto"/>
        <w:bottom w:val="none" w:sz="0" w:space="0" w:color="auto"/>
        <w:right w:val="none" w:sz="0" w:space="0" w:color="auto"/>
      </w:divBdr>
    </w:div>
    <w:div w:id="882523210">
      <w:bodyDiv w:val="1"/>
      <w:marLeft w:val="0"/>
      <w:marRight w:val="0"/>
      <w:marTop w:val="0"/>
      <w:marBottom w:val="0"/>
      <w:divBdr>
        <w:top w:val="none" w:sz="0" w:space="0" w:color="auto"/>
        <w:left w:val="none" w:sz="0" w:space="0" w:color="auto"/>
        <w:bottom w:val="none" w:sz="0" w:space="0" w:color="auto"/>
        <w:right w:val="none" w:sz="0" w:space="0" w:color="auto"/>
      </w:divBdr>
    </w:div>
    <w:div w:id="883324292">
      <w:bodyDiv w:val="1"/>
      <w:marLeft w:val="0"/>
      <w:marRight w:val="0"/>
      <w:marTop w:val="0"/>
      <w:marBottom w:val="0"/>
      <w:divBdr>
        <w:top w:val="none" w:sz="0" w:space="0" w:color="auto"/>
        <w:left w:val="none" w:sz="0" w:space="0" w:color="auto"/>
        <w:bottom w:val="none" w:sz="0" w:space="0" w:color="auto"/>
        <w:right w:val="none" w:sz="0" w:space="0" w:color="auto"/>
      </w:divBdr>
    </w:div>
    <w:div w:id="883442567">
      <w:bodyDiv w:val="1"/>
      <w:marLeft w:val="0"/>
      <w:marRight w:val="0"/>
      <w:marTop w:val="0"/>
      <w:marBottom w:val="0"/>
      <w:divBdr>
        <w:top w:val="none" w:sz="0" w:space="0" w:color="auto"/>
        <w:left w:val="none" w:sz="0" w:space="0" w:color="auto"/>
        <w:bottom w:val="none" w:sz="0" w:space="0" w:color="auto"/>
        <w:right w:val="none" w:sz="0" w:space="0" w:color="auto"/>
      </w:divBdr>
    </w:div>
    <w:div w:id="895433425">
      <w:bodyDiv w:val="1"/>
      <w:marLeft w:val="0"/>
      <w:marRight w:val="0"/>
      <w:marTop w:val="0"/>
      <w:marBottom w:val="0"/>
      <w:divBdr>
        <w:top w:val="none" w:sz="0" w:space="0" w:color="auto"/>
        <w:left w:val="none" w:sz="0" w:space="0" w:color="auto"/>
        <w:bottom w:val="none" w:sz="0" w:space="0" w:color="auto"/>
        <w:right w:val="none" w:sz="0" w:space="0" w:color="auto"/>
      </w:divBdr>
    </w:div>
    <w:div w:id="900562034">
      <w:bodyDiv w:val="1"/>
      <w:marLeft w:val="0"/>
      <w:marRight w:val="0"/>
      <w:marTop w:val="0"/>
      <w:marBottom w:val="0"/>
      <w:divBdr>
        <w:top w:val="none" w:sz="0" w:space="0" w:color="auto"/>
        <w:left w:val="none" w:sz="0" w:space="0" w:color="auto"/>
        <w:bottom w:val="none" w:sz="0" w:space="0" w:color="auto"/>
        <w:right w:val="none" w:sz="0" w:space="0" w:color="auto"/>
      </w:divBdr>
    </w:div>
    <w:div w:id="904413790">
      <w:bodyDiv w:val="1"/>
      <w:marLeft w:val="0"/>
      <w:marRight w:val="0"/>
      <w:marTop w:val="0"/>
      <w:marBottom w:val="0"/>
      <w:divBdr>
        <w:top w:val="none" w:sz="0" w:space="0" w:color="auto"/>
        <w:left w:val="none" w:sz="0" w:space="0" w:color="auto"/>
        <w:bottom w:val="none" w:sz="0" w:space="0" w:color="auto"/>
        <w:right w:val="none" w:sz="0" w:space="0" w:color="auto"/>
      </w:divBdr>
    </w:div>
    <w:div w:id="910458670">
      <w:bodyDiv w:val="1"/>
      <w:marLeft w:val="0"/>
      <w:marRight w:val="0"/>
      <w:marTop w:val="0"/>
      <w:marBottom w:val="0"/>
      <w:divBdr>
        <w:top w:val="none" w:sz="0" w:space="0" w:color="auto"/>
        <w:left w:val="none" w:sz="0" w:space="0" w:color="auto"/>
        <w:bottom w:val="none" w:sz="0" w:space="0" w:color="auto"/>
        <w:right w:val="none" w:sz="0" w:space="0" w:color="auto"/>
      </w:divBdr>
    </w:div>
    <w:div w:id="911240077">
      <w:bodyDiv w:val="1"/>
      <w:marLeft w:val="0"/>
      <w:marRight w:val="0"/>
      <w:marTop w:val="0"/>
      <w:marBottom w:val="0"/>
      <w:divBdr>
        <w:top w:val="none" w:sz="0" w:space="0" w:color="auto"/>
        <w:left w:val="none" w:sz="0" w:space="0" w:color="auto"/>
        <w:bottom w:val="none" w:sz="0" w:space="0" w:color="auto"/>
        <w:right w:val="none" w:sz="0" w:space="0" w:color="auto"/>
      </w:divBdr>
    </w:div>
    <w:div w:id="911425057">
      <w:bodyDiv w:val="1"/>
      <w:marLeft w:val="0"/>
      <w:marRight w:val="0"/>
      <w:marTop w:val="0"/>
      <w:marBottom w:val="0"/>
      <w:divBdr>
        <w:top w:val="none" w:sz="0" w:space="0" w:color="auto"/>
        <w:left w:val="none" w:sz="0" w:space="0" w:color="auto"/>
        <w:bottom w:val="none" w:sz="0" w:space="0" w:color="auto"/>
        <w:right w:val="none" w:sz="0" w:space="0" w:color="auto"/>
      </w:divBdr>
    </w:div>
    <w:div w:id="911935418">
      <w:bodyDiv w:val="1"/>
      <w:marLeft w:val="0"/>
      <w:marRight w:val="0"/>
      <w:marTop w:val="0"/>
      <w:marBottom w:val="0"/>
      <w:divBdr>
        <w:top w:val="none" w:sz="0" w:space="0" w:color="auto"/>
        <w:left w:val="none" w:sz="0" w:space="0" w:color="auto"/>
        <w:bottom w:val="none" w:sz="0" w:space="0" w:color="auto"/>
        <w:right w:val="none" w:sz="0" w:space="0" w:color="auto"/>
      </w:divBdr>
    </w:div>
    <w:div w:id="912468917">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7060363">
      <w:bodyDiv w:val="1"/>
      <w:marLeft w:val="0"/>
      <w:marRight w:val="0"/>
      <w:marTop w:val="0"/>
      <w:marBottom w:val="0"/>
      <w:divBdr>
        <w:top w:val="none" w:sz="0" w:space="0" w:color="auto"/>
        <w:left w:val="none" w:sz="0" w:space="0" w:color="auto"/>
        <w:bottom w:val="none" w:sz="0" w:space="0" w:color="auto"/>
        <w:right w:val="none" w:sz="0" w:space="0" w:color="auto"/>
      </w:divBdr>
    </w:div>
    <w:div w:id="921835444">
      <w:bodyDiv w:val="1"/>
      <w:marLeft w:val="0"/>
      <w:marRight w:val="0"/>
      <w:marTop w:val="0"/>
      <w:marBottom w:val="0"/>
      <w:divBdr>
        <w:top w:val="none" w:sz="0" w:space="0" w:color="auto"/>
        <w:left w:val="none" w:sz="0" w:space="0" w:color="auto"/>
        <w:bottom w:val="none" w:sz="0" w:space="0" w:color="auto"/>
        <w:right w:val="none" w:sz="0" w:space="0" w:color="auto"/>
      </w:divBdr>
    </w:div>
    <w:div w:id="927423555">
      <w:bodyDiv w:val="1"/>
      <w:marLeft w:val="0"/>
      <w:marRight w:val="0"/>
      <w:marTop w:val="0"/>
      <w:marBottom w:val="0"/>
      <w:divBdr>
        <w:top w:val="none" w:sz="0" w:space="0" w:color="auto"/>
        <w:left w:val="none" w:sz="0" w:space="0" w:color="auto"/>
        <w:bottom w:val="none" w:sz="0" w:space="0" w:color="auto"/>
        <w:right w:val="none" w:sz="0" w:space="0" w:color="auto"/>
      </w:divBdr>
    </w:div>
    <w:div w:id="930818319">
      <w:bodyDiv w:val="1"/>
      <w:marLeft w:val="0"/>
      <w:marRight w:val="0"/>
      <w:marTop w:val="0"/>
      <w:marBottom w:val="0"/>
      <w:divBdr>
        <w:top w:val="none" w:sz="0" w:space="0" w:color="auto"/>
        <w:left w:val="none" w:sz="0" w:space="0" w:color="auto"/>
        <w:bottom w:val="none" w:sz="0" w:space="0" w:color="auto"/>
        <w:right w:val="none" w:sz="0" w:space="0" w:color="auto"/>
      </w:divBdr>
    </w:div>
    <w:div w:id="933320147">
      <w:bodyDiv w:val="1"/>
      <w:marLeft w:val="0"/>
      <w:marRight w:val="0"/>
      <w:marTop w:val="0"/>
      <w:marBottom w:val="0"/>
      <w:divBdr>
        <w:top w:val="none" w:sz="0" w:space="0" w:color="auto"/>
        <w:left w:val="none" w:sz="0" w:space="0" w:color="auto"/>
        <w:bottom w:val="none" w:sz="0" w:space="0" w:color="auto"/>
        <w:right w:val="none" w:sz="0" w:space="0" w:color="auto"/>
      </w:divBdr>
    </w:div>
    <w:div w:id="946153943">
      <w:bodyDiv w:val="1"/>
      <w:marLeft w:val="0"/>
      <w:marRight w:val="0"/>
      <w:marTop w:val="0"/>
      <w:marBottom w:val="0"/>
      <w:divBdr>
        <w:top w:val="none" w:sz="0" w:space="0" w:color="auto"/>
        <w:left w:val="none" w:sz="0" w:space="0" w:color="auto"/>
        <w:bottom w:val="none" w:sz="0" w:space="0" w:color="auto"/>
        <w:right w:val="none" w:sz="0" w:space="0" w:color="auto"/>
      </w:divBdr>
    </w:div>
    <w:div w:id="946348907">
      <w:bodyDiv w:val="1"/>
      <w:marLeft w:val="0"/>
      <w:marRight w:val="0"/>
      <w:marTop w:val="0"/>
      <w:marBottom w:val="0"/>
      <w:divBdr>
        <w:top w:val="none" w:sz="0" w:space="0" w:color="auto"/>
        <w:left w:val="none" w:sz="0" w:space="0" w:color="auto"/>
        <w:bottom w:val="none" w:sz="0" w:space="0" w:color="auto"/>
        <w:right w:val="none" w:sz="0" w:space="0" w:color="auto"/>
      </w:divBdr>
    </w:div>
    <w:div w:id="951589230">
      <w:bodyDiv w:val="1"/>
      <w:marLeft w:val="0"/>
      <w:marRight w:val="0"/>
      <w:marTop w:val="0"/>
      <w:marBottom w:val="0"/>
      <w:divBdr>
        <w:top w:val="none" w:sz="0" w:space="0" w:color="auto"/>
        <w:left w:val="none" w:sz="0" w:space="0" w:color="auto"/>
        <w:bottom w:val="none" w:sz="0" w:space="0" w:color="auto"/>
        <w:right w:val="none" w:sz="0" w:space="0" w:color="auto"/>
      </w:divBdr>
    </w:div>
    <w:div w:id="960040924">
      <w:bodyDiv w:val="1"/>
      <w:marLeft w:val="0"/>
      <w:marRight w:val="0"/>
      <w:marTop w:val="0"/>
      <w:marBottom w:val="0"/>
      <w:divBdr>
        <w:top w:val="none" w:sz="0" w:space="0" w:color="auto"/>
        <w:left w:val="none" w:sz="0" w:space="0" w:color="auto"/>
        <w:bottom w:val="none" w:sz="0" w:space="0" w:color="auto"/>
        <w:right w:val="none" w:sz="0" w:space="0" w:color="auto"/>
      </w:divBdr>
    </w:div>
    <w:div w:id="968514627">
      <w:bodyDiv w:val="1"/>
      <w:marLeft w:val="0"/>
      <w:marRight w:val="0"/>
      <w:marTop w:val="0"/>
      <w:marBottom w:val="0"/>
      <w:divBdr>
        <w:top w:val="none" w:sz="0" w:space="0" w:color="auto"/>
        <w:left w:val="none" w:sz="0" w:space="0" w:color="auto"/>
        <w:bottom w:val="none" w:sz="0" w:space="0" w:color="auto"/>
        <w:right w:val="none" w:sz="0" w:space="0" w:color="auto"/>
      </w:divBdr>
    </w:div>
    <w:div w:id="969700297">
      <w:bodyDiv w:val="1"/>
      <w:marLeft w:val="0"/>
      <w:marRight w:val="0"/>
      <w:marTop w:val="0"/>
      <w:marBottom w:val="0"/>
      <w:divBdr>
        <w:top w:val="none" w:sz="0" w:space="0" w:color="auto"/>
        <w:left w:val="none" w:sz="0" w:space="0" w:color="auto"/>
        <w:bottom w:val="none" w:sz="0" w:space="0" w:color="auto"/>
        <w:right w:val="none" w:sz="0" w:space="0" w:color="auto"/>
      </w:divBdr>
    </w:div>
    <w:div w:id="97263486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103229">
      <w:bodyDiv w:val="1"/>
      <w:marLeft w:val="0"/>
      <w:marRight w:val="0"/>
      <w:marTop w:val="0"/>
      <w:marBottom w:val="0"/>
      <w:divBdr>
        <w:top w:val="none" w:sz="0" w:space="0" w:color="auto"/>
        <w:left w:val="none" w:sz="0" w:space="0" w:color="auto"/>
        <w:bottom w:val="none" w:sz="0" w:space="0" w:color="auto"/>
        <w:right w:val="none" w:sz="0" w:space="0" w:color="auto"/>
      </w:divBdr>
    </w:div>
    <w:div w:id="980774001">
      <w:bodyDiv w:val="1"/>
      <w:marLeft w:val="0"/>
      <w:marRight w:val="0"/>
      <w:marTop w:val="0"/>
      <w:marBottom w:val="0"/>
      <w:divBdr>
        <w:top w:val="none" w:sz="0" w:space="0" w:color="auto"/>
        <w:left w:val="none" w:sz="0" w:space="0" w:color="auto"/>
        <w:bottom w:val="none" w:sz="0" w:space="0" w:color="auto"/>
        <w:right w:val="none" w:sz="0" w:space="0" w:color="auto"/>
      </w:divBdr>
    </w:div>
    <w:div w:id="980887654">
      <w:bodyDiv w:val="1"/>
      <w:marLeft w:val="0"/>
      <w:marRight w:val="0"/>
      <w:marTop w:val="0"/>
      <w:marBottom w:val="0"/>
      <w:divBdr>
        <w:top w:val="none" w:sz="0" w:space="0" w:color="auto"/>
        <w:left w:val="none" w:sz="0" w:space="0" w:color="auto"/>
        <w:bottom w:val="none" w:sz="0" w:space="0" w:color="auto"/>
        <w:right w:val="none" w:sz="0" w:space="0" w:color="auto"/>
      </w:divBdr>
    </w:div>
    <w:div w:id="984316166">
      <w:bodyDiv w:val="1"/>
      <w:marLeft w:val="0"/>
      <w:marRight w:val="0"/>
      <w:marTop w:val="0"/>
      <w:marBottom w:val="0"/>
      <w:divBdr>
        <w:top w:val="none" w:sz="0" w:space="0" w:color="auto"/>
        <w:left w:val="none" w:sz="0" w:space="0" w:color="auto"/>
        <w:bottom w:val="none" w:sz="0" w:space="0" w:color="auto"/>
        <w:right w:val="none" w:sz="0" w:space="0" w:color="auto"/>
      </w:divBdr>
    </w:div>
    <w:div w:id="984432437">
      <w:bodyDiv w:val="1"/>
      <w:marLeft w:val="0"/>
      <w:marRight w:val="0"/>
      <w:marTop w:val="0"/>
      <w:marBottom w:val="0"/>
      <w:divBdr>
        <w:top w:val="none" w:sz="0" w:space="0" w:color="auto"/>
        <w:left w:val="none" w:sz="0" w:space="0" w:color="auto"/>
        <w:bottom w:val="none" w:sz="0" w:space="0" w:color="auto"/>
        <w:right w:val="none" w:sz="0" w:space="0" w:color="auto"/>
      </w:divBdr>
    </w:div>
    <w:div w:id="985009442">
      <w:bodyDiv w:val="1"/>
      <w:marLeft w:val="0"/>
      <w:marRight w:val="0"/>
      <w:marTop w:val="0"/>
      <w:marBottom w:val="0"/>
      <w:divBdr>
        <w:top w:val="none" w:sz="0" w:space="0" w:color="auto"/>
        <w:left w:val="none" w:sz="0" w:space="0" w:color="auto"/>
        <w:bottom w:val="none" w:sz="0" w:space="0" w:color="auto"/>
        <w:right w:val="none" w:sz="0" w:space="0" w:color="auto"/>
      </w:divBdr>
    </w:div>
    <w:div w:id="986478017">
      <w:bodyDiv w:val="1"/>
      <w:marLeft w:val="0"/>
      <w:marRight w:val="0"/>
      <w:marTop w:val="0"/>
      <w:marBottom w:val="0"/>
      <w:divBdr>
        <w:top w:val="none" w:sz="0" w:space="0" w:color="auto"/>
        <w:left w:val="none" w:sz="0" w:space="0" w:color="auto"/>
        <w:bottom w:val="none" w:sz="0" w:space="0" w:color="auto"/>
        <w:right w:val="none" w:sz="0" w:space="0" w:color="auto"/>
      </w:divBdr>
    </w:div>
    <w:div w:id="993991069">
      <w:bodyDiv w:val="1"/>
      <w:marLeft w:val="0"/>
      <w:marRight w:val="0"/>
      <w:marTop w:val="0"/>
      <w:marBottom w:val="0"/>
      <w:divBdr>
        <w:top w:val="none" w:sz="0" w:space="0" w:color="auto"/>
        <w:left w:val="none" w:sz="0" w:space="0" w:color="auto"/>
        <w:bottom w:val="none" w:sz="0" w:space="0" w:color="auto"/>
        <w:right w:val="none" w:sz="0" w:space="0" w:color="auto"/>
      </w:divBdr>
    </w:div>
    <w:div w:id="998269291">
      <w:bodyDiv w:val="1"/>
      <w:marLeft w:val="0"/>
      <w:marRight w:val="0"/>
      <w:marTop w:val="0"/>
      <w:marBottom w:val="0"/>
      <w:divBdr>
        <w:top w:val="none" w:sz="0" w:space="0" w:color="auto"/>
        <w:left w:val="none" w:sz="0" w:space="0" w:color="auto"/>
        <w:bottom w:val="none" w:sz="0" w:space="0" w:color="auto"/>
        <w:right w:val="none" w:sz="0" w:space="0" w:color="auto"/>
      </w:divBdr>
    </w:div>
    <w:div w:id="1005669824">
      <w:bodyDiv w:val="1"/>
      <w:marLeft w:val="0"/>
      <w:marRight w:val="0"/>
      <w:marTop w:val="0"/>
      <w:marBottom w:val="0"/>
      <w:divBdr>
        <w:top w:val="none" w:sz="0" w:space="0" w:color="auto"/>
        <w:left w:val="none" w:sz="0" w:space="0" w:color="auto"/>
        <w:bottom w:val="none" w:sz="0" w:space="0" w:color="auto"/>
        <w:right w:val="none" w:sz="0" w:space="0" w:color="auto"/>
      </w:divBdr>
    </w:div>
    <w:div w:id="1009139720">
      <w:bodyDiv w:val="1"/>
      <w:marLeft w:val="0"/>
      <w:marRight w:val="0"/>
      <w:marTop w:val="0"/>
      <w:marBottom w:val="0"/>
      <w:divBdr>
        <w:top w:val="none" w:sz="0" w:space="0" w:color="auto"/>
        <w:left w:val="none" w:sz="0" w:space="0" w:color="auto"/>
        <w:bottom w:val="none" w:sz="0" w:space="0" w:color="auto"/>
        <w:right w:val="none" w:sz="0" w:space="0" w:color="auto"/>
      </w:divBdr>
    </w:div>
    <w:div w:id="1011906991">
      <w:bodyDiv w:val="1"/>
      <w:marLeft w:val="0"/>
      <w:marRight w:val="0"/>
      <w:marTop w:val="0"/>
      <w:marBottom w:val="0"/>
      <w:divBdr>
        <w:top w:val="none" w:sz="0" w:space="0" w:color="auto"/>
        <w:left w:val="none" w:sz="0" w:space="0" w:color="auto"/>
        <w:bottom w:val="none" w:sz="0" w:space="0" w:color="auto"/>
        <w:right w:val="none" w:sz="0" w:space="0" w:color="auto"/>
      </w:divBdr>
    </w:div>
    <w:div w:id="1011957296">
      <w:bodyDiv w:val="1"/>
      <w:marLeft w:val="0"/>
      <w:marRight w:val="0"/>
      <w:marTop w:val="0"/>
      <w:marBottom w:val="0"/>
      <w:divBdr>
        <w:top w:val="none" w:sz="0" w:space="0" w:color="auto"/>
        <w:left w:val="none" w:sz="0" w:space="0" w:color="auto"/>
        <w:bottom w:val="none" w:sz="0" w:space="0" w:color="auto"/>
        <w:right w:val="none" w:sz="0" w:space="0" w:color="auto"/>
      </w:divBdr>
    </w:div>
    <w:div w:id="1014501294">
      <w:bodyDiv w:val="1"/>
      <w:marLeft w:val="0"/>
      <w:marRight w:val="0"/>
      <w:marTop w:val="0"/>
      <w:marBottom w:val="0"/>
      <w:divBdr>
        <w:top w:val="none" w:sz="0" w:space="0" w:color="auto"/>
        <w:left w:val="none" w:sz="0" w:space="0" w:color="auto"/>
        <w:bottom w:val="none" w:sz="0" w:space="0" w:color="auto"/>
        <w:right w:val="none" w:sz="0" w:space="0" w:color="auto"/>
      </w:divBdr>
    </w:div>
    <w:div w:id="1015032149">
      <w:bodyDiv w:val="1"/>
      <w:marLeft w:val="0"/>
      <w:marRight w:val="0"/>
      <w:marTop w:val="0"/>
      <w:marBottom w:val="0"/>
      <w:divBdr>
        <w:top w:val="none" w:sz="0" w:space="0" w:color="auto"/>
        <w:left w:val="none" w:sz="0" w:space="0" w:color="auto"/>
        <w:bottom w:val="none" w:sz="0" w:space="0" w:color="auto"/>
        <w:right w:val="none" w:sz="0" w:space="0" w:color="auto"/>
      </w:divBdr>
    </w:div>
    <w:div w:id="1017536391">
      <w:bodyDiv w:val="1"/>
      <w:marLeft w:val="0"/>
      <w:marRight w:val="0"/>
      <w:marTop w:val="0"/>
      <w:marBottom w:val="0"/>
      <w:divBdr>
        <w:top w:val="none" w:sz="0" w:space="0" w:color="auto"/>
        <w:left w:val="none" w:sz="0" w:space="0" w:color="auto"/>
        <w:bottom w:val="none" w:sz="0" w:space="0" w:color="auto"/>
        <w:right w:val="none" w:sz="0" w:space="0" w:color="auto"/>
      </w:divBdr>
    </w:div>
    <w:div w:id="1018241015">
      <w:bodyDiv w:val="1"/>
      <w:marLeft w:val="0"/>
      <w:marRight w:val="0"/>
      <w:marTop w:val="0"/>
      <w:marBottom w:val="0"/>
      <w:divBdr>
        <w:top w:val="none" w:sz="0" w:space="0" w:color="auto"/>
        <w:left w:val="none" w:sz="0" w:space="0" w:color="auto"/>
        <w:bottom w:val="none" w:sz="0" w:space="0" w:color="auto"/>
        <w:right w:val="none" w:sz="0" w:space="0" w:color="auto"/>
      </w:divBdr>
    </w:div>
    <w:div w:id="1019618933">
      <w:bodyDiv w:val="1"/>
      <w:marLeft w:val="0"/>
      <w:marRight w:val="0"/>
      <w:marTop w:val="0"/>
      <w:marBottom w:val="0"/>
      <w:divBdr>
        <w:top w:val="none" w:sz="0" w:space="0" w:color="auto"/>
        <w:left w:val="none" w:sz="0" w:space="0" w:color="auto"/>
        <w:bottom w:val="none" w:sz="0" w:space="0" w:color="auto"/>
        <w:right w:val="none" w:sz="0" w:space="0" w:color="auto"/>
      </w:divBdr>
    </w:div>
    <w:div w:id="1025980824">
      <w:bodyDiv w:val="1"/>
      <w:marLeft w:val="0"/>
      <w:marRight w:val="0"/>
      <w:marTop w:val="0"/>
      <w:marBottom w:val="0"/>
      <w:divBdr>
        <w:top w:val="none" w:sz="0" w:space="0" w:color="auto"/>
        <w:left w:val="none" w:sz="0" w:space="0" w:color="auto"/>
        <w:bottom w:val="none" w:sz="0" w:space="0" w:color="auto"/>
        <w:right w:val="none" w:sz="0" w:space="0" w:color="auto"/>
      </w:divBdr>
    </w:div>
    <w:div w:id="1028409562">
      <w:bodyDiv w:val="1"/>
      <w:marLeft w:val="0"/>
      <w:marRight w:val="0"/>
      <w:marTop w:val="0"/>
      <w:marBottom w:val="0"/>
      <w:divBdr>
        <w:top w:val="none" w:sz="0" w:space="0" w:color="auto"/>
        <w:left w:val="none" w:sz="0" w:space="0" w:color="auto"/>
        <w:bottom w:val="none" w:sz="0" w:space="0" w:color="auto"/>
        <w:right w:val="none" w:sz="0" w:space="0" w:color="auto"/>
      </w:divBdr>
    </w:div>
    <w:div w:id="1030495557">
      <w:bodyDiv w:val="1"/>
      <w:marLeft w:val="0"/>
      <w:marRight w:val="0"/>
      <w:marTop w:val="0"/>
      <w:marBottom w:val="0"/>
      <w:divBdr>
        <w:top w:val="none" w:sz="0" w:space="0" w:color="auto"/>
        <w:left w:val="none" w:sz="0" w:space="0" w:color="auto"/>
        <w:bottom w:val="none" w:sz="0" w:space="0" w:color="auto"/>
        <w:right w:val="none" w:sz="0" w:space="0" w:color="auto"/>
      </w:divBdr>
    </w:div>
    <w:div w:id="1041248294">
      <w:bodyDiv w:val="1"/>
      <w:marLeft w:val="0"/>
      <w:marRight w:val="0"/>
      <w:marTop w:val="0"/>
      <w:marBottom w:val="0"/>
      <w:divBdr>
        <w:top w:val="none" w:sz="0" w:space="0" w:color="auto"/>
        <w:left w:val="none" w:sz="0" w:space="0" w:color="auto"/>
        <w:bottom w:val="none" w:sz="0" w:space="0" w:color="auto"/>
        <w:right w:val="none" w:sz="0" w:space="0" w:color="auto"/>
      </w:divBdr>
    </w:div>
    <w:div w:id="1048526516">
      <w:bodyDiv w:val="1"/>
      <w:marLeft w:val="0"/>
      <w:marRight w:val="0"/>
      <w:marTop w:val="0"/>
      <w:marBottom w:val="0"/>
      <w:divBdr>
        <w:top w:val="none" w:sz="0" w:space="0" w:color="auto"/>
        <w:left w:val="none" w:sz="0" w:space="0" w:color="auto"/>
        <w:bottom w:val="none" w:sz="0" w:space="0" w:color="auto"/>
        <w:right w:val="none" w:sz="0" w:space="0" w:color="auto"/>
      </w:divBdr>
    </w:div>
    <w:div w:id="1052582892">
      <w:bodyDiv w:val="1"/>
      <w:marLeft w:val="0"/>
      <w:marRight w:val="0"/>
      <w:marTop w:val="0"/>
      <w:marBottom w:val="0"/>
      <w:divBdr>
        <w:top w:val="none" w:sz="0" w:space="0" w:color="auto"/>
        <w:left w:val="none" w:sz="0" w:space="0" w:color="auto"/>
        <w:bottom w:val="none" w:sz="0" w:space="0" w:color="auto"/>
        <w:right w:val="none" w:sz="0" w:space="0" w:color="auto"/>
      </w:divBdr>
    </w:div>
    <w:div w:id="1067459163">
      <w:bodyDiv w:val="1"/>
      <w:marLeft w:val="0"/>
      <w:marRight w:val="0"/>
      <w:marTop w:val="0"/>
      <w:marBottom w:val="0"/>
      <w:divBdr>
        <w:top w:val="none" w:sz="0" w:space="0" w:color="auto"/>
        <w:left w:val="none" w:sz="0" w:space="0" w:color="auto"/>
        <w:bottom w:val="none" w:sz="0" w:space="0" w:color="auto"/>
        <w:right w:val="none" w:sz="0" w:space="0" w:color="auto"/>
      </w:divBdr>
    </w:div>
    <w:div w:id="1070737627">
      <w:bodyDiv w:val="1"/>
      <w:marLeft w:val="0"/>
      <w:marRight w:val="0"/>
      <w:marTop w:val="0"/>
      <w:marBottom w:val="0"/>
      <w:divBdr>
        <w:top w:val="none" w:sz="0" w:space="0" w:color="auto"/>
        <w:left w:val="none" w:sz="0" w:space="0" w:color="auto"/>
        <w:bottom w:val="none" w:sz="0" w:space="0" w:color="auto"/>
        <w:right w:val="none" w:sz="0" w:space="0" w:color="auto"/>
      </w:divBdr>
    </w:div>
    <w:div w:id="1073118138">
      <w:bodyDiv w:val="1"/>
      <w:marLeft w:val="0"/>
      <w:marRight w:val="0"/>
      <w:marTop w:val="0"/>
      <w:marBottom w:val="0"/>
      <w:divBdr>
        <w:top w:val="none" w:sz="0" w:space="0" w:color="auto"/>
        <w:left w:val="none" w:sz="0" w:space="0" w:color="auto"/>
        <w:bottom w:val="none" w:sz="0" w:space="0" w:color="auto"/>
        <w:right w:val="none" w:sz="0" w:space="0" w:color="auto"/>
      </w:divBdr>
    </w:div>
    <w:div w:id="1076197928">
      <w:bodyDiv w:val="1"/>
      <w:marLeft w:val="0"/>
      <w:marRight w:val="0"/>
      <w:marTop w:val="0"/>
      <w:marBottom w:val="0"/>
      <w:divBdr>
        <w:top w:val="none" w:sz="0" w:space="0" w:color="auto"/>
        <w:left w:val="none" w:sz="0" w:space="0" w:color="auto"/>
        <w:bottom w:val="none" w:sz="0" w:space="0" w:color="auto"/>
        <w:right w:val="none" w:sz="0" w:space="0" w:color="auto"/>
      </w:divBdr>
    </w:div>
    <w:div w:id="1079249018">
      <w:bodyDiv w:val="1"/>
      <w:marLeft w:val="0"/>
      <w:marRight w:val="0"/>
      <w:marTop w:val="0"/>
      <w:marBottom w:val="0"/>
      <w:divBdr>
        <w:top w:val="none" w:sz="0" w:space="0" w:color="auto"/>
        <w:left w:val="none" w:sz="0" w:space="0" w:color="auto"/>
        <w:bottom w:val="none" w:sz="0" w:space="0" w:color="auto"/>
        <w:right w:val="none" w:sz="0" w:space="0" w:color="auto"/>
      </w:divBdr>
    </w:div>
    <w:div w:id="1082410069">
      <w:bodyDiv w:val="1"/>
      <w:marLeft w:val="0"/>
      <w:marRight w:val="0"/>
      <w:marTop w:val="0"/>
      <w:marBottom w:val="0"/>
      <w:divBdr>
        <w:top w:val="none" w:sz="0" w:space="0" w:color="auto"/>
        <w:left w:val="none" w:sz="0" w:space="0" w:color="auto"/>
        <w:bottom w:val="none" w:sz="0" w:space="0" w:color="auto"/>
        <w:right w:val="none" w:sz="0" w:space="0" w:color="auto"/>
      </w:divBdr>
    </w:div>
    <w:div w:id="1082995147">
      <w:bodyDiv w:val="1"/>
      <w:marLeft w:val="0"/>
      <w:marRight w:val="0"/>
      <w:marTop w:val="0"/>
      <w:marBottom w:val="0"/>
      <w:divBdr>
        <w:top w:val="none" w:sz="0" w:space="0" w:color="auto"/>
        <w:left w:val="none" w:sz="0" w:space="0" w:color="auto"/>
        <w:bottom w:val="none" w:sz="0" w:space="0" w:color="auto"/>
        <w:right w:val="none" w:sz="0" w:space="0" w:color="auto"/>
      </w:divBdr>
    </w:div>
    <w:div w:id="1085111685">
      <w:bodyDiv w:val="1"/>
      <w:marLeft w:val="0"/>
      <w:marRight w:val="0"/>
      <w:marTop w:val="0"/>
      <w:marBottom w:val="0"/>
      <w:divBdr>
        <w:top w:val="none" w:sz="0" w:space="0" w:color="auto"/>
        <w:left w:val="none" w:sz="0" w:space="0" w:color="auto"/>
        <w:bottom w:val="none" w:sz="0" w:space="0" w:color="auto"/>
        <w:right w:val="none" w:sz="0" w:space="0" w:color="auto"/>
      </w:divBdr>
    </w:div>
    <w:div w:id="1085765270">
      <w:bodyDiv w:val="1"/>
      <w:marLeft w:val="0"/>
      <w:marRight w:val="0"/>
      <w:marTop w:val="0"/>
      <w:marBottom w:val="0"/>
      <w:divBdr>
        <w:top w:val="none" w:sz="0" w:space="0" w:color="auto"/>
        <w:left w:val="none" w:sz="0" w:space="0" w:color="auto"/>
        <w:bottom w:val="none" w:sz="0" w:space="0" w:color="auto"/>
        <w:right w:val="none" w:sz="0" w:space="0" w:color="auto"/>
      </w:divBdr>
    </w:div>
    <w:div w:id="1085805051">
      <w:bodyDiv w:val="1"/>
      <w:marLeft w:val="0"/>
      <w:marRight w:val="0"/>
      <w:marTop w:val="0"/>
      <w:marBottom w:val="0"/>
      <w:divBdr>
        <w:top w:val="none" w:sz="0" w:space="0" w:color="auto"/>
        <w:left w:val="none" w:sz="0" w:space="0" w:color="auto"/>
        <w:bottom w:val="none" w:sz="0" w:space="0" w:color="auto"/>
        <w:right w:val="none" w:sz="0" w:space="0" w:color="auto"/>
      </w:divBdr>
    </w:div>
    <w:div w:id="1088965435">
      <w:bodyDiv w:val="1"/>
      <w:marLeft w:val="0"/>
      <w:marRight w:val="0"/>
      <w:marTop w:val="0"/>
      <w:marBottom w:val="0"/>
      <w:divBdr>
        <w:top w:val="none" w:sz="0" w:space="0" w:color="auto"/>
        <w:left w:val="none" w:sz="0" w:space="0" w:color="auto"/>
        <w:bottom w:val="none" w:sz="0" w:space="0" w:color="auto"/>
        <w:right w:val="none" w:sz="0" w:space="0" w:color="auto"/>
      </w:divBdr>
    </w:div>
    <w:div w:id="1090739559">
      <w:bodyDiv w:val="1"/>
      <w:marLeft w:val="0"/>
      <w:marRight w:val="0"/>
      <w:marTop w:val="0"/>
      <w:marBottom w:val="0"/>
      <w:divBdr>
        <w:top w:val="none" w:sz="0" w:space="0" w:color="auto"/>
        <w:left w:val="none" w:sz="0" w:space="0" w:color="auto"/>
        <w:bottom w:val="none" w:sz="0" w:space="0" w:color="auto"/>
        <w:right w:val="none" w:sz="0" w:space="0" w:color="auto"/>
      </w:divBdr>
    </w:div>
    <w:div w:id="1091507848">
      <w:bodyDiv w:val="1"/>
      <w:marLeft w:val="0"/>
      <w:marRight w:val="0"/>
      <w:marTop w:val="0"/>
      <w:marBottom w:val="0"/>
      <w:divBdr>
        <w:top w:val="none" w:sz="0" w:space="0" w:color="auto"/>
        <w:left w:val="none" w:sz="0" w:space="0" w:color="auto"/>
        <w:bottom w:val="none" w:sz="0" w:space="0" w:color="auto"/>
        <w:right w:val="none" w:sz="0" w:space="0" w:color="auto"/>
      </w:divBdr>
    </w:div>
    <w:div w:id="1091703075">
      <w:bodyDiv w:val="1"/>
      <w:marLeft w:val="0"/>
      <w:marRight w:val="0"/>
      <w:marTop w:val="0"/>
      <w:marBottom w:val="0"/>
      <w:divBdr>
        <w:top w:val="none" w:sz="0" w:space="0" w:color="auto"/>
        <w:left w:val="none" w:sz="0" w:space="0" w:color="auto"/>
        <w:bottom w:val="none" w:sz="0" w:space="0" w:color="auto"/>
        <w:right w:val="none" w:sz="0" w:space="0" w:color="auto"/>
      </w:divBdr>
    </w:div>
    <w:div w:id="1099106629">
      <w:bodyDiv w:val="1"/>
      <w:marLeft w:val="0"/>
      <w:marRight w:val="0"/>
      <w:marTop w:val="0"/>
      <w:marBottom w:val="0"/>
      <w:divBdr>
        <w:top w:val="none" w:sz="0" w:space="0" w:color="auto"/>
        <w:left w:val="none" w:sz="0" w:space="0" w:color="auto"/>
        <w:bottom w:val="none" w:sz="0" w:space="0" w:color="auto"/>
        <w:right w:val="none" w:sz="0" w:space="0" w:color="auto"/>
      </w:divBdr>
    </w:div>
    <w:div w:id="1101490005">
      <w:bodyDiv w:val="1"/>
      <w:marLeft w:val="0"/>
      <w:marRight w:val="0"/>
      <w:marTop w:val="0"/>
      <w:marBottom w:val="0"/>
      <w:divBdr>
        <w:top w:val="none" w:sz="0" w:space="0" w:color="auto"/>
        <w:left w:val="none" w:sz="0" w:space="0" w:color="auto"/>
        <w:bottom w:val="none" w:sz="0" w:space="0" w:color="auto"/>
        <w:right w:val="none" w:sz="0" w:space="0" w:color="auto"/>
      </w:divBdr>
    </w:div>
    <w:div w:id="1101990635">
      <w:bodyDiv w:val="1"/>
      <w:marLeft w:val="0"/>
      <w:marRight w:val="0"/>
      <w:marTop w:val="0"/>
      <w:marBottom w:val="0"/>
      <w:divBdr>
        <w:top w:val="none" w:sz="0" w:space="0" w:color="auto"/>
        <w:left w:val="none" w:sz="0" w:space="0" w:color="auto"/>
        <w:bottom w:val="none" w:sz="0" w:space="0" w:color="auto"/>
        <w:right w:val="none" w:sz="0" w:space="0" w:color="auto"/>
      </w:divBdr>
    </w:div>
    <w:div w:id="1103036512">
      <w:bodyDiv w:val="1"/>
      <w:marLeft w:val="0"/>
      <w:marRight w:val="0"/>
      <w:marTop w:val="0"/>
      <w:marBottom w:val="0"/>
      <w:divBdr>
        <w:top w:val="none" w:sz="0" w:space="0" w:color="auto"/>
        <w:left w:val="none" w:sz="0" w:space="0" w:color="auto"/>
        <w:bottom w:val="none" w:sz="0" w:space="0" w:color="auto"/>
        <w:right w:val="none" w:sz="0" w:space="0" w:color="auto"/>
      </w:divBdr>
    </w:div>
    <w:div w:id="1107114369">
      <w:bodyDiv w:val="1"/>
      <w:marLeft w:val="0"/>
      <w:marRight w:val="0"/>
      <w:marTop w:val="0"/>
      <w:marBottom w:val="0"/>
      <w:divBdr>
        <w:top w:val="none" w:sz="0" w:space="0" w:color="auto"/>
        <w:left w:val="none" w:sz="0" w:space="0" w:color="auto"/>
        <w:bottom w:val="none" w:sz="0" w:space="0" w:color="auto"/>
        <w:right w:val="none" w:sz="0" w:space="0" w:color="auto"/>
      </w:divBdr>
    </w:div>
    <w:div w:id="1108819190">
      <w:bodyDiv w:val="1"/>
      <w:marLeft w:val="0"/>
      <w:marRight w:val="0"/>
      <w:marTop w:val="0"/>
      <w:marBottom w:val="0"/>
      <w:divBdr>
        <w:top w:val="none" w:sz="0" w:space="0" w:color="auto"/>
        <w:left w:val="none" w:sz="0" w:space="0" w:color="auto"/>
        <w:bottom w:val="none" w:sz="0" w:space="0" w:color="auto"/>
        <w:right w:val="none" w:sz="0" w:space="0" w:color="auto"/>
      </w:divBdr>
    </w:div>
    <w:div w:id="1114668185">
      <w:bodyDiv w:val="1"/>
      <w:marLeft w:val="0"/>
      <w:marRight w:val="0"/>
      <w:marTop w:val="0"/>
      <w:marBottom w:val="0"/>
      <w:divBdr>
        <w:top w:val="none" w:sz="0" w:space="0" w:color="auto"/>
        <w:left w:val="none" w:sz="0" w:space="0" w:color="auto"/>
        <w:bottom w:val="none" w:sz="0" w:space="0" w:color="auto"/>
        <w:right w:val="none" w:sz="0" w:space="0" w:color="auto"/>
      </w:divBdr>
    </w:div>
    <w:div w:id="1118373759">
      <w:bodyDiv w:val="1"/>
      <w:marLeft w:val="0"/>
      <w:marRight w:val="0"/>
      <w:marTop w:val="0"/>
      <w:marBottom w:val="0"/>
      <w:divBdr>
        <w:top w:val="none" w:sz="0" w:space="0" w:color="auto"/>
        <w:left w:val="none" w:sz="0" w:space="0" w:color="auto"/>
        <w:bottom w:val="none" w:sz="0" w:space="0" w:color="auto"/>
        <w:right w:val="none" w:sz="0" w:space="0" w:color="auto"/>
      </w:divBdr>
    </w:div>
    <w:div w:id="1121454586">
      <w:bodyDiv w:val="1"/>
      <w:marLeft w:val="0"/>
      <w:marRight w:val="0"/>
      <w:marTop w:val="0"/>
      <w:marBottom w:val="0"/>
      <w:divBdr>
        <w:top w:val="none" w:sz="0" w:space="0" w:color="auto"/>
        <w:left w:val="none" w:sz="0" w:space="0" w:color="auto"/>
        <w:bottom w:val="none" w:sz="0" w:space="0" w:color="auto"/>
        <w:right w:val="none" w:sz="0" w:space="0" w:color="auto"/>
      </w:divBdr>
    </w:div>
    <w:div w:id="1123958523">
      <w:bodyDiv w:val="1"/>
      <w:marLeft w:val="0"/>
      <w:marRight w:val="0"/>
      <w:marTop w:val="0"/>
      <w:marBottom w:val="0"/>
      <w:divBdr>
        <w:top w:val="none" w:sz="0" w:space="0" w:color="auto"/>
        <w:left w:val="none" w:sz="0" w:space="0" w:color="auto"/>
        <w:bottom w:val="none" w:sz="0" w:space="0" w:color="auto"/>
        <w:right w:val="none" w:sz="0" w:space="0" w:color="auto"/>
      </w:divBdr>
    </w:div>
    <w:div w:id="1125852572">
      <w:bodyDiv w:val="1"/>
      <w:marLeft w:val="0"/>
      <w:marRight w:val="0"/>
      <w:marTop w:val="0"/>
      <w:marBottom w:val="0"/>
      <w:divBdr>
        <w:top w:val="none" w:sz="0" w:space="0" w:color="auto"/>
        <w:left w:val="none" w:sz="0" w:space="0" w:color="auto"/>
        <w:bottom w:val="none" w:sz="0" w:space="0" w:color="auto"/>
        <w:right w:val="none" w:sz="0" w:space="0" w:color="auto"/>
      </w:divBdr>
    </w:div>
    <w:div w:id="1129125802">
      <w:bodyDiv w:val="1"/>
      <w:marLeft w:val="0"/>
      <w:marRight w:val="0"/>
      <w:marTop w:val="0"/>
      <w:marBottom w:val="0"/>
      <w:divBdr>
        <w:top w:val="none" w:sz="0" w:space="0" w:color="auto"/>
        <w:left w:val="none" w:sz="0" w:space="0" w:color="auto"/>
        <w:bottom w:val="none" w:sz="0" w:space="0" w:color="auto"/>
        <w:right w:val="none" w:sz="0" w:space="0" w:color="auto"/>
      </w:divBdr>
    </w:div>
    <w:div w:id="1131166360">
      <w:bodyDiv w:val="1"/>
      <w:marLeft w:val="0"/>
      <w:marRight w:val="0"/>
      <w:marTop w:val="0"/>
      <w:marBottom w:val="0"/>
      <w:divBdr>
        <w:top w:val="none" w:sz="0" w:space="0" w:color="auto"/>
        <w:left w:val="none" w:sz="0" w:space="0" w:color="auto"/>
        <w:bottom w:val="none" w:sz="0" w:space="0" w:color="auto"/>
        <w:right w:val="none" w:sz="0" w:space="0" w:color="auto"/>
      </w:divBdr>
    </w:div>
    <w:div w:id="1133213447">
      <w:bodyDiv w:val="1"/>
      <w:marLeft w:val="0"/>
      <w:marRight w:val="0"/>
      <w:marTop w:val="0"/>
      <w:marBottom w:val="0"/>
      <w:divBdr>
        <w:top w:val="none" w:sz="0" w:space="0" w:color="auto"/>
        <w:left w:val="none" w:sz="0" w:space="0" w:color="auto"/>
        <w:bottom w:val="none" w:sz="0" w:space="0" w:color="auto"/>
        <w:right w:val="none" w:sz="0" w:space="0" w:color="auto"/>
      </w:divBdr>
    </w:div>
    <w:div w:id="113437299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139305">
      <w:bodyDiv w:val="1"/>
      <w:marLeft w:val="0"/>
      <w:marRight w:val="0"/>
      <w:marTop w:val="0"/>
      <w:marBottom w:val="0"/>
      <w:divBdr>
        <w:top w:val="none" w:sz="0" w:space="0" w:color="auto"/>
        <w:left w:val="none" w:sz="0" w:space="0" w:color="auto"/>
        <w:bottom w:val="none" w:sz="0" w:space="0" w:color="auto"/>
        <w:right w:val="none" w:sz="0" w:space="0" w:color="auto"/>
      </w:divBdr>
    </w:div>
    <w:div w:id="1137992408">
      <w:bodyDiv w:val="1"/>
      <w:marLeft w:val="0"/>
      <w:marRight w:val="0"/>
      <w:marTop w:val="0"/>
      <w:marBottom w:val="0"/>
      <w:divBdr>
        <w:top w:val="none" w:sz="0" w:space="0" w:color="auto"/>
        <w:left w:val="none" w:sz="0" w:space="0" w:color="auto"/>
        <w:bottom w:val="none" w:sz="0" w:space="0" w:color="auto"/>
        <w:right w:val="none" w:sz="0" w:space="0" w:color="auto"/>
      </w:divBdr>
    </w:div>
    <w:div w:id="1139152483">
      <w:bodyDiv w:val="1"/>
      <w:marLeft w:val="0"/>
      <w:marRight w:val="0"/>
      <w:marTop w:val="0"/>
      <w:marBottom w:val="0"/>
      <w:divBdr>
        <w:top w:val="none" w:sz="0" w:space="0" w:color="auto"/>
        <w:left w:val="none" w:sz="0" w:space="0" w:color="auto"/>
        <w:bottom w:val="none" w:sz="0" w:space="0" w:color="auto"/>
        <w:right w:val="none" w:sz="0" w:space="0" w:color="auto"/>
      </w:divBdr>
    </w:div>
    <w:div w:id="1140347285">
      <w:bodyDiv w:val="1"/>
      <w:marLeft w:val="0"/>
      <w:marRight w:val="0"/>
      <w:marTop w:val="0"/>
      <w:marBottom w:val="0"/>
      <w:divBdr>
        <w:top w:val="none" w:sz="0" w:space="0" w:color="auto"/>
        <w:left w:val="none" w:sz="0" w:space="0" w:color="auto"/>
        <w:bottom w:val="none" w:sz="0" w:space="0" w:color="auto"/>
        <w:right w:val="none" w:sz="0" w:space="0" w:color="auto"/>
      </w:divBdr>
    </w:div>
    <w:div w:id="1141072185">
      <w:bodyDiv w:val="1"/>
      <w:marLeft w:val="0"/>
      <w:marRight w:val="0"/>
      <w:marTop w:val="0"/>
      <w:marBottom w:val="0"/>
      <w:divBdr>
        <w:top w:val="none" w:sz="0" w:space="0" w:color="auto"/>
        <w:left w:val="none" w:sz="0" w:space="0" w:color="auto"/>
        <w:bottom w:val="none" w:sz="0" w:space="0" w:color="auto"/>
        <w:right w:val="none" w:sz="0" w:space="0" w:color="auto"/>
      </w:divBdr>
    </w:div>
    <w:div w:id="1150634677">
      <w:bodyDiv w:val="1"/>
      <w:marLeft w:val="0"/>
      <w:marRight w:val="0"/>
      <w:marTop w:val="0"/>
      <w:marBottom w:val="0"/>
      <w:divBdr>
        <w:top w:val="none" w:sz="0" w:space="0" w:color="auto"/>
        <w:left w:val="none" w:sz="0" w:space="0" w:color="auto"/>
        <w:bottom w:val="none" w:sz="0" w:space="0" w:color="auto"/>
        <w:right w:val="none" w:sz="0" w:space="0" w:color="auto"/>
      </w:divBdr>
    </w:div>
    <w:div w:id="1151362356">
      <w:bodyDiv w:val="1"/>
      <w:marLeft w:val="0"/>
      <w:marRight w:val="0"/>
      <w:marTop w:val="0"/>
      <w:marBottom w:val="0"/>
      <w:divBdr>
        <w:top w:val="none" w:sz="0" w:space="0" w:color="auto"/>
        <w:left w:val="none" w:sz="0" w:space="0" w:color="auto"/>
        <w:bottom w:val="none" w:sz="0" w:space="0" w:color="auto"/>
        <w:right w:val="none" w:sz="0" w:space="0" w:color="auto"/>
      </w:divBdr>
    </w:div>
    <w:div w:id="1153834974">
      <w:bodyDiv w:val="1"/>
      <w:marLeft w:val="0"/>
      <w:marRight w:val="0"/>
      <w:marTop w:val="0"/>
      <w:marBottom w:val="0"/>
      <w:divBdr>
        <w:top w:val="none" w:sz="0" w:space="0" w:color="auto"/>
        <w:left w:val="none" w:sz="0" w:space="0" w:color="auto"/>
        <w:bottom w:val="none" w:sz="0" w:space="0" w:color="auto"/>
        <w:right w:val="none" w:sz="0" w:space="0" w:color="auto"/>
      </w:divBdr>
    </w:div>
    <w:div w:id="1155027169">
      <w:bodyDiv w:val="1"/>
      <w:marLeft w:val="0"/>
      <w:marRight w:val="0"/>
      <w:marTop w:val="0"/>
      <w:marBottom w:val="0"/>
      <w:divBdr>
        <w:top w:val="none" w:sz="0" w:space="0" w:color="auto"/>
        <w:left w:val="none" w:sz="0" w:space="0" w:color="auto"/>
        <w:bottom w:val="none" w:sz="0" w:space="0" w:color="auto"/>
        <w:right w:val="none" w:sz="0" w:space="0" w:color="auto"/>
      </w:divBdr>
    </w:div>
    <w:div w:id="1158424150">
      <w:bodyDiv w:val="1"/>
      <w:marLeft w:val="0"/>
      <w:marRight w:val="0"/>
      <w:marTop w:val="0"/>
      <w:marBottom w:val="0"/>
      <w:divBdr>
        <w:top w:val="none" w:sz="0" w:space="0" w:color="auto"/>
        <w:left w:val="none" w:sz="0" w:space="0" w:color="auto"/>
        <w:bottom w:val="none" w:sz="0" w:space="0" w:color="auto"/>
        <w:right w:val="none" w:sz="0" w:space="0" w:color="auto"/>
      </w:divBdr>
    </w:div>
    <w:div w:id="1166551057">
      <w:bodyDiv w:val="1"/>
      <w:marLeft w:val="0"/>
      <w:marRight w:val="0"/>
      <w:marTop w:val="0"/>
      <w:marBottom w:val="0"/>
      <w:divBdr>
        <w:top w:val="none" w:sz="0" w:space="0" w:color="auto"/>
        <w:left w:val="none" w:sz="0" w:space="0" w:color="auto"/>
        <w:bottom w:val="none" w:sz="0" w:space="0" w:color="auto"/>
        <w:right w:val="none" w:sz="0" w:space="0" w:color="auto"/>
      </w:divBdr>
    </w:div>
    <w:div w:id="1170830238">
      <w:bodyDiv w:val="1"/>
      <w:marLeft w:val="0"/>
      <w:marRight w:val="0"/>
      <w:marTop w:val="0"/>
      <w:marBottom w:val="0"/>
      <w:divBdr>
        <w:top w:val="none" w:sz="0" w:space="0" w:color="auto"/>
        <w:left w:val="none" w:sz="0" w:space="0" w:color="auto"/>
        <w:bottom w:val="none" w:sz="0" w:space="0" w:color="auto"/>
        <w:right w:val="none" w:sz="0" w:space="0" w:color="auto"/>
      </w:divBdr>
    </w:div>
    <w:div w:id="1178039456">
      <w:bodyDiv w:val="1"/>
      <w:marLeft w:val="0"/>
      <w:marRight w:val="0"/>
      <w:marTop w:val="0"/>
      <w:marBottom w:val="0"/>
      <w:divBdr>
        <w:top w:val="none" w:sz="0" w:space="0" w:color="auto"/>
        <w:left w:val="none" w:sz="0" w:space="0" w:color="auto"/>
        <w:bottom w:val="none" w:sz="0" w:space="0" w:color="auto"/>
        <w:right w:val="none" w:sz="0" w:space="0" w:color="auto"/>
      </w:divBdr>
    </w:div>
    <w:div w:id="1179583706">
      <w:bodyDiv w:val="1"/>
      <w:marLeft w:val="0"/>
      <w:marRight w:val="0"/>
      <w:marTop w:val="0"/>
      <w:marBottom w:val="0"/>
      <w:divBdr>
        <w:top w:val="none" w:sz="0" w:space="0" w:color="auto"/>
        <w:left w:val="none" w:sz="0" w:space="0" w:color="auto"/>
        <w:bottom w:val="none" w:sz="0" w:space="0" w:color="auto"/>
        <w:right w:val="none" w:sz="0" w:space="0" w:color="auto"/>
      </w:divBdr>
    </w:div>
    <w:div w:id="1184246075">
      <w:bodyDiv w:val="1"/>
      <w:marLeft w:val="0"/>
      <w:marRight w:val="0"/>
      <w:marTop w:val="0"/>
      <w:marBottom w:val="0"/>
      <w:divBdr>
        <w:top w:val="none" w:sz="0" w:space="0" w:color="auto"/>
        <w:left w:val="none" w:sz="0" w:space="0" w:color="auto"/>
        <w:bottom w:val="none" w:sz="0" w:space="0" w:color="auto"/>
        <w:right w:val="none" w:sz="0" w:space="0" w:color="auto"/>
      </w:divBdr>
    </w:div>
    <w:div w:id="1184246491">
      <w:bodyDiv w:val="1"/>
      <w:marLeft w:val="0"/>
      <w:marRight w:val="0"/>
      <w:marTop w:val="0"/>
      <w:marBottom w:val="0"/>
      <w:divBdr>
        <w:top w:val="none" w:sz="0" w:space="0" w:color="auto"/>
        <w:left w:val="none" w:sz="0" w:space="0" w:color="auto"/>
        <w:bottom w:val="none" w:sz="0" w:space="0" w:color="auto"/>
        <w:right w:val="none" w:sz="0" w:space="0" w:color="auto"/>
      </w:divBdr>
    </w:div>
    <w:div w:id="1184636682">
      <w:bodyDiv w:val="1"/>
      <w:marLeft w:val="0"/>
      <w:marRight w:val="0"/>
      <w:marTop w:val="0"/>
      <w:marBottom w:val="0"/>
      <w:divBdr>
        <w:top w:val="none" w:sz="0" w:space="0" w:color="auto"/>
        <w:left w:val="none" w:sz="0" w:space="0" w:color="auto"/>
        <w:bottom w:val="none" w:sz="0" w:space="0" w:color="auto"/>
        <w:right w:val="none" w:sz="0" w:space="0" w:color="auto"/>
      </w:divBdr>
    </w:div>
    <w:div w:id="1185367175">
      <w:bodyDiv w:val="1"/>
      <w:marLeft w:val="0"/>
      <w:marRight w:val="0"/>
      <w:marTop w:val="0"/>
      <w:marBottom w:val="0"/>
      <w:divBdr>
        <w:top w:val="none" w:sz="0" w:space="0" w:color="auto"/>
        <w:left w:val="none" w:sz="0" w:space="0" w:color="auto"/>
        <w:bottom w:val="none" w:sz="0" w:space="0" w:color="auto"/>
        <w:right w:val="none" w:sz="0" w:space="0" w:color="auto"/>
      </w:divBdr>
    </w:div>
    <w:div w:id="1189829238">
      <w:bodyDiv w:val="1"/>
      <w:marLeft w:val="0"/>
      <w:marRight w:val="0"/>
      <w:marTop w:val="0"/>
      <w:marBottom w:val="0"/>
      <w:divBdr>
        <w:top w:val="none" w:sz="0" w:space="0" w:color="auto"/>
        <w:left w:val="none" w:sz="0" w:space="0" w:color="auto"/>
        <w:bottom w:val="none" w:sz="0" w:space="0" w:color="auto"/>
        <w:right w:val="none" w:sz="0" w:space="0" w:color="auto"/>
      </w:divBdr>
    </w:div>
    <w:div w:id="1195844570">
      <w:bodyDiv w:val="1"/>
      <w:marLeft w:val="0"/>
      <w:marRight w:val="0"/>
      <w:marTop w:val="0"/>
      <w:marBottom w:val="0"/>
      <w:divBdr>
        <w:top w:val="none" w:sz="0" w:space="0" w:color="auto"/>
        <w:left w:val="none" w:sz="0" w:space="0" w:color="auto"/>
        <w:bottom w:val="none" w:sz="0" w:space="0" w:color="auto"/>
        <w:right w:val="none" w:sz="0" w:space="0" w:color="auto"/>
      </w:divBdr>
    </w:div>
    <w:div w:id="1195926353">
      <w:bodyDiv w:val="1"/>
      <w:marLeft w:val="0"/>
      <w:marRight w:val="0"/>
      <w:marTop w:val="0"/>
      <w:marBottom w:val="0"/>
      <w:divBdr>
        <w:top w:val="none" w:sz="0" w:space="0" w:color="auto"/>
        <w:left w:val="none" w:sz="0" w:space="0" w:color="auto"/>
        <w:bottom w:val="none" w:sz="0" w:space="0" w:color="auto"/>
        <w:right w:val="none" w:sz="0" w:space="0" w:color="auto"/>
      </w:divBdr>
    </w:div>
    <w:div w:id="1196238323">
      <w:bodyDiv w:val="1"/>
      <w:marLeft w:val="0"/>
      <w:marRight w:val="0"/>
      <w:marTop w:val="0"/>
      <w:marBottom w:val="0"/>
      <w:divBdr>
        <w:top w:val="none" w:sz="0" w:space="0" w:color="auto"/>
        <w:left w:val="none" w:sz="0" w:space="0" w:color="auto"/>
        <w:bottom w:val="none" w:sz="0" w:space="0" w:color="auto"/>
        <w:right w:val="none" w:sz="0" w:space="0" w:color="auto"/>
      </w:divBdr>
    </w:div>
    <w:div w:id="1197040313">
      <w:bodyDiv w:val="1"/>
      <w:marLeft w:val="0"/>
      <w:marRight w:val="0"/>
      <w:marTop w:val="0"/>
      <w:marBottom w:val="0"/>
      <w:divBdr>
        <w:top w:val="none" w:sz="0" w:space="0" w:color="auto"/>
        <w:left w:val="none" w:sz="0" w:space="0" w:color="auto"/>
        <w:bottom w:val="none" w:sz="0" w:space="0" w:color="auto"/>
        <w:right w:val="none" w:sz="0" w:space="0" w:color="auto"/>
      </w:divBdr>
    </w:div>
    <w:div w:id="1199660435">
      <w:bodyDiv w:val="1"/>
      <w:marLeft w:val="0"/>
      <w:marRight w:val="0"/>
      <w:marTop w:val="0"/>
      <w:marBottom w:val="0"/>
      <w:divBdr>
        <w:top w:val="none" w:sz="0" w:space="0" w:color="auto"/>
        <w:left w:val="none" w:sz="0" w:space="0" w:color="auto"/>
        <w:bottom w:val="none" w:sz="0" w:space="0" w:color="auto"/>
        <w:right w:val="none" w:sz="0" w:space="0" w:color="auto"/>
      </w:divBdr>
    </w:div>
    <w:div w:id="1199899282">
      <w:bodyDiv w:val="1"/>
      <w:marLeft w:val="0"/>
      <w:marRight w:val="0"/>
      <w:marTop w:val="0"/>
      <w:marBottom w:val="0"/>
      <w:divBdr>
        <w:top w:val="none" w:sz="0" w:space="0" w:color="auto"/>
        <w:left w:val="none" w:sz="0" w:space="0" w:color="auto"/>
        <w:bottom w:val="none" w:sz="0" w:space="0" w:color="auto"/>
        <w:right w:val="none" w:sz="0" w:space="0" w:color="auto"/>
      </w:divBdr>
    </w:div>
    <w:div w:id="1202746752">
      <w:bodyDiv w:val="1"/>
      <w:marLeft w:val="0"/>
      <w:marRight w:val="0"/>
      <w:marTop w:val="0"/>
      <w:marBottom w:val="0"/>
      <w:divBdr>
        <w:top w:val="none" w:sz="0" w:space="0" w:color="auto"/>
        <w:left w:val="none" w:sz="0" w:space="0" w:color="auto"/>
        <w:bottom w:val="none" w:sz="0" w:space="0" w:color="auto"/>
        <w:right w:val="none" w:sz="0" w:space="0" w:color="auto"/>
      </w:divBdr>
    </w:div>
    <w:div w:id="1206526337">
      <w:bodyDiv w:val="1"/>
      <w:marLeft w:val="0"/>
      <w:marRight w:val="0"/>
      <w:marTop w:val="0"/>
      <w:marBottom w:val="0"/>
      <w:divBdr>
        <w:top w:val="none" w:sz="0" w:space="0" w:color="auto"/>
        <w:left w:val="none" w:sz="0" w:space="0" w:color="auto"/>
        <w:bottom w:val="none" w:sz="0" w:space="0" w:color="auto"/>
        <w:right w:val="none" w:sz="0" w:space="0" w:color="auto"/>
      </w:divBdr>
    </w:div>
    <w:div w:id="1206940871">
      <w:bodyDiv w:val="1"/>
      <w:marLeft w:val="0"/>
      <w:marRight w:val="0"/>
      <w:marTop w:val="0"/>
      <w:marBottom w:val="0"/>
      <w:divBdr>
        <w:top w:val="none" w:sz="0" w:space="0" w:color="auto"/>
        <w:left w:val="none" w:sz="0" w:space="0" w:color="auto"/>
        <w:bottom w:val="none" w:sz="0" w:space="0" w:color="auto"/>
        <w:right w:val="none" w:sz="0" w:space="0" w:color="auto"/>
      </w:divBdr>
    </w:div>
    <w:div w:id="1207524291">
      <w:bodyDiv w:val="1"/>
      <w:marLeft w:val="0"/>
      <w:marRight w:val="0"/>
      <w:marTop w:val="0"/>
      <w:marBottom w:val="0"/>
      <w:divBdr>
        <w:top w:val="none" w:sz="0" w:space="0" w:color="auto"/>
        <w:left w:val="none" w:sz="0" w:space="0" w:color="auto"/>
        <w:bottom w:val="none" w:sz="0" w:space="0" w:color="auto"/>
        <w:right w:val="none" w:sz="0" w:space="0" w:color="auto"/>
      </w:divBdr>
    </w:div>
    <w:div w:id="1208032997">
      <w:bodyDiv w:val="1"/>
      <w:marLeft w:val="0"/>
      <w:marRight w:val="0"/>
      <w:marTop w:val="0"/>
      <w:marBottom w:val="0"/>
      <w:divBdr>
        <w:top w:val="none" w:sz="0" w:space="0" w:color="auto"/>
        <w:left w:val="none" w:sz="0" w:space="0" w:color="auto"/>
        <w:bottom w:val="none" w:sz="0" w:space="0" w:color="auto"/>
        <w:right w:val="none" w:sz="0" w:space="0" w:color="auto"/>
      </w:divBdr>
    </w:div>
    <w:div w:id="1208834472">
      <w:bodyDiv w:val="1"/>
      <w:marLeft w:val="0"/>
      <w:marRight w:val="0"/>
      <w:marTop w:val="0"/>
      <w:marBottom w:val="0"/>
      <w:divBdr>
        <w:top w:val="none" w:sz="0" w:space="0" w:color="auto"/>
        <w:left w:val="none" w:sz="0" w:space="0" w:color="auto"/>
        <w:bottom w:val="none" w:sz="0" w:space="0" w:color="auto"/>
        <w:right w:val="none" w:sz="0" w:space="0" w:color="auto"/>
      </w:divBdr>
    </w:div>
    <w:div w:id="1213268246">
      <w:bodyDiv w:val="1"/>
      <w:marLeft w:val="0"/>
      <w:marRight w:val="0"/>
      <w:marTop w:val="0"/>
      <w:marBottom w:val="0"/>
      <w:divBdr>
        <w:top w:val="none" w:sz="0" w:space="0" w:color="auto"/>
        <w:left w:val="none" w:sz="0" w:space="0" w:color="auto"/>
        <w:bottom w:val="none" w:sz="0" w:space="0" w:color="auto"/>
        <w:right w:val="none" w:sz="0" w:space="0" w:color="auto"/>
      </w:divBdr>
    </w:div>
    <w:div w:id="1217666954">
      <w:bodyDiv w:val="1"/>
      <w:marLeft w:val="0"/>
      <w:marRight w:val="0"/>
      <w:marTop w:val="0"/>
      <w:marBottom w:val="0"/>
      <w:divBdr>
        <w:top w:val="none" w:sz="0" w:space="0" w:color="auto"/>
        <w:left w:val="none" w:sz="0" w:space="0" w:color="auto"/>
        <w:bottom w:val="none" w:sz="0" w:space="0" w:color="auto"/>
        <w:right w:val="none" w:sz="0" w:space="0" w:color="auto"/>
      </w:divBdr>
    </w:div>
    <w:div w:id="1220822500">
      <w:bodyDiv w:val="1"/>
      <w:marLeft w:val="0"/>
      <w:marRight w:val="0"/>
      <w:marTop w:val="0"/>
      <w:marBottom w:val="0"/>
      <w:divBdr>
        <w:top w:val="none" w:sz="0" w:space="0" w:color="auto"/>
        <w:left w:val="none" w:sz="0" w:space="0" w:color="auto"/>
        <w:bottom w:val="none" w:sz="0" w:space="0" w:color="auto"/>
        <w:right w:val="none" w:sz="0" w:space="0" w:color="auto"/>
      </w:divBdr>
    </w:div>
    <w:div w:id="1221210151">
      <w:bodyDiv w:val="1"/>
      <w:marLeft w:val="0"/>
      <w:marRight w:val="0"/>
      <w:marTop w:val="0"/>
      <w:marBottom w:val="0"/>
      <w:divBdr>
        <w:top w:val="none" w:sz="0" w:space="0" w:color="auto"/>
        <w:left w:val="none" w:sz="0" w:space="0" w:color="auto"/>
        <w:bottom w:val="none" w:sz="0" w:space="0" w:color="auto"/>
        <w:right w:val="none" w:sz="0" w:space="0" w:color="auto"/>
      </w:divBdr>
    </w:div>
    <w:div w:id="1222206429">
      <w:bodyDiv w:val="1"/>
      <w:marLeft w:val="0"/>
      <w:marRight w:val="0"/>
      <w:marTop w:val="0"/>
      <w:marBottom w:val="0"/>
      <w:divBdr>
        <w:top w:val="none" w:sz="0" w:space="0" w:color="auto"/>
        <w:left w:val="none" w:sz="0" w:space="0" w:color="auto"/>
        <w:bottom w:val="none" w:sz="0" w:space="0" w:color="auto"/>
        <w:right w:val="none" w:sz="0" w:space="0" w:color="auto"/>
      </w:divBdr>
    </w:div>
    <w:div w:id="1222862565">
      <w:bodyDiv w:val="1"/>
      <w:marLeft w:val="0"/>
      <w:marRight w:val="0"/>
      <w:marTop w:val="0"/>
      <w:marBottom w:val="0"/>
      <w:divBdr>
        <w:top w:val="none" w:sz="0" w:space="0" w:color="auto"/>
        <w:left w:val="none" w:sz="0" w:space="0" w:color="auto"/>
        <w:bottom w:val="none" w:sz="0" w:space="0" w:color="auto"/>
        <w:right w:val="none" w:sz="0" w:space="0" w:color="auto"/>
      </w:divBdr>
    </w:div>
    <w:div w:id="1223559991">
      <w:bodyDiv w:val="1"/>
      <w:marLeft w:val="0"/>
      <w:marRight w:val="0"/>
      <w:marTop w:val="0"/>
      <w:marBottom w:val="0"/>
      <w:divBdr>
        <w:top w:val="none" w:sz="0" w:space="0" w:color="auto"/>
        <w:left w:val="none" w:sz="0" w:space="0" w:color="auto"/>
        <w:bottom w:val="none" w:sz="0" w:space="0" w:color="auto"/>
        <w:right w:val="none" w:sz="0" w:space="0" w:color="auto"/>
      </w:divBdr>
    </w:div>
    <w:div w:id="1224874016">
      <w:bodyDiv w:val="1"/>
      <w:marLeft w:val="0"/>
      <w:marRight w:val="0"/>
      <w:marTop w:val="0"/>
      <w:marBottom w:val="0"/>
      <w:divBdr>
        <w:top w:val="none" w:sz="0" w:space="0" w:color="auto"/>
        <w:left w:val="none" w:sz="0" w:space="0" w:color="auto"/>
        <w:bottom w:val="none" w:sz="0" w:space="0" w:color="auto"/>
        <w:right w:val="none" w:sz="0" w:space="0" w:color="auto"/>
      </w:divBdr>
    </w:div>
    <w:div w:id="1226179591">
      <w:bodyDiv w:val="1"/>
      <w:marLeft w:val="0"/>
      <w:marRight w:val="0"/>
      <w:marTop w:val="0"/>
      <w:marBottom w:val="0"/>
      <w:divBdr>
        <w:top w:val="none" w:sz="0" w:space="0" w:color="auto"/>
        <w:left w:val="none" w:sz="0" w:space="0" w:color="auto"/>
        <w:bottom w:val="none" w:sz="0" w:space="0" w:color="auto"/>
        <w:right w:val="none" w:sz="0" w:space="0" w:color="auto"/>
      </w:divBdr>
    </w:div>
    <w:div w:id="1226524539">
      <w:bodyDiv w:val="1"/>
      <w:marLeft w:val="0"/>
      <w:marRight w:val="0"/>
      <w:marTop w:val="0"/>
      <w:marBottom w:val="0"/>
      <w:divBdr>
        <w:top w:val="none" w:sz="0" w:space="0" w:color="auto"/>
        <w:left w:val="none" w:sz="0" w:space="0" w:color="auto"/>
        <w:bottom w:val="none" w:sz="0" w:space="0" w:color="auto"/>
        <w:right w:val="none" w:sz="0" w:space="0" w:color="auto"/>
      </w:divBdr>
    </w:div>
    <w:div w:id="1231383389">
      <w:bodyDiv w:val="1"/>
      <w:marLeft w:val="0"/>
      <w:marRight w:val="0"/>
      <w:marTop w:val="0"/>
      <w:marBottom w:val="0"/>
      <w:divBdr>
        <w:top w:val="none" w:sz="0" w:space="0" w:color="auto"/>
        <w:left w:val="none" w:sz="0" w:space="0" w:color="auto"/>
        <w:bottom w:val="none" w:sz="0" w:space="0" w:color="auto"/>
        <w:right w:val="none" w:sz="0" w:space="0" w:color="auto"/>
      </w:divBdr>
    </w:div>
    <w:div w:id="1233126844">
      <w:bodyDiv w:val="1"/>
      <w:marLeft w:val="0"/>
      <w:marRight w:val="0"/>
      <w:marTop w:val="0"/>
      <w:marBottom w:val="0"/>
      <w:divBdr>
        <w:top w:val="none" w:sz="0" w:space="0" w:color="auto"/>
        <w:left w:val="none" w:sz="0" w:space="0" w:color="auto"/>
        <w:bottom w:val="none" w:sz="0" w:space="0" w:color="auto"/>
        <w:right w:val="none" w:sz="0" w:space="0" w:color="auto"/>
      </w:divBdr>
    </w:div>
    <w:div w:id="1237479007">
      <w:bodyDiv w:val="1"/>
      <w:marLeft w:val="0"/>
      <w:marRight w:val="0"/>
      <w:marTop w:val="0"/>
      <w:marBottom w:val="0"/>
      <w:divBdr>
        <w:top w:val="none" w:sz="0" w:space="0" w:color="auto"/>
        <w:left w:val="none" w:sz="0" w:space="0" w:color="auto"/>
        <w:bottom w:val="none" w:sz="0" w:space="0" w:color="auto"/>
        <w:right w:val="none" w:sz="0" w:space="0" w:color="auto"/>
      </w:divBdr>
    </w:div>
    <w:div w:id="1238050912">
      <w:bodyDiv w:val="1"/>
      <w:marLeft w:val="0"/>
      <w:marRight w:val="0"/>
      <w:marTop w:val="0"/>
      <w:marBottom w:val="0"/>
      <w:divBdr>
        <w:top w:val="none" w:sz="0" w:space="0" w:color="auto"/>
        <w:left w:val="none" w:sz="0" w:space="0" w:color="auto"/>
        <w:bottom w:val="none" w:sz="0" w:space="0" w:color="auto"/>
        <w:right w:val="none" w:sz="0" w:space="0" w:color="auto"/>
      </w:divBdr>
    </w:div>
    <w:div w:id="1238201165">
      <w:bodyDiv w:val="1"/>
      <w:marLeft w:val="0"/>
      <w:marRight w:val="0"/>
      <w:marTop w:val="0"/>
      <w:marBottom w:val="0"/>
      <w:divBdr>
        <w:top w:val="none" w:sz="0" w:space="0" w:color="auto"/>
        <w:left w:val="none" w:sz="0" w:space="0" w:color="auto"/>
        <w:bottom w:val="none" w:sz="0" w:space="0" w:color="auto"/>
        <w:right w:val="none" w:sz="0" w:space="0" w:color="auto"/>
      </w:divBdr>
    </w:div>
    <w:div w:id="1239555025">
      <w:bodyDiv w:val="1"/>
      <w:marLeft w:val="0"/>
      <w:marRight w:val="0"/>
      <w:marTop w:val="0"/>
      <w:marBottom w:val="0"/>
      <w:divBdr>
        <w:top w:val="none" w:sz="0" w:space="0" w:color="auto"/>
        <w:left w:val="none" w:sz="0" w:space="0" w:color="auto"/>
        <w:bottom w:val="none" w:sz="0" w:space="0" w:color="auto"/>
        <w:right w:val="none" w:sz="0" w:space="0" w:color="auto"/>
      </w:divBdr>
    </w:div>
    <w:div w:id="1244220130">
      <w:bodyDiv w:val="1"/>
      <w:marLeft w:val="0"/>
      <w:marRight w:val="0"/>
      <w:marTop w:val="0"/>
      <w:marBottom w:val="0"/>
      <w:divBdr>
        <w:top w:val="none" w:sz="0" w:space="0" w:color="auto"/>
        <w:left w:val="none" w:sz="0" w:space="0" w:color="auto"/>
        <w:bottom w:val="none" w:sz="0" w:space="0" w:color="auto"/>
        <w:right w:val="none" w:sz="0" w:space="0" w:color="auto"/>
      </w:divBdr>
    </w:div>
    <w:div w:id="1245263348">
      <w:bodyDiv w:val="1"/>
      <w:marLeft w:val="0"/>
      <w:marRight w:val="0"/>
      <w:marTop w:val="0"/>
      <w:marBottom w:val="0"/>
      <w:divBdr>
        <w:top w:val="none" w:sz="0" w:space="0" w:color="auto"/>
        <w:left w:val="none" w:sz="0" w:space="0" w:color="auto"/>
        <w:bottom w:val="none" w:sz="0" w:space="0" w:color="auto"/>
        <w:right w:val="none" w:sz="0" w:space="0" w:color="auto"/>
      </w:divBdr>
    </w:div>
    <w:div w:id="1245804233">
      <w:bodyDiv w:val="1"/>
      <w:marLeft w:val="0"/>
      <w:marRight w:val="0"/>
      <w:marTop w:val="0"/>
      <w:marBottom w:val="0"/>
      <w:divBdr>
        <w:top w:val="none" w:sz="0" w:space="0" w:color="auto"/>
        <w:left w:val="none" w:sz="0" w:space="0" w:color="auto"/>
        <w:bottom w:val="none" w:sz="0" w:space="0" w:color="auto"/>
        <w:right w:val="none" w:sz="0" w:space="0" w:color="auto"/>
      </w:divBdr>
    </w:div>
    <w:div w:id="1246527288">
      <w:bodyDiv w:val="1"/>
      <w:marLeft w:val="0"/>
      <w:marRight w:val="0"/>
      <w:marTop w:val="0"/>
      <w:marBottom w:val="0"/>
      <w:divBdr>
        <w:top w:val="none" w:sz="0" w:space="0" w:color="auto"/>
        <w:left w:val="none" w:sz="0" w:space="0" w:color="auto"/>
        <w:bottom w:val="none" w:sz="0" w:space="0" w:color="auto"/>
        <w:right w:val="none" w:sz="0" w:space="0" w:color="auto"/>
      </w:divBdr>
    </w:div>
    <w:div w:id="1249772395">
      <w:bodyDiv w:val="1"/>
      <w:marLeft w:val="0"/>
      <w:marRight w:val="0"/>
      <w:marTop w:val="0"/>
      <w:marBottom w:val="0"/>
      <w:divBdr>
        <w:top w:val="none" w:sz="0" w:space="0" w:color="auto"/>
        <w:left w:val="none" w:sz="0" w:space="0" w:color="auto"/>
        <w:bottom w:val="none" w:sz="0" w:space="0" w:color="auto"/>
        <w:right w:val="none" w:sz="0" w:space="0" w:color="auto"/>
      </w:divBdr>
    </w:div>
    <w:div w:id="1250844766">
      <w:bodyDiv w:val="1"/>
      <w:marLeft w:val="0"/>
      <w:marRight w:val="0"/>
      <w:marTop w:val="0"/>
      <w:marBottom w:val="0"/>
      <w:divBdr>
        <w:top w:val="none" w:sz="0" w:space="0" w:color="auto"/>
        <w:left w:val="none" w:sz="0" w:space="0" w:color="auto"/>
        <w:bottom w:val="none" w:sz="0" w:space="0" w:color="auto"/>
        <w:right w:val="none" w:sz="0" w:space="0" w:color="auto"/>
      </w:divBdr>
    </w:div>
    <w:div w:id="1252860033">
      <w:bodyDiv w:val="1"/>
      <w:marLeft w:val="0"/>
      <w:marRight w:val="0"/>
      <w:marTop w:val="0"/>
      <w:marBottom w:val="0"/>
      <w:divBdr>
        <w:top w:val="none" w:sz="0" w:space="0" w:color="auto"/>
        <w:left w:val="none" w:sz="0" w:space="0" w:color="auto"/>
        <w:bottom w:val="none" w:sz="0" w:space="0" w:color="auto"/>
        <w:right w:val="none" w:sz="0" w:space="0" w:color="auto"/>
      </w:divBdr>
    </w:div>
    <w:div w:id="1253465362">
      <w:bodyDiv w:val="1"/>
      <w:marLeft w:val="0"/>
      <w:marRight w:val="0"/>
      <w:marTop w:val="0"/>
      <w:marBottom w:val="0"/>
      <w:divBdr>
        <w:top w:val="none" w:sz="0" w:space="0" w:color="auto"/>
        <w:left w:val="none" w:sz="0" w:space="0" w:color="auto"/>
        <w:bottom w:val="none" w:sz="0" w:space="0" w:color="auto"/>
        <w:right w:val="none" w:sz="0" w:space="0" w:color="auto"/>
      </w:divBdr>
    </w:div>
    <w:div w:id="1257246580">
      <w:bodyDiv w:val="1"/>
      <w:marLeft w:val="0"/>
      <w:marRight w:val="0"/>
      <w:marTop w:val="0"/>
      <w:marBottom w:val="0"/>
      <w:divBdr>
        <w:top w:val="none" w:sz="0" w:space="0" w:color="auto"/>
        <w:left w:val="none" w:sz="0" w:space="0" w:color="auto"/>
        <w:bottom w:val="none" w:sz="0" w:space="0" w:color="auto"/>
        <w:right w:val="none" w:sz="0" w:space="0" w:color="auto"/>
      </w:divBdr>
    </w:div>
    <w:div w:id="1257403370">
      <w:bodyDiv w:val="1"/>
      <w:marLeft w:val="0"/>
      <w:marRight w:val="0"/>
      <w:marTop w:val="0"/>
      <w:marBottom w:val="0"/>
      <w:divBdr>
        <w:top w:val="none" w:sz="0" w:space="0" w:color="auto"/>
        <w:left w:val="none" w:sz="0" w:space="0" w:color="auto"/>
        <w:bottom w:val="none" w:sz="0" w:space="0" w:color="auto"/>
        <w:right w:val="none" w:sz="0" w:space="0" w:color="auto"/>
      </w:divBdr>
    </w:div>
    <w:div w:id="1257707889">
      <w:bodyDiv w:val="1"/>
      <w:marLeft w:val="0"/>
      <w:marRight w:val="0"/>
      <w:marTop w:val="0"/>
      <w:marBottom w:val="0"/>
      <w:divBdr>
        <w:top w:val="none" w:sz="0" w:space="0" w:color="auto"/>
        <w:left w:val="none" w:sz="0" w:space="0" w:color="auto"/>
        <w:bottom w:val="none" w:sz="0" w:space="0" w:color="auto"/>
        <w:right w:val="none" w:sz="0" w:space="0" w:color="auto"/>
      </w:divBdr>
    </w:div>
    <w:div w:id="1260987172">
      <w:bodyDiv w:val="1"/>
      <w:marLeft w:val="0"/>
      <w:marRight w:val="0"/>
      <w:marTop w:val="0"/>
      <w:marBottom w:val="0"/>
      <w:divBdr>
        <w:top w:val="none" w:sz="0" w:space="0" w:color="auto"/>
        <w:left w:val="none" w:sz="0" w:space="0" w:color="auto"/>
        <w:bottom w:val="none" w:sz="0" w:space="0" w:color="auto"/>
        <w:right w:val="none" w:sz="0" w:space="0" w:color="auto"/>
      </w:divBdr>
    </w:div>
    <w:div w:id="1262372039">
      <w:bodyDiv w:val="1"/>
      <w:marLeft w:val="0"/>
      <w:marRight w:val="0"/>
      <w:marTop w:val="0"/>
      <w:marBottom w:val="0"/>
      <w:divBdr>
        <w:top w:val="none" w:sz="0" w:space="0" w:color="auto"/>
        <w:left w:val="none" w:sz="0" w:space="0" w:color="auto"/>
        <w:bottom w:val="none" w:sz="0" w:space="0" w:color="auto"/>
        <w:right w:val="none" w:sz="0" w:space="0" w:color="auto"/>
      </w:divBdr>
    </w:div>
    <w:div w:id="1266812546">
      <w:bodyDiv w:val="1"/>
      <w:marLeft w:val="0"/>
      <w:marRight w:val="0"/>
      <w:marTop w:val="0"/>
      <w:marBottom w:val="0"/>
      <w:divBdr>
        <w:top w:val="none" w:sz="0" w:space="0" w:color="auto"/>
        <w:left w:val="none" w:sz="0" w:space="0" w:color="auto"/>
        <w:bottom w:val="none" w:sz="0" w:space="0" w:color="auto"/>
        <w:right w:val="none" w:sz="0" w:space="0" w:color="auto"/>
      </w:divBdr>
    </w:div>
    <w:div w:id="1271737716">
      <w:bodyDiv w:val="1"/>
      <w:marLeft w:val="0"/>
      <w:marRight w:val="0"/>
      <w:marTop w:val="0"/>
      <w:marBottom w:val="0"/>
      <w:divBdr>
        <w:top w:val="none" w:sz="0" w:space="0" w:color="auto"/>
        <w:left w:val="none" w:sz="0" w:space="0" w:color="auto"/>
        <w:bottom w:val="none" w:sz="0" w:space="0" w:color="auto"/>
        <w:right w:val="none" w:sz="0" w:space="0" w:color="auto"/>
      </w:divBdr>
    </w:div>
    <w:div w:id="1274510613">
      <w:bodyDiv w:val="1"/>
      <w:marLeft w:val="0"/>
      <w:marRight w:val="0"/>
      <w:marTop w:val="0"/>
      <w:marBottom w:val="0"/>
      <w:divBdr>
        <w:top w:val="none" w:sz="0" w:space="0" w:color="auto"/>
        <w:left w:val="none" w:sz="0" w:space="0" w:color="auto"/>
        <w:bottom w:val="none" w:sz="0" w:space="0" w:color="auto"/>
        <w:right w:val="none" w:sz="0" w:space="0" w:color="auto"/>
      </w:divBdr>
    </w:div>
    <w:div w:id="1274628224">
      <w:bodyDiv w:val="1"/>
      <w:marLeft w:val="0"/>
      <w:marRight w:val="0"/>
      <w:marTop w:val="0"/>
      <w:marBottom w:val="0"/>
      <w:divBdr>
        <w:top w:val="none" w:sz="0" w:space="0" w:color="auto"/>
        <w:left w:val="none" w:sz="0" w:space="0" w:color="auto"/>
        <w:bottom w:val="none" w:sz="0" w:space="0" w:color="auto"/>
        <w:right w:val="none" w:sz="0" w:space="0" w:color="auto"/>
      </w:divBdr>
    </w:div>
    <w:div w:id="1277566539">
      <w:bodyDiv w:val="1"/>
      <w:marLeft w:val="0"/>
      <w:marRight w:val="0"/>
      <w:marTop w:val="0"/>
      <w:marBottom w:val="0"/>
      <w:divBdr>
        <w:top w:val="none" w:sz="0" w:space="0" w:color="auto"/>
        <w:left w:val="none" w:sz="0" w:space="0" w:color="auto"/>
        <w:bottom w:val="none" w:sz="0" w:space="0" w:color="auto"/>
        <w:right w:val="none" w:sz="0" w:space="0" w:color="auto"/>
      </w:divBdr>
    </w:div>
    <w:div w:id="1279220756">
      <w:bodyDiv w:val="1"/>
      <w:marLeft w:val="0"/>
      <w:marRight w:val="0"/>
      <w:marTop w:val="0"/>
      <w:marBottom w:val="0"/>
      <w:divBdr>
        <w:top w:val="none" w:sz="0" w:space="0" w:color="auto"/>
        <w:left w:val="none" w:sz="0" w:space="0" w:color="auto"/>
        <w:bottom w:val="none" w:sz="0" w:space="0" w:color="auto"/>
        <w:right w:val="none" w:sz="0" w:space="0" w:color="auto"/>
      </w:divBdr>
    </w:div>
    <w:div w:id="1279990859">
      <w:bodyDiv w:val="1"/>
      <w:marLeft w:val="0"/>
      <w:marRight w:val="0"/>
      <w:marTop w:val="0"/>
      <w:marBottom w:val="0"/>
      <w:divBdr>
        <w:top w:val="none" w:sz="0" w:space="0" w:color="auto"/>
        <w:left w:val="none" w:sz="0" w:space="0" w:color="auto"/>
        <w:bottom w:val="none" w:sz="0" w:space="0" w:color="auto"/>
        <w:right w:val="none" w:sz="0" w:space="0" w:color="auto"/>
      </w:divBdr>
    </w:div>
    <w:div w:id="1282304571">
      <w:bodyDiv w:val="1"/>
      <w:marLeft w:val="0"/>
      <w:marRight w:val="0"/>
      <w:marTop w:val="0"/>
      <w:marBottom w:val="0"/>
      <w:divBdr>
        <w:top w:val="none" w:sz="0" w:space="0" w:color="auto"/>
        <w:left w:val="none" w:sz="0" w:space="0" w:color="auto"/>
        <w:bottom w:val="none" w:sz="0" w:space="0" w:color="auto"/>
        <w:right w:val="none" w:sz="0" w:space="0" w:color="auto"/>
      </w:divBdr>
    </w:div>
    <w:div w:id="1283340863">
      <w:bodyDiv w:val="1"/>
      <w:marLeft w:val="0"/>
      <w:marRight w:val="0"/>
      <w:marTop w:val="0"/>
      <w:marBottom w:val="0"/>
      <w:divBdr>
        <w:top w:val="none" w:sz="0" w:space="0" w:color="auto"/>
        <w:left w:val="none" w:sz="0" w:space="0" w:color="auto"/>
        <w:bottom w:val="none" w:sz="0" w:space="0" w:color="auto"/>
        <w:right w:val="none" w:sz="0" w:space="0" w:color="auto"/>
      </w:divBdr>
    </w:div>
    <w:div w:id="1285504059">
      <w:bodyDiv w:val="1"/>
      <w:marLeft w:val="0"/>
      <w:marRight w:val="0"/>
      <w:marTop w:val="0"/>
      <w:marBottom w:val="0"/>
      <w:divBdr>
        <w:top w:val="none" w:sz="0" w:space="0" w:color="auto"/>
        <w:left w:val="none" w:sz="0" w:space="0" w:color="auto"/>
        <w:bottom w:val="none" w:sz="0" w:space="0" w:color="auto"/>
        <w:right w:val="none" w:sz="0" w:space="0" w:color="auto"/>
      </w:divBdr>
    </w:div>
    <w:div w:id="1286353391">
      <w:bodyDiv w:val="1"/>
      <w:marLeft w:val="0"/>
      <w:marRight w:val="0"/>
      <w:marTop w:val="0"/>
      <w:marBottom w:val="0"/>
      <w:divBdr>
        <w:top w:val="none" w:sz="0" w:space="0" w:color="auto"/>
        <w:left w:val="none" w:sz="0" w:space="0" w:color="auto"/>
        <w:bottom w:val="none" w:sz="0" w:space="0" w:color="auto"/>
        <w:right w:val="none" w:sz="0" w:space="0" w:color="auto"/>
      </w:divBdr>
    </w:div>
    <w:div w:id="1286692073">
      <w:bodyDiv w:val="1"/>
      <w:marLeft w:val="0"/>
      <w:marRight w:val="0"/>
      <w:marTop w:val="0"/>
      <w:marBottom w:val="0"/>
      <w:divBdr>
        <w:top w:val="none" w:sz="0" w:space="0" w:color="auto"/>
        <w:left w:val="none" w:sz="0" w:space="0" w:color="auto"/>
        <w:bottom w:val="none" w:sz="0" w:space="0" w:color="auto"/>
        <w:right w:val="none" w:sz="0" w:space="0" w:color="auto"/>
      </w:divBdr>
    </w:div>
    <w:div w:id="1293247052">
      <w:bodyDiv w:val="1"/>
      <w:marLeft w:val="0"/>
      <w:marRight w:val="0"/>
      <w:marTop w:val="0"/>
      <w:marBottom w:val="0"/>
      <w:divBdr>
        <w:top w:val="none" w:sz="0" w:space="0" w:color="auto"/>
        <w:left w:val="none" w:sz="0" w:space="0" w:color="auto"/>
        <w:bottom w:val="none" w:sz="0" w:space="0" w:color="auto"/>
        <w:right w:val="none" w:sz="0" w:space="0" w:color="auto"/>
      </w:divBdr>
    </w:div>
    <w:div w:id="1297486396">
      <w:bodyDiv w:val="1"/>
      <w:marLeft w:val="0"/>
      <w:marRight w:val="0"/>
      <w:marTop w:val="0"/>
      <w:marBottom w:val="0"/>
      <w:divBdr>
        <w:top w:val="none" w:sz="0" w:space="0" w:color="auto"/>
        <w:left w:val="none" w:sz="0" w:space="0" w:color="auto"/>
        <w:bottom w:val="none" w:sz="0" w:space="0" w:color="auto"/>
        <w:right w:val="none" w:sz="0" w:space="0" w:color="auto"/>
      </w:divBdr>
    </w:div>
    <w:div w:id="1298221121">
      <w:bodyDiv w:val="1"/>
      <w:marLeft w:val="0"/>
      <w:marRight w:val="0"/>
      <w:marTop w:val="0"/>
      <w:marBottom w:val="0"/>
      <w:divBdr>
        <w:top w:val="none" w:sz="0" w:space="0" w:color="auto"/>
        <w:left w:val="none" w:sz="0" w:space="0" w:color="auto"/>
        <w:bottom w:val="none" w:sz="0" w:space="0" w:color="auto"/>
        <w:right w:val="none" w:sz="0" w:space="0" w:color="auto"/>
      </w:divBdr>
    </w:div>
    <w:div w:id="1301493050">
      <w:bodyDiv w:val="1"/>
      <w:marLeft w:val="0"/>
      <w:marRight w:val="0"/>
      <w:marTop w:val="0"/>
      <w:marBottom w:val="0"/>
      <w:divBdr>
        <w:top w:val="none" w:sz="0" w:space="0" w:color="auto"/>
        <w:left w:val="none" w:sz="0" w:space="0" w:color="auto"/>
        <w:bottom w:val="none" w:sz="0" w:space="0" w:color="auto"/>
        <w:right w:val="none" w:sz="0" w:space="0" w:color="auto"/>
      </w:divBdr>
    </w:div>
    <w:div w:id="1301769555">
      <w:bodyDiv w:val="1"/>
      <w:marLeft w:val="0"/>
      <w:marRight w:val="0"/>
      <w:marTop w:val="0"/>
      <w:marBottom w:val="0"/>
      <w:divBdr>
        <w:top w:val="none" w:sz="0" w:space="0" w:color="auto"/>
        <w:left w:val="none" w:sz="0" w:space="0" w:color="auto"/>
        <w:bottom w:val="none" w:sz="0" w:space="0" w:color="auto"/>
        <w:right w:val="none" w:sz="0" w:space="0" w:color="auto"/>
      </w:divBdr>
    </w:div>
    <w:div w:id="1309164035">
      <w:bodyDiv w:val="1"/>
      <w:marLeft w:val="0"/>
      <w:marRight w:val="0"/>
      <w:marTop w:val="0"/>
      <w:marBottom w:val="0"/>
      <w:divBdr>
        <w:top w:val="none" w:sz="0" w:space="0" w:color="auto"/>
        <w:left w:val="none" w:sz="0" w:space="0" w:color="auto"/>
        <w:bottom w:val="none" w:sz="0" w:space="0" w:color="auto"/>
        <w:right w:val="none" w:sz="0" w:space="0" w:color="auto"/>
      </w:divBdr>
    </w:div>
    <w:div w:id="1310204775">
      <w:bodyDiv w:val="1"/>
      <w:marLeft w:val="0"/>
      <w:marRight w:val="0"/>
      <w:marTop w:val="0"/>
      <w:marBottom w:val="0"/>
      <w:divBdr>
        <w:top w:val="none" w:sz="0" w:space="0" w:color="auto"/>
        <w:left w:val="none" w:sz="0" w:space="0" w:color="auto"/>
        <w:bottom w:val="none" w:sz="0" w:space="0" w:color="auto"/>
        <w:right w:val="none" w:sz="0" w:space="0" w:color="auto"/>
      </w:divBdr>
    </w:div>
    <w:div w:id="1311443899">
      <w:bodyDiv w:val="1"/>
      <w:marLeft w:val="0"/>
      <w:marRight w:val="0"/>
      <w:marTop w:val="0"/>
      <w:marBottom w:val="0"/>
      <w:divBdr>
        <w:top w:val="none" w:sz="0" w:space="0" w:color="auto"/>
        <w:left w:val="none" w:sz="0" w:space="0" w:color="auto"/>
        <w:bottom w:val="none" w:sz="0" w:space="0" w:color="auto"/>
        <w:right w:val="none" w:sz="0" w:space="0" w:color="auto"/>
      </w:divBdr>
    </w:div>
    <w:div w:id="1311667729">
      <w:bodyDiv w:val="1"/>
      <w:marLeft w:val="0"/>
      <w:marRight w:val="0"/>
      <w:marTop w:val="0"/>
      <w:marBottom w:val="0"/>
      <w:divBdr>
        <w:top w:val="none" w:sz="0" w:space="0" w:color="auto"/>
        <w:left w:val="none" w:sz="0" w:space="0" w:color="auto"/>
        <w:bottom w:val="none" w:sz="0" w:space="0" w:color="auto"/>
        <w:right w:val="none" w:sz="0" w:space="0" w:color="auto"/>
      </w:divBdr>
    </w:div>
    <w:div w:id="1313095998">
      <w:bodyDiv w:val="1"/>
      <w:marLeft w:val="0"/>
      <w:marRight w:val="0"/>
      <w:marTop w:val="0"/>
      <w:marBottom w:val="0"/>
      <w:divBdr>
        <w:top w:val="none" w:sz="0" w:space="0" w:color="auto"/>
        <w:left w:val="none" w:sz="0" w:space="0" w:color="auto"/>
        <w:bottom w:val="none" w:sz="0" w:space="0" w:color="auto"/>
        <w:right w:val="none" w:sz="0" w:space="0" w:color="auto"/>
      </w:divBdr>
    </w:div>
    <w:div w:id="1316569957">
      <w:bodyDiv w:val="1"/>
      <w:marLeft w:val="0"/>
      <w:marRight w:val="0"/>
      <w:marTop w:val="0"/>
      <w:marBottom w:val="0"/>
      <w:divBdr>
        <w:top w:val="none" w:sz="0" w:space="0" w:color="auto"/>
        <w:left w:val="none" w:sz="0" w:space="0" w:color="auto"/>
        <w:bottom w:val="none" w:sz="0" w:space="0" w:color="auto"/>
        <w:right w:val="none" w:sz="0" w:space="0" w:color="auto"/>
      </w:divBdr>
    </w:div>
    <w:div w:id="1319992400">
      <w:bodyDiv w:val="1"/>
      <w:marLeft w:val="0"/>
      <w:marRight w:val="0"/>
      <w:marTop w:val="0"/>
      <w:marBottom w:val="0"/>
      <w:divBdr>
        <w:top w:val="none" w:sz="0" w:space="0" w:color="auto"/>
        <w:left w:val="none" w:sz="0" w:space="0" w:color="auto"/>
        <w:bottom w:val="none" w:sz="0" w:space="0" w:color="auto"/>
        <w:right w:val="none" w:sz="0" w:space="0" w:color="auto"/>
      </w:divBdr>
    </w:div>
    <w:div w:id="1321275344">
      <w:bodyDiv w:val="1"/>
      <w:marLeft w:val="0"/>
      <w:marRight w:val="0"/>
      <w:marTop w:val="0"/>
      <w:marBottom w:val="0"/>
      <w:divBdr>
        <w:top w:val="none" w:sz="0" w:space="0" w:color="auto"/>
        <w:left w:val="none" w:sz="0" w:space="0" w:color="auto"/>
        <w:bottom w:val="none" w:sz="0" w:space="0" w:color="auto"/>
        <w:right w:val="none" w:sz="0" w:space="0" w:color="auto"/>
      </w:divBdr>
    </w:div>
    <w:div w:id="1322461596">
      <w:bodyDiv w:val="1"/>
      <w:marLeft w:val="0"/>
      <w:marRight w:val="0"/>
      <w:marTop w:val="0"/>
      <w:marBottom w:val="0"/>
      <w:divBdr>
        <w:top w:val="none" w:sz="0" w:space="0" w:color="auto"/>
        <w:left w:val="none" w:sz="0" w:space="0" w:color="auto"/>
        <w:bottom w:val="none" w:sz="0" w:space="0" w:color="auto"/>
        <w:right w:val="none" w:sz="0" w:space="0" w:color="auto"/>
      </w:divBdr>
    </w:div>
    <w:div w:id="1328439000">
      <w:bodyDiv w:val="1"/>
      <w:marLeft w:val="0"/>
      <w:marRight w:val="0"/>
      <w:marTop w:val="0"/>
      <w:marBottom w:val="0"/>
      <w:divBdr>
        <w:top w:val="none" w:sz="0" w:space="0" w:color="auto"/>
        <w:left w:val="none" w:sz="0" w:space="0" w:color="auto"/>
        <w:bottom w:val="none" w:sz="0" w:space="0" w:color="auto"/>
        <w:right w:val="none" w:sz="0" w:space="0" w:color="auto"/>
      </w:divBdr>
    </w:div>
    <w:div w:id="1330017838">
      <w:bodyDiv w:val="1"/>
      <w:marLeft w:val="0"/>
      <w:marRight w:val="0"/>
      <w:marTop w:val="0"/>
      <w:marBottom w:val="0"/>
      <w:divBdr>
        <w:top w:val="none" w:sz="0" w:space="0" w:color="auto"/>
        <w:left w:val="none" w:sz="0" w:space="0" w:color="auto"/>
        <w:bottom w:val="none" w:sz="0" w:space="0" w:color="auto"/>
        <w:right w:val="none" w:sz="0" w:space="0" w:color="auto"/>
      </w:divBdr>
    </w:div>
    <w:div w:id="1331526399">
      <w:bodyDiv w:val="1"/>
      <w:marLeft w:val="0"/>
      <w:marRight w:val="0"/>
      <w:marTop w:val="0"/>
      <w:marBottom w:val="0"/>
      <w:divBdr>
        <w:top w:val="none" w:sz="0" w:space="0" w:color="auto"/>
        <w:left w:val="none" w:sz="0" w:space="0" w:color="auto"/>
        <w:bottom w:val="none" w:sz="0" w:space="0" w:color="auto"/>
        <w:right w:val="none" w:sz="0" w:space="0" w:color="auto"/>
      </w:divBdr>
    </w:div>
    <w:div w:id="1336807981">
      <w:bodyDiv w:val="1"/>
      <w:marLeft w:val="0"/>
      <w:marRight w:val="0"/>
      <w:marTop w:val="0"/>
      <w:marBottom w:val="0"/>
      <w:divBdr>
        <w:top w:val="none" w:sz="0" w:space="0" w:color="auto"/>
        <w:left w:val="none" w:sz="0" w:space="0" w:color="auto"/>
        <w:bottom w:val="none" w:sz="0" w:space="0" w:color="auto"/>
        <w:right w:val="none" w:sz="0" w:space="0" w:color="auto"/>
      </w:divBdr>
    </w:div>
    <w:div w:id="1338728000">
      <w:bodyDiv w:val="1"/>
      <w:marLeft w:val="0"/>
      <w:marRight w:val="0"/>
      <w:marTop w:val="0"/>
      <w:marBottom w:val="0"/>
      <w:divBdr>
        <w:top w:val="none" w:sz="0" w:space="0" w:color="auto"/>
        <w:left w:val="none" w:sz="0" w:space="0" w:color="auto"/>
        <w:bottom w:val="none" w:sz="0" w:space="0" w:color="auto"/>
        <w:right w:val="none" w:sz="0" w:space="0" w:color="auto"/>
      </w:divBdr>
    </w:div>
    <w:div w:id="1339504218">
      <w:bodyDiv w:val="1"/>
      <w:marLeft w:val="0"/>
      <w:marRight w:val="0"/>
      <w:marTop w:val="0"/>
      <w:marBottom w:val="0"/>
      <w:divBdr>
        <w:top w:val="none" w:sz="0" w:space="0" w:color="auto"/>
        <w:left w:val="none" w:sz="0" w:space="0" w:color="auto"/>
        <w:bottom w:val="none" w:sz="0" w:space="0" w:color="auto"/>
        <w:right w:val="none" w:sz="0" w:space="0" w:color="auto"/>
      </w:divBdr>
    </w:div>
    <w:div w:id="1339770711">
      <w:bodyDiv w:val="1"/>
      <w:marLeft w:val="0"/>
      <w:marRight w:val="0"/>
      <w:marTop w:val="0"/>
      <w:marBottom w:val="0"/>
      <w:divBdr>
        <w:top w:val="none" w:sz="0" w:space="0" w:color="auto"/>
        <w:left w:val="none" w:sz="0" w:space="0" w:color="auto"/>
        <w:bottom w:val="none" w:sz="0" w:space="0" w:color="auto"/>
        <w:right w:val="none" w:sz="0" w:space="0" w:color="auto"/>
      </w:divBdr>
    </w:div>
    <w:div w:id="1342121499">
      <w:bodyDiv w:val="1"/>
      <w:marLeft w:val="0"/>
      <w:marRight w:val="0"/>
      <w:marTop w:val="0"/>
      <w:marBottom w:val="0"/>
      <w:divBdr>
        <w:top w:val="none" w:sz="0" w:space="0" w:color="auto"/>
        <w:left w:val="none" w:sz="0" w:space="0" w:color="auto"/>
        <w:bottom w:val="none" w:sz="0" w:space="0" w:color="auto"/>
        <w:right w:val="none" w:sz="0" w:space="0" w:color="auto"/>
      </w:divBdr>
    </w:div>
    <w:div w:id="1344166772">
      <w:bodyDiv w:val="1"/>
      <w:marLeft w:val="0"/>
      <w:marRight w:val="0"/>
      <w:marTop w:val="0"/>
      <w:marBottom w:val="0"/>
      <w:divBdr>
        <w:top w:val="none" w:sz="0" w:space="0" w:color="auto"/>
        <w:left w:val="none" w:sz="0" w:space="0" w:color="auto"/>
        <w:bottom w:val="none" w:sz="0" w:space="0" w:color="auto"/>
        <w:right w:val="none" w:sz="0" w:space="0" w:color="auto"/>
      </w:divBdr>
    </w:div>
    <w:div w:id="1344670420">
      <w:bodyDiv w:val="1"/>
      <w:marLeft w:val="0"/>
      <w:marRight w:val="0"/>
      <w:marTop w:val="0"/>
      <w:marBottom w:val="0"/>
      <w:divBdr>
        <w:top w:val="none" w:sz="0" w:space="0" w:color="auto"/>
        <w:left w:val="none" w:sz="0" w:space="0" w:color="auto"/>
        <w:bottom w:val="none" w:sz="0" w:space="0" w:color="auto"/>
        <w:right w:val="none" w:sz="0" w:space="0" w:color="auto"/>
      </w:divBdr>
    </w:div>
    <w:div w:id="1347827851">
      <w:bodyDiv w:val="1"/>
      <w:marLeft w:val="0"/>
      <w:marRight w:val="0"/>
      <w:marTop w:val="0"/>
      <w:marBottom w:val="0"/>
      <w:divBdr>
        <w:top w:val="none" w:sz="0" w:space="0" w:color="auto"/>
        <w:left w:val="none" w:sz="0" w:space="0" w:color="auto"/>
        <w:bottom w:val="none" w:sz="0" w:space="0" w:color="auto"/>
        <w:right w:val="none" w:sz="0" w:space="0" w:color="auto"/>
      </w:divBdr>
    </w:div>
    <w:div w:id="1351907817">
      <w:bodyDiv w:val="1"/>
      <w:marLeft w:val="0"/>
      <w:marRight w:val="0"/>
      <w:marTop w:val="0"/>
      <w:marBottom w:val="0"/>
      <w:divBdr>
        <w:top w:val="none" w:sz="0" w:space="0" w:color="auto"/>
        <w:left w:val="none" w:sz="0" w:space="0" w:color="auto"/>
        <w:bottom w:val="none" w:sz="0" w:space="0" w:color="auto"/>
        <w:right w:val="none" w:sz="0" w:space="0" w:color="auto"/>
      </w:divBdr>
    </w:div>
    <w:div w:id="1353073524">
      <w:bodyDiv w:val="1"/>
      <w:marLeft w:val="0"/>
      <w:marRight w:val="0"/>
      <w:marTop w:val="0"/>
      <w:marBottom w:val="0"/>
      <w:divBdr>
        <w:top w:val="none" w:sz="0" w:space="0" w:color="auto"/>
        <w:left w:val="none" w:sz="0" w:space="0" w:color="auto"/>
        <w:bottom w:val="none" w:sz="0" w:space="0" w:color="auto"/>
        <w:right w:val="none" w:sz="0" w:space="0" w:color="auto"/>
      </w:divBdr>
    </w:div>
    <w:div w:id="1360353149">
      <w:bodyDiv w:val="1"/>
      <w:marLeft w:val="0"/>
      <w:marRight w:val="0"/>
      <w:marTop w:val="0"/>
      <w:marBottom w:val="0"/>
      <w:divBdr>
        <w:top w:val="none" w:sz="0" w:space="0" w:color="auto"/>
        <w:left w:val="none" w:sz="0" w:space="0" w:color="auto"/>
        <w:bottom w:val="none" w:sz="0" w:space="0" w:color="auto"/>
        <w:right w:val="none" w:sz="0" w:space="0" w:color="auto"/>
      </w:divBdr>
    </w:div>
    <w:div w:id="1362362409">
      <w:bodyDiv w:val="1"/>
      <w:marLeft w:val="0"/>
      <w:marRight w:val="0"/>
      <w:marTop w:val="0"/>
      <w:marBottom w:val="0"/>
      <w:divBdr>
        <w:top w:val="none" w:sz="0" w:space="0" w:color="auto"/>
        <w:left w:val="none" w:sz="0" w:space="0" w:color="auto"/>
        <w:bottom w:val="none" w:sz="0" w:space="0" w:color="auto"/>
        <w:right w:val="none" w:sz="0" w:space="0" w:color="auto"/>
      </w:divBdr>
    </w:div>
    <w:div w:id="1364359984">
      <w:bodyDiv w:val="1"/>
      <w:marLeft w:val="0"/>
      <w:marRight w:val="0"/>
      <w:marTop w:val="0"/>
      <w:marBottom w:val="0"/>
      <w:divBdr>
        <w:top w:val="none" w:sz="0" w:space="0" w:color="auto"/>
        <w:left w:val="none" w:sz="0" w:space="0" w:color="auto"/>
        <w:bottom w:val="none" w:sz="0" w:space="0" w:color="auto"/>
        <w:right w:val="none" w:sz="0" w:space="0" w:color="auto"/>
      </w:divBdr>
    </w:div>
    <w:div w:id="1366371215">
      <w:bodyDiv w:val="1"/>
      <w:marLeft w:val="0"/>
      <w:marRight w:val="0"/>
      <w:marTop w:val="0"/>
      <w:marBottom w:val="0"/>
      <w:divBdr>
        <w:top w:val="none" w:sz="0" w:space="0" w:color="auto"/>
        <w:left w:val="none" w:sz="0" w:space="0" w:color="auto"/>
        <w:bottom w:val="none" w:sz="0" w:space="0" w:color="auto"/>
        <w:right w:val="none" w:sz="0" w:space="0" w:color="auto"/>
      </w:divBdr>
    </w:div>
    <w:div w:id="1367483021">
      <w:bodyDiv w:val="1"/>
      <w:marLeft w:val="0"/>
      <w:marRight w:val="0"/>
      <w:marTop w:val="0"/>
      <w:marBottom w:val="0"/>
      <w:divBdr>
        <w:top w:val="none" w:sz="0" w:space="0" w:color="auto"/>
        <w:left w:val="none" w:sz="0" w:space="0" w:color="auto"/>
        <w:bottom w:val="none" w:sz="0" w:space="0" w:color="auto"/>
        <w:right w:val="none" w:sz="0" w:space="0" w:color="auto"/>
      </w:divBdr>
    </w:div>
    <w:div w:id="1369068249">
      <w:bodyDiv w:val="1"/>
      <w:marLeft w:val="0"/>
      <w:marRight w:val="0"/>
      <w:marTop w:val="0"/>
      <w:marBottom w:val="0"/>
      <w:divBdr>
        <w:top w:val="none" w:sz="0" w:space="0" w:color="auto"/>
        <w:left w:val="none" w:sz="0" w:space="0" w:color="auto"/>
        <w:bottom w:val="none" w:sz="0" w:space="0" w:color="auto"/>
        <w:right w:val="none" w:sz="0" w:space="0" w:color="auto"/>
      </w:divBdr>
    </w:div>
    <w:div w:id="1370103675">
      <w:bodyDiv w:val="1"/>
      <w:marLeft w:val="0"/>
      <w:marRight w:val="0"/>
      <w:marTop w:val="0"/>
      <w:marBottom w:val="0"/>
      <w:divBdr>
        <w:top w:val="none" w:sz="0" w:space="0" w:color="auto"/>
        <w:left w:val="none" w:sz="0" w:space="0" w:color="auto"/>
        <w:bottom w:val="none" w:sz="0" w:space="0" w:color="auto"/>
        <w:right w:val="none" w:sz="0" w:space="0" w:color="auto"/>
      </w:divBdr>
    </w:div>
    <w:div w:id="1370691314">
      <w:bodyDiv w:val="1"/>
      <w:marLeft w:val="0"/>
      <w:marRight w:val="0"/>
      <w:marTop w:val="0"/>
      <w:marBottom w:val="0"/>
      <w:divBdr>
        <w:top w:val="none" w:sz="0" w:space="0" w:color="auto"/>
        <w:left w:val="none" w:sz="0" w:space="0" w:color="auto"/>
        <w:bottom w:val="none" w:sz="0" w:space="0" w:color="auto"/>
        <w:right w:val="none" w:sz="0" w:space="0" w:color="auto"/>
      </w:divBdr>
    </w:div>
    <w:div w:id="1370763887">
      <w:bodyDiv w:val="1"/>
      <w:marLeft w:val="0"/>
      <w:marRight w:val="0"/>
      <w:marTop w:val="0"/>
      <w:marBottom w:val="0"/>
      <w:divBdr>
        <w:top w:val="none" w:sz="0" w:space="0" w:color="auto"/>
        <w:left w:val="none" w:sz="0" w:space="0" w:color="auto"/>
        <w:bottom w:val="none" w:sz="0" w:space="0" w:color="auto"/>
        <w:right w:val="none" w:sz="0" w:space="0" w:color="auto"/>
      </w:divBdr>
    </w:div>
    <w:div w:id="1373069941">
      <w:bodyDiv w:val="1"/>
      <w:marLeft w:val="0"/>
      <w:marRight w:val="0"/>
      <w:marTop w:val="0"/>
      <w:marBottom w:val="0"/>
      <w:divBdr>
        <w:top w:val="none" w:sz="0" w:space="0" w:color="auto"/>
        <w:left w:val="none" w:sz="0" w:space="0" w:color="auto"/>
        <w:bottom w:val="none" w:sz="0" w:space="0" w:color="auto"/>
        <w:right w:val="none" w:sz="0" w:space="0" w:color="auto"/>
      </w:divBdr>
    </w:div>
    <w:div w:id="1374304275">
      <w:bodyDiv w:val="1"/>
      <w:marLeft w:val="0"/>
      <w:marRight w:val="0"/>
      <w:marTop w:val="0"/>
      <w:marBottom w:val="0"/>
      <w:divBdr>
        <w:top w:val="none" w:sz="0" w:space="0" w:color="auto"/>
        <w:left w:val="none" w:sz="0" w:space="0" w:color="auto"/>
        <w:bottom w:val="none" w:sz="0" w:space="0" w:color="auto"/>
        <w:right w:val="none" w:sz="0" w:space="0" w:color="auto"/>
      </w:divBdr>
    </w:div>
    <w:div w:id="1374959788">
      <w:bodyDiv w:val="1"/>
      <w:marLeft w:val="0"/>
      <w:marRight w:val="0"/>
      <w:marTop w:val="0"/>
      <w:marBottom w:val="0"/>
      <w:divBdr>
        <w:top w:val="none" w:sz="0" w:space="0" w:color="auto"/>
        <w:left w:val="none" w:sz="0" w:space="0" w:color="auto"/>
        <w:bottom w:val="none" w:sz="0" w:space="0" w:color="auto"/>
        <w:right w:val="none" w:sz="0" w:space="0" w:color="auto"/>
      </w:divBdr>
    </w:div>
    <w:div w:id="1386029798">
      <w:bodyDiv w:val="1"/>
      <w:marLeft w:val="0"/>
      <w:marRight w:val="0"/>
      <w:marTop w:val="0"/>
      <w:marBottom w:val="0"/>
      <w:divBdr>
        <w:top w:val="none" w:sz="0" w:space="0" w:color="auto"/>
        <w:left w:val="none" w:sz="0" w:space="0" w:color="auto"/>
        <w:bottom w:val="none" w:sz="0" w:space="0" w:color="auto"/>
        <w:right w:val="none" w:sz="0" w:space="0" w:color="auto"/>
      </w:divBdr>
    </w:div>
    <w:div w:id="1387948710">
      <w:bodyDiv w:val="1"/>
      <w:marLeft w:val="0"/>
      <w:marRight w:val="0"/>
      <w:marTop w:val="0"/>
      <w:marBottom w:val="0"/>
      <w:divBdr>
        <w:top w:val="none" w:sz="0" w:space="0" w:color="auto"/>
        <w:left w:val="none" w:sz="0" w:space="0" w:color="auto"/>
        <w:bottom w:val="none" w:sz="0" w:space="0" w:color="auto"/>
        <w:right w:val="none" w:sz="0" w:space="0" w:color="auto"/>
      </w:divBdr>
    </w:div>
    <w:div w:id="1389184602">
      <w:bodyDiv w:val="1"/>
      <w:marLeft w:val="0"/>
      <w:marRight w:val="0"/>
      <w:marTop w:val="0"/>
      <w:marBottom w:val="0"/>
      <w:divBdr>
        <w:top w:val="none" w:sz="0" w:space="0" w:color="auto"/>
        <w:left w:val="none" w:sz="0" w:space="0" w:color="auto"/>
        <w:bottom w:val="none" w:sz="0" w:space="0" w:color="auto"/>
        <w:right w:val="none" w:sz="0" w:space="0" w:color="auto"/>
      </w:divBdr>
    </w:div>
    <w:div w:id="1393458590">
      <w:bodyDiv w:val="1"/>
      <w:marLeft w:val="0"/>
      <w:marRight w:val="0"/>
      <w:marTop w:val="0"/>
      <w:marBottom w:val="0"/>
      <w:divBdr>
        <w:top w:val="none" w:sz="0" w:space="0" w:color="auto"/>
        <w:left w:val="none" w:sz="0" w:space="0" w:color="auto"/>
        <w:bottom w:val="none" w:sz="0" w:space="0" w:color="auto"/>
        <w:right w:val="none" w:sz="0" w:space="0" w:color="auto"/>
      </w:divBdr>
    </w:div>
    <w:div w:id="1396393720">
      <w:bodyDiv w:val="1"/>
      <w:marLeft w:val="0"/>
      <w:marRight w:val="0"/>
      <w:marTop w:val="0"/>
      <w:marBottom w:val="0"/>
      <w:divBdr>
        <w:top w:val="none" w:sz="0" w:space="0" w:color="auto"/>
        <w:left w:val="none" w:sz="0" w:space="0" w:color="auto"/>
        <w:bottom w:val="none" w:sz="0" w:space="0" w:color="auto"/>
        <w:right w:val="none" w:sz="0" w:space="0" w:color="auto"/>
      </w:divBdr>
    </w:div>
    <w:div w:id="1396513986">
      <w:bodyDiv w:val="1"/>
      <w:marLeft w:val="0"/>
      <w:marRight w:val="0"/>
      <w:marTop w:val="0"/>
      <w:marBottom w:val="0"/>
      <w:divBdr>
        <w:top w:val="none" w:sz="0" w:space="0" w:color="auto"/>
        <w:left w:val="none" w:sz="0" w:space="0" w:color="auto"/>
        <w:bottom w:val="none" w:sz="0" w:space="0" w:color="auto"/>
        <w:right w:val="none" w:sz="0" w:space="0" w:color="auto"/>
      </w:divBdr>
    </w:div>
    <w:div w:id="1399982345">
      <w:bodyDiv w:val="1"/>
      <w:marLeft w:val="0"/>
      <w:marRight w:val="0"/>
      <w:marTop w:val="0"/>
      <w:marBottom w:val="0"/>
      <w:divBdr>
        <w:top w:val="none" w:sz="0" w:space="0" w:color="auto"/>
        <w:left w:val="none" w:sz="0" w:space="0" w:color="auto"/>
        <w:bottom w:val="none" w:sz="0" w:space="0" w:color="auto"/>
        <w:right w:val="none" w:sz="0" w:space="0" w:color="auto"/>
      </w:divBdr>
    </w:div>
    <w:div w:id="1400323045">
      <w:bodyDiv w:val="1"/>
      <w:marLeft w:val="0"/>
      <w:marRight w:val="0"/>
      <w:marTop w:val="0"/>
      <w:marBottom w:val="0"/>
      <w:divBdr>
        <w:top w:val="none" w:sz="0" w:space="0" w:color="auto"/>
        <w:left w:val="none" w:sz="0" w:space="0" w:color="auto"/>
        <w:bottom w:val="none" w:sz="0" w:space="0" w:color="auto"/>
        <w:right w:val="none" w:sz="0" w:space="0" w:color="auto"/>
      </w:divBdr>
    </w:div>
    <w:div w:id="140333630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076193">
      <w:bodyDiv w:val="1"/>
      <w:marLeft w:val="0"/>
      <w:marRight w:val="0"/>
      <w:marTop w:val="0"/>
      <w:marBottom w:val="0"/>
      <w:divBdr>
        <w:top w:val="none" w:sz="0" w:space="0" w:color="auto"/>
        <w:left w:val="none" w:sz="0" w:space="0" w:color="auto"/>
        <w:bottom w:val="none" w:sz="0" w:space="0" w:color="auto"/>
        <w:right w:val="none" w:sz="0" w:space="0" w:color="auto"/>
      </w:divBdr>
    </w:div>
    <w:div w:id="1410880296">
      <w:bodyDiv w:val="1"/>
      <w:marLeft w:val="0"/>
      <w:marRight w:val="0"/>
      <w:marTop w:val="0"/>
      <w:marBottom w:val="0"/>
      <w:divBdr>
        <w:top w:val="none" w:sz="0" w:space="0" w:color="auto"/>
        <w:left w:val="none" w:sz="0" w:space="0" w:color="auto"/>
        <w:bottom w:val="none" w:sz="0" w:space="0" w:color="auto"/>
        <w:right w:val="none" w:sz="0" w:space="0" w:color="auto"/>
      </w:divBdr>
    </w:div>
    <w:div w:id="1412390314">
      <w:bodyDiv w:val="1"/>
      <w:marLeft w:val="0"/>
      <w:marRight w:val="0"/>
      <w:marTop w:val="0"/>
      <w:marBottom w:val="0"/>
      <w:divBdr>
        <w:top w:val="none" w:sz="0" w:space="0" w:color="auto"/>
        <w:left w:val="none" w:sz="0" w:space="0" w:color="auto"/>
        <w:bottom w:val="none" w:sz="0" w:space="0" w:color="auto"/>
        <w:right w:val="none" w:sz="0" w:space="0" w:color="auto"/>
      </w:divBdr>
    </w:div>
    <w:div w:id="1413239927">
      <w:bodyDiv w:val="1"/>
      <w:marLeft w:val="0"/>
      <w:marRight w:val="0"/>
      <w:marTop w:val="0"/>
      <w:marBottom w:val="0"/>
      <w:divBdr>
        <w:top w:val="none" w:sz="0" w:space="0" w:color="auto"/>
        <w:left w:val="none" w:sz="0" w:space="0" w:color="auto"/>
        <w:bottom w:val="none" w:sz="0" w:space="0" w:color="auto"/>
        <w:right w:val="none" w:sz="0" w:space="0" w:color="auto"/>
      </w:divBdr>
    </w:div>
    <w:div w:id="1413622822">
      <w:bodyDiv w:val="1"/>
      <w:marLeft w:val="0"/>
      <w:marRight w:val="0"/>
      <w:marTop w:val="0"/>
      <w:marBottom w:val="0"/>
      <w:divBdr>
        <w:top w:val="none" w:sz="0" w:space="0" w:color="auto"/>
        <w:left w:val="none" w:sz="0" w:space="0" w:color="auto"/>
        <w:bottom w:val="none" w:sz="0" w:space="0" w:color="auto"/>
        <w:right w:val="none" w:sz="0" w:space="0" w:color="auto"/>
      </w:divBdr>
    </w:div>
    <w:div w:id="1415010915">
      <w:bodyDiv w:val="1"/>
      <w:marLeft w:val="0"/>
      <w:marRight w:val="0"/>
      <w:marTop w:val="0"/>
      <w:marBottom w:val="0"/>
      <w:divBdr>
        <w:top w:val="none" w:sz="0" w:space="0" w:color="auto"/>
        <w:left w:val="none" w:sz="0" w:space="0" w:color="auto"/>
        <w:bottom w:val="none" w:sz="0" w:space="0" w:color="auto"/>
        <w:right w:val="none" w:sz="0" w:space="0" w:color="auto"/>
      </w:divBdr>
    </w:div>
    <w:div w:id="1415130106">
      <w:bodyDiv w:val="1"/>
      <w:marLeft w:val="0"/>
      <w:marRight w:val="0"/>
      <w:marTop w:val="0"/>
      <w:marBottom w:val="0"/>
      <w:divBdr>
        <w:top w:val="none" w:sz="0" w:space="0" w:color="auto"/>
        <w:left w:val="none" w:sz="0" w:space="0" w:color="auto"/>
        <w:bottom w:val="none" w:sz="0" w:space="0" w:color="auto"/>
        <w:right w:val="none" w:sz="0" w:space="0" w:color="auto"/>
      </w:divBdr>
    </w:div>
    <w:div w:id="1417362111">
      <w:bodyDiv w:val="1"/>
      <w:marLeft w:val="0"/>
      <w:marRight w:val="0"/>
      <w:marTop w:val="0"/>
      <w:marBottom w:val="0"/>
      <w:divBdr>
        <w:top w:val="none" w:sz="0" w:space="0" w:color="auto"/>
        <w:left w:val="none" w:sz="0" w:space="0" w:color="auto"/>
        <w:bottom w:val="none" w:sz="0" w:space="0" w:color="auto"/>
        <w:right w:val="none" w:sz="0" w:space="0" w:color="auto"/>
      </w:divBdr>
    </w:div>
    <w:div w:id="1418743725">
      <w:bodyDiv w:val="1"/>
      <w:marLeft w:val="0"/>
      <w:marRight w:val="0"/>
      <w:marTop w:val="0"/>
      <w:marBottom w:val="0"/>
      <w:divBdr>
        <w:top w:val="none" w:sz="0" w:space="0" w:color="auto"/>
        <w:left w:val="none" w:sz="0" w:space="0" w:color="auto"/>
        <w:bottom w:val="none" w:sz="0" w:space="0" w:color="auto"/>
        <w:right w:val="none" w:sz="0" w:space="0" w:color="auto"/>
      </w:divBdr>
    </w:div>
    <w:div w:id="1419257272">
      <w:bodyDiv w:val="1"/>
      <w:marLeft w:val="0"/>
      <w:marRight w:val="0"/>
      <w:marTop w:val="0"/>
      <w:marBottom w:val="0"/>
      <w:divBdr>
        <w:top w:val="none" w:sz="0" w:space="0" w:color="auto"/>
        <w:left w:val="none" w:sz="0" w:space="0" w:color="auto"/>
        <w:bottom w:val="none" w:sz="0" w:space="0" w:color="auto"/>
        <w:right w:val="none" w:sz="0" w:space="0" w:color="auto"/>
      </w:divBdr>
    </w:div>
    <w:div w:id="1421025168">
      <w:bodyDiv w:val="1"/>
      <w:marLeft w:val="0"/>
      <w:marRight w:val="0"/>
      <w:marTop w:val="0"/>
      <w:marBottom w:val="0"/>
      <w:divBdr>
        <w:top w:val="none" w:sz="0" w:space="0" w:color="auto"/>
        <w:left w:val="none" w:sz="0" w:space="0" w:color="auto"/>
        <w:bottom w:val="none" w:sz="0" w:space="0" w:color="auto"/>
        <w:right w:val="none" w:sz="0" w:space="0" w:color="auto"/>
      </w:divBdr>
    </w:div>
    <w:div w:id="1421831105">
      <w:bodyDiv w:val="1"/>
      <w:marLeft w:val="0"/>
      <w:marRight w:val="0"/>
      <w:marTop w:val="0"/>
      <w:marBottom w:val="0"/>
      <w:divBdr>
        <w:top w:val="none" w:sz="0" w:space="0" w:color="auto"/>
        <w:left w:val="none" w:sz="0" w:space="0" w:color="auto"/>
        <w:bottom w:val="none" w:sz="0" w:space="0" w:color="auto"/>
        <w:right w:val="none" w:sz="0" w:space="0" w:color="auto"/>
      </w:divBdr>
    </w:div>
    <w:div w:id="1422026850">
      <w:bodyDiv w:val="1"/>
      <w:marLeft w:val="0"/>
      <w:marRight w:val="0"/>
      <w:marTop w:val="0"/>
      <w:marBottom w:val="0"/>
      <w:divBdr>
        <w:top w:val="none" w:sz="0" w:space="0" w:color="auto"/>
        <w:left w:val="none" w:sz="0" w:space="0" w:color="auto"/>
        <w:bottom w:val="none" w:sz="0" w:space="0" w:color="auto"/>
        <w:right w:val="none" w:sz="0" w:space="0" w:color="auto"/>
      </w:divBdr>
    </w:div>
    <w:div w:id="1422263893">
      <w:bodyDiv w:val="1"/>
      <w:marLeft w:val="0"/>
      <w:marRight w:val="0"/>
      <w:marTop w:val="0"/>
      <w:marBottom w:val="0"/>
      <w:divBdr>
        <w:top w:val="none" w:sz="0" w:space="0" w:color="auto"/>
        <w:left w:val="none" w:sz="0" w:space="0" w:color="auto"/>
        <w:bottom w:val="none" w:sz="0" w:space="0" w:color="auto"/>
        <w:right w:val="none" w:sz="0" w:space="0" w:color="auto"/>
      </w:divBdr>
    </w:div>
    <w:div w:id="1423406357">
      <w:bodyDiv w:val="1"/>
      <w:marLeft w:val="0"/>
      <w:marRight w:val="0"/>
      <w:marTop w:val="0"/>
      <w:marBottom w:val="0"/>
      <w:divBdr>
        <w:top w:val="none" w:sz="0" w:space="0" w:color="auto"/>
        <w:left w:val="none" w:sz="0" w:space="0" w:color="auto"/>
        <w:bottom w:val="none" w:sz="0" w:space="0" w:color="auto"/>
        <w:right w:val="none" w:sz="0" w:space="0" w:color="auto"/>
      </w:divBdr>
    </w:div>
    <w:div w:id="1423839173">
      <w:bodyDiv w:val="1"/>
      <w:marLeft w:val="0"/>
      <w:marRight w:val="0"/>
      <w:marTop w:val="0"/>
      <w:marBottom w:val="0"/>
      <w:divBdr>
        <w:top w:val="none" w:sz="0" w:space="0" w:color="auto"/>
        <w:left w:val="none" w:sz="0" w:space="0" w:color="auto"/>
        <w:bottom w:val="none" w:sz="0" w:space="0" w:color="auto"/>
        <w:right w:val="none" w:sz="0" w:space="0" w:color="auto"/>
      </w:divBdr>
    </w:div>
    <w:div w:id="1424179432">
      <w:bodyDiv w:val="1"/>
      <w:marLeft w:val="0"/>
      <w:marRight w:val="0"/>
      <w:marTop w:val="0"/>
      <w:marBottom w:val="0"/>
      <w:divBdr>
        <w:top w:val="none" w:sz="0" w:space="0" w:color="auto"/>
        <w:left w:val="none" w:sz="0" w:space="0" w:color="auto"/>
        <w:bottom w:val="none" w:sz="0" w:space="0" w:color="auto"/>
        <w:right w:val="none" w:sz="0" w:space="0" w:color="auto"/>
      </w:divBdr>
    </w:div>
    <w:div w:id="1428886241">
      <w:bodyDiv w:val="1"/>
      <w:marLeft w:val="0"/>
      <w:marRight w:val="0"/>
      <w:marTop w:val="0"/>
      <w:marBottom w:val="0"/>
      <w:divBdr>
        <w:top w:val="none" w:sz="0" w:space="0" w:color="auto"/>
        <w:left w:val="none" w:sz="0" w:space="0" w:color="auto"/>
        <w:bottom w:val="none" w:sz="0" w:space="0" w:color="auto"/>
        <w:right w:val="none" w:sz="0" w:space="0" w:color="auto"/>
      </w:divBdr>
    </w:div>
    <w:div w:id="1435586666">
      <w:bodyDiv w:val="1"/>
      <w:marLeft w:val="0"/>
      <w:marRight w:val="0"/>
      <w:marTop w:val="0"/>
      <w:marBottom w:val="0"/>
      <w:divBdr>
        <w:top w:val="none" w:sz="0" w:space="0" w:color="auto"/>
        <w:left w:val="none" w:sz="0" w:space="0" w:color="auto"/>
        <w:bottom w:val="none" w:sz="0" w:space="0" w:color="auto"/>
        <w:right w:val="none" w:sz="0" w:space="0" w:color="auto"/>
      </w:divBdr>
    </w:div>
    <w:div w:id="1436242328">
      <w:bodyDiv w:val="1"/>
      <w:marLeft w:val="0"/>
      <w:marRight w:val="0"/>
      <w:marTop w:val="0"/>
      <w:marBottom w:val="0"/>
      <w:divBdr>
        <w:top w:val="none" w:sz="0" w:space="0" w:color="auto"/>
        <w:left w:val="none" w:sz="0" w:space="0" w:color="auto"/>
        <w:bottom w:val="none" w:sz="0" w:space="0" w:color="auto"/>
        <w:right w:val="none" w:sz="0" w:space="0" w:color="auto"/>
      </w:divBdr>
    </w:div>
    <w:div w:id="143694865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7966921">
      <w:bodyDiv w:val="1"/>
      <w:marLeft w:val="0"/>
      <w:marRight w:val="0"/>
      <w:marTop w:val="0"/>
      <w:marBottom w:val="0"/>
      <w:divBdr>
        <w:top w:val="none" w:sz="0" w:space="0" w:color="auto"/>
        <w:left w:val="none" w:sz="0" w:space="0" w:color="auto"/>
        <w:bottom w:val="none" w:sz="0" w:space="0" w:color="auto"/>
        <w:right w:val="none" w:sz="0" w:space="0" w:color="auto"/>
      </w:divBdr>
    </w:div>
    <w:div w:id="1450128154">
      <w:bodyDiv w:val="1"/>
      <w:marLeft w:val="0"/>
      <w:marRight w:val="0"/>
      <w:marTop w:val="0"/>
      <w:marBottom w:val="0"/>
      <w:divBdr>
        <w:top w:val="none" w:sz="0" w:space="0" w:color="auto"/>
        <w:left w:val="none" w:sz="0" w:space="0" w:color="auto"/>
        <w:bottom w:val="none" w:sz="0" w:space="0" w:color="auto"/>
        <w:right w:val="none" w:sz="0" w:space="0" w:color="auto"/>
      </w:divBdr>
    </w:div>
    <w:div w:id="1452942241">
      <w:bodyDiv w:val="1"/>
      <w:marLeft w:val="0"/>
      <w:marRight w:val="0"/>
      <w:marTop w:val="0"/>
      <w:marBottom w:val="0"/>
      <w:divBdr>
        <w:top w:val="none" w:sz="0" w:space="0" w:color="auto"/>
        <w:left w:val="none" w:sz="0" w:space="0" w:color="auto"/>
        <w:bottom w:val="none" w:sz="0" w:space="0" w:color="auto"/>
        <w:right w:val="none" w:sz="0" w:space="0" w:color="auto"/>
      </w:divBdr>
    </w:div>
    <w:div w:id="1454980637">
      <w:bodyDiv w:val="1"/>
      <w:marLeft w:val="0"/>
      <w:marRight w:val="0"/>
      <w:marTop w:val="0"/>
      <w:marBottom w:val="0"/>
      <w:divBdr>
        <w:top w:val="none" w:sz="0" w:space="0" w:color="auto"/>
        <w:left w:val="none" w:sz="0" w:space="0" w:color="auto"/>
        <w:bottom w:val="none" w:sz="0" w:space="0" w:color="auto"/>
        <w:right w:val="none" w:sz="0" w:space="0" w:color="auto"/>
      </w:divBdr>
    </w:div>
    <w:div w:id="1455052557">
      <w:bodyDiv w:val="1"/>
      <w:marLeft w:val="0"/>
      <w:marRight w:val="0"/>
      <w:marTop w:val="0"/>
      <w:marBottom w:val="0"/>
      <w:divBdr>
        <w:top w:val="none" w:sz="0" w:space="0" w:color="auto"/>
        <w:left w:val="none" w:sz="0" w:space="0" w:color="auto"/>
        <w:bottom w:val="none" w:sz="0" w:space="0" w:color="auto"/>
        <w:right w:val="none" w:sz="0" w:space="0" w:color="auto"/>
      </w:divBdr>
    </w:div>
    <w:div w:id="1455521782">
      <w:bodyDiv w:val="1"/>
      <w:marLeft w:val="0"/>
      <w:marRight w:val="0"/>
      <w:marTop w:val="0"/>
      <w:marBottom w:val="0"/>
      <w:divBdr>
        <w:top w:val="none" w:sz="0" w:space="0" w:color="auto"/>
        <w:left w:val="none" w:sz="0" w:space="0" w:color="auto"/>
        <w:bottom w:val="none" w:sz="0" w:space="0" w:color="auto"/>
        <w:right w:val="none" w:sz="0" w:space="0" w:color="auto"/>
      </w:divBdr>
    </w:div>
    <w:div w:id="1456096361">
      <w:bodyDiv w:val="1"/>
      <w:marLeft w:val="0"/>
      <w:marRight w:val="0"/>
      <w:marTop w:val="0"/>
      <w:marBottom w:val="0"/>
      <w:divBdr>
        <w:top w:val="none" w:sz="0" w:space="0" w:color="auto"/>
        <w:left w:val="none" w:sz="0" w:space="0" w:color="auto"/>
        <w:bottom w:val="none" w:sz="0" w:space="0" w:color="auto"/>
        <w:right w:val="none" w:sz="0" w:space="0" w:color="auto"/>
      </w:divBdr>
    </w:div>
    <w:div w:id="1456175715">
      <w:bodyDiv w:val="1"/>
      <w:marLeft w:val="0"/>
      <w:marRight w:val="0"/>
      <w:marTop w:val="0"/>
      <w:marBottom w:val="0"/>
      <w:divBdr>
        <w:top w:val="none" w:sz="0" w:space="0" w:color="auto"/>
        <w:left w:val="none" w:sz="0" w:space="0" w:color="auto"/>
        <w:bottom w:val="none" w:sz="0" w:space="0" w:color="auto"/>
        <w:right w:val="none" w:sz="0" w:space="0" w:color="auto"/>
      </w:divBdr>
    </w:div>
    <w:div w:id="1461997775">
      <w:bodyDiv w:val="1"/>
      <w:marLeft w:val="0"/>
      <w:marRight w:val="0"/>
      <w:marTop w:val="0"/>
      <w:marBottom w:val="0"/>
      <w:divBdr>
        <w:top w:val="none" w:sz="0" w:space="0" w:color="auto"/>
        <w:left w:val="none" w:sz="0" w:space="0" w:color="auto"/>
        <w:bottom w:val="none" w:sz="0" w:space="0" w:color="auto"/>
        <w:right w:val="none" w:sz="0" w:space="0" w:color="auto"/>
      </w:divBdr>
    </w:div>
    <w:div w:id="1464958170">
      <w:bodyDiv w:val="1"/>
      <w:marLeft w:val="0"/>
      <w:marRight w:val="0"/>
      <w:marTop w:val="0"/>
      <w:marBottom w:val="0"/>
      <w:divBdr>
        <w:top w:val="none" w:sz="0" w:space="0" w:color="auto"/>
        <w:left w:val="none" w:sz="0" w:space="0" w:color="auto"/>
        <w:bottom w:val="none" w:sz="0" w:space="0" w:color="auto"/>
        <w:right w:val="none" w:sz="0" w:space="0" w:color="auto"/>
      </w:divBdr>
    </w:div>
    <w:div w:id="1470048499">
      <w:bodyDiv w:val="1"/>
      <w:marLeft w:val="0"/>
      <w:marRight w:val="0"/>
      <w:marTop w:val="0"/>
      <w:marBottom w:val="0"/>
      <w:divBdr>
        <w:top w:val="none" w:sz="0" w:space="0" w:color="auto"/>
        <w:left w:val="none" w:sz="0" w:space="0" w:color="auto"/>
        <w:bottom w:val="none" w:sz="0" w:space="0" w:color="auto"/>
        <w:right w:val="none" w:sz="0" w:space="0" w:color="auto"/>
      </w:divBdr>
    </w:div>
    <w:div w:id="1471048401">
      <w:bodyDiv w:val="1"/>
      <w:marLeft w:val="0"/>
      <w:marRight w:val="0"/>
      <w:marTop w:val="0"/>
      <w:marBottom w:val="0"/>
      <w:divBdr>
        <w:top w:val="none" w:sz="0" w:space="0" w:color="auto"/>
        <w:left w:val="none" w:sz="0" w:space="0" w:color="auto"/>
        <w:bottom w:val="none" w:sz="0" w:space="0" w:color="auto"/>
        <w:right w:val="none" w:sz="0" w:space="0" w:color="auto"/>
      </w:divBdr>
    </w:div>
    <w:div w:id="1473912619">
      <w:bodyDiv w:val="1"/>
      <w:marLeft w:val="0"/>
      <w:marRight w:val="0"/>
      <w:marTop w:val="0"/>
      <w:marBottom w:val="0"/>
      <w:divBdr>
        <w:top w:val="none" w:sz="0" w:space="0" w:color="auto"/>
        <w:left w:val="none" w:sz="0" w:space="0" w:color="auto"/>
        <w:bottom w:val="none" w:sz="0" w:space="0" w:color="auto"/>
        <w:right w:val="none" w:sz="0" w:space="0" w:color="auto"/>
      </w:divBdr>
    </w:div>
    <w:div w:id="1476604908">
      <w:bodyDiv w:val="1"/>
      <w:marLeft w:val="0"/>
      <w:marRight w:val="0"/>
      <w:marTop w:val="0"/>
      <w:marBottom w:val="0"/>
      <w:divBdr>
        <w:top w:val="none" w:sz="0" w:space="0" w:color="auto"/>
        <w:left w:val="none" w:sz="0" w:space="0" w:color="auto"/>
        <w:bottom w:val="none" w:sz="0" w:space="0" w:color="auto"/>
        <w:right w:val="none" w:sz="0" w:space="0" w:color="auto"/>
      </w:divBdr>
    </w:div>
    <w:div w:id="1478913870">
      <w:bodyDiv w:val="1"/>
      <w:marLeft w:val="0"/>
      <w:marRight w:val="0"/>
      <w:marTop w:val="0"/>
      <w:marBottom w:val="0"/>
      <w:divBdr>
        <w:top w:val="none" w:sz="0" w:space="0" w:color="auto"/>
        <w:left w:val="none" w:sz="0" w:space="0" w:color="auto"/>
        <w:bottom w:val="none" w:sz="0" w:space="0" w:color="auto"/>
        <w:right w:val="none" w:sz="0" w:space="0" w:color="auto"/>
      </w:divBdr>
    </w:div>
    <w:div w:id="1488858597">
      <w:bodyDiv w:val="1"/>
      <w:marLeft w:val="0"/>
      <w:marRight w:val="0"/>
      <w:marTop w:val="0"/>
      <w:marBottom w:val="0"/>
      <w:divBdr>
        <w:top w:val="none" w:sz="0" w:space="0" w:color="auto"/>
        <w:left w:val="none" w:sz="0" w:space="0" w:color="auto"/>
        <w:bottom w:val="none" w:sz="0" w:space="0" w:color="auto"/>
        <w:right w:val="none" w:sz="0" w:space="0" w:color="auto"/>
      </w:divBdr>
    </w:div>
    <w:div w:id="1490555498">
      <w:bodyDiv w:val="1"/>
      <w:marLeft w:val="0"/>
      <w:marRight w:val="0"/>
      <w:marTop w:val="0"/>
      <w:marBottom w:val="0"/>
      <w:divBdr>
        <w:top w:val="none" w:sz="0" w:space="0" w:color="auto"/>
        <w:left w:val="none" w:sz="0" w:space="0" w:color="auto"/>
        <w:bottom w:val="none" w:sz="0" w:space="0" w:color="auto"/>
        <w:right w:val="none" w:sz="0" w:space="0" w:color="auto"/>
      </w:divBdr>
    </w:div>
    <w:div w:id="1491485629">
      <w:bodyDiv w:val="1"/>
      <w:marLeft w:val="0"/>
      <w:marRight w:val="0"/>
      <w:marTop w:val="0"/>
      <w:marBottom w:val="0"/>
      <w:divBdr>
        <w:top w:val="none" w:sz="0" w:space="0" w:color="auto"/>
        <w:left w:val="none" w:sz="0" w:space="0" w:color="auto"/>
        <w:bottom w:val="none" w:sz="0" w:space="0" w:color="auto"/>
        <w:right w:val="none" w:sz="0" w:space="0" w:color="auto"/>
      </w:divBdr>
    </w:div>
    <w:div w:id="1494417994">
      <w:bodyDiv w:val="1"/>
      <w:marLeft w:val="0"/>
      <w:marRight w:val="0"/>
      <w:marTop w:val="0"/>
      <w:marBottom w:val="0"/>
      <w:divBdr>
        <w:top w:val="none" w:sz="0" w:space="0" w:color="auto"/>
        <w:left w:val="none" w:sz="0" w:space="0" w:color="auto"/>
        <w:bottom w:val="none" w:sz="0" w:space="0" w:color="auto"/>
        <w:right w:val="none" w:sz="0" w:space="0" w:color="auto"/>
      </w:divBdr>
    </w:div>
    <w:div w:id="1494486818">
      <w:bodyDiv w:val="1"/>
      <w:marLeft w:val="0"/>
      <w:marRight w:val="0"/>
      <w:marTop w:val="0"/>
      <w:marBottom w:val="0"/>
      <w:divBdr>
        <w:top w:val="none" w:sz="0" w:space="0" w:color="auto"/>
        <w:left w:val="none" w:sz="0" w:space="0" w:color="auto"/>
        <w:bottom w:val="none" w:sz="0" w:space="0" w:color="auto"/>
        <w:right w:val="none" w:sz="0" w:space="0" w:color="auto"/>
      </w:divBdr>
    </w:div>
    <w:div w:id="1500002646">
      <w:bodyDiv w:val="1"/>
      <w:marLeft w:val="0"/>
      <w:marRight w:val="0"/>
      <w:marTop w:val="0"/>
      <w:marBottom w:val="0"/>
      <w:divBdr>
        <w:top w:val="none" w:sz="0" w:space="0" w:color="auto"/>
        <w:left w:val="none" w:sz="0" w:space="0" w:color="auto"/>
        <w:bottom w:val="none" w:sz="0" w:space="0" w:color="auto"/>
        <w:right w:val="none" w:sz="0" w:space="0" w:color="auto"/>
      </w:divBdr>
    </w:div>
    <w:div w:id="1500123669">
      <w:bodyDiv w:val="1"/>
      <w:marLeft w:val="0"/>
      <w:marRight w:val="0"/>
      <w:marTop w:val="0"/>
      <w:marBottom w:val="0"/>
      <w:divBdr>
        <w:top w:val="none" w:sz="0" w:space="0" w:color="auto"/>
        <w:left w:val="none" w:sz="0" w:space="0" w:color="auto"/>
        <w:bottom w:val="none" w:sz="0" w:space="0" w:color="auto"/>
        <w:right w:val="none" w:sz="0" w:space="0" w:color="auto"/>
      </w:divBdr>
    </w:div>
    <w:div w:id="1501001280">
      <w:bodyDiv w:val="1"/>
      <w:marLeft w:val="0"/>
      <w:marRight w:val="0"/>
      <w:marTop w:val="0"/>
      <w:marBottom w:val="0"/>
      <w:divBdr>
        <w:top w:val="none" w:sz="0" w:space="0" w:color="auto"/>
        <w:left w:val="none" w:sz="0" w:space="0" w:color="auto"/>
        <w:bottom w:val="none" w:sz="0" w:space="0" w:color="auto"/>
        <w:right w:val="none" w:sz="0" w:space="0" w:color="auto"/>
      </w:divBdr>
    </w:div>
    <w:div w:id="1504736933">
      <w:bodyDiv w:val="1"/>
      <w:marLeft w:val="0"/>
      <w:marRight w:val="0"/>
      <w:marTop w:val="0"/>
      <w:marBottom w:val="0"/>
      <w:divBdr>
        <w:top w:val="none" w:sz="0" w:space="0" w:color="auto"/>
        <w:left w:val="none" w:sz="0" w:space="0" w:color="auto"/>
        <w:bottom w:val="none" w:sz="0" w:space="0" w:color="auto"/>
        <w:right w:val="none" w:sz="0" w:space="0" w:color="auto"/>
      </w:divBdr>
    </w:div>
    <w:div w:id="1514152252">
      <w:bodyDiv w:val="1"/>
      <w:marLeft w:val="0"/>
      <w:marRight w:val="0"/>
      <w:marTop w:val="0"/>
      <w:marBottom w:val="0"/>
      <w:divBdr>
        <w:top w:val="none" w:sz="0" w:space="0" w:color="auto"/>
        <w:left w:val="none" w:sz="0" w:space="0" w:color="auto"/>
        <w:bottom w:val="none" w:sz="0" w:space="0" w:color="auto"/>
        <w:right w:val="none" w:sz="0" w:space="0" w:color="auto"/>
      </w:divBdr>
    </w:div>
    <w:div w:id="1515152609">
      <w:bodyDiv w:val="1"/>
      <w:marLeft w:val="0"/>
      <w:marRight w:val="0"/>
      <w:marTop w:val="0"/>
      <w:marBottom w:val="0"/>
      <w:divBdr>
        <w:top w:val="none" w:sz="0" w:space="0" w:color="auto"/>
        <w:left w:val="none" w:sz="0" w:space="0" w:color="auto"/>
        <w:bottom w:val="none" w:sz="0" w:space="0" w:color="auto"/>
        <w:right w:val="none" w:sz="0" w:space="0" w:color="auto"/>
      </w:divBdr>
    </w:div>
    <w:div w:id="1518932409">
      <w:bodyDiv w:val="1"/>
      <w:marLeft w:val="0"/>
      <w:marRight w:val="0"/>
      <w:marTop w:val="0"/>
      <w:marBottom w:val="0"/>
      <w:divBdr>
        <w:top w:val="none" w:sz="0" w:space="0" w:color="auto"/>
        <w:left w:val="none" w:sz="0" w:space="0" w:color="auto"/>
        <w:bottom w:val="none" w:sz="0" w:space="0" w:color="auto"/>
        <w:right w:val="none" w:sz="0" w:space="0" w:color="auto"/>
      </w:divBdr>
    </w:div>
    <w:div w:id="1521160410">
      <w:bodyDiv w:val="1"/>
      <w:marLeft w:val="0"/>
      <w:marRight w:val="0"/>
      <w:marTop w:val="0"/>
      <w:marBottom w:val="0"/>
      <w:divBdr>
        <w:top w:val="none" w:sz="0" w:space="0" w:color="auto"/>
        <w:left w:val="none" w:sz="0" w:space="0" w:color="auto"/>
        <w:bottom w:val="none" w:sz="0" w:space="0" w:color="auto"/>
        <w:right w:val="none" w:sz="0" w:space="0" w:color="auto"/>
      </w:divBdr>
    </w:div>
    <w:div w:id="1521430883">
      <w:bodyDiv w:val="1"/>
      <w:marLeft w:val="0"/>
      <w:marRight w:val="0"/>
      <w:marTop w:val="0"/>
      <w:marBottom w:val="0"/>
      <w:divBdr>
        <w:top w:val="none" w:sz="0" w:space="0" w:color="auto"/>
        <w:left w:val="none" w:sz="0" w:space="0" w:color="auto"/>
        <w:bottom w:val="none" w:sz="0" w:space="0" w:color="auto"/>
        <w:right w:val="none" w:sz="0" w:space="0" w:color="auto"/>
      </w:divBdr>
    </w:div>
    <w:div w:id="1521973743">
      <w:bodyDiv w:val="1"/>
      <w:marLeft w:val="0"/>
      <w:marRight w:val="0"/>
      <w:marTop w:val="0"/>
      <w:marBottom w:val="0"/>
      <w:divBdr>
        <w:top w:val="none" w:sz="0" w:space="0" w:color="auto"/>
        <w:left w:val="none" w:sz="0" w:space="0" w:color="auto"/>
        <w:bottom w:val="none" w:sz="0" w:space="0" w:color="auto"/>
        <w:right w:val="none" w:sz="0" w:space="0" w:color="auto"/>
      </w:divBdr>
    </w:div>
    <w:div w:id="1523128527">
      <w:bodyDiv w:val="1"/>
      <w:marLeft w:val="0"/>
      <w:marRight w:val="0"/>
      <w:marTop w:val="0"/>
      <w:marBottom w:val="0"/>
      <w:divBdr>
        <w:top w:val="none" w:sz="0" w:space="0" w:color="auto"/>
        <w:left w:val="none" w:sz="0" w:space="0" w:color="auto"/>
        <w:bottom w:val="none" w:sz="0" w:space="0" w:color="auto"/>
        <w:right w:val="none" w:sz="0" w:space="0" w:color="auto"/>
      </w:divBdr>
    </w:div>
    <w:div w:id="1526557211">
      <w:bodyDiv w:val="1"/>
      <w:marLeft w:val="0"/>
      <w:marRight w:val="0"/>
      <w:marTop w:val="0"/>
      <w:marBottom w:val="0"/>
      <w:divBdr>
        <w:top w:val="none" w:sz="0" w:space="0" w:color="auto"/>
        <w:left w:val="none" w:sz="0" w:space="0" w:color="auto"/>
        <w:bottom w:val="none" w:sz="0" w:space="0" w:color="auto"/>
        <w:right w:val="none" w:sz="0" w:space="0" w:color="auto"/>
      </w:divBdr>
    </w:div>
    <w:div w:id="1526868021">
      <w:bodyDiv w:val="1"/>
      <w:marLeft w:val="0"/>
      <w:marRight w:val="0"/>
      <w:marTop w:val="0"/>
      <w:marBottom w:val="0"/>
      <w:divBdr>
        <w:top w:val="none" w:sz="0" w:space="0" w:color="auto"/>
        <w:left w:val="none" w:sz="0" w:space="0" w:color="auto"/>
        <w:bottom w:val="none" w:sz="0" w:space="0" w:color="auto"/>
        <w:right w:val="none" w:sz="0" w:space="0" w:color="auto"/>
      </w:divBdr>
    </w:div>
    <w:div w:id="1530533528">
      <w:bodyDiv w:val="1"/>
      <w:marLeft w:val="0"/>
      <w:marRight w:val="0"/>
      <w:marTop w:val="0"/>
      <w:marBottom w:val="0"/>
      <w:divBdr>
        <w:top w:val="none" w:sz="0" w:space="0" w:color="auto"/>
        <w:left w:val="none" w:sz="0" w:space="0" w:color="auto"/>
        <w:bottom w:val="none" w:sz="0" w:space="0" w:color="auto"/>
        <w:right w:val="none" w:sz="0" w:space="0" w:color="auto"/>
      </w:divBdr>
    </w:div>
    <w:div w:id="1533609504">
      <w:bodyDiv w:val="1"/>
      <w:marLeft w:val="0"/>
      <w:marRight w:val="0"/>
      <w:marTop w:val="0"/>
      <w:marBottom w:val="0"/>
      <w:divBdr>
        <w:top w:val="none" w:sz="0" w:space="0" w:color="auto"/>
        <w:left w:val="none" w:sz="0" w:space="0" w:color="auto"/>
        <w:bottom w:val="none" w:sz="0" w:space="0" w:color="auto"/>
        <w:right w:val="none" w:sz="0" w:space="0" w:color="auto"/>
      </w:divBdr>
    </w:div>
    <w:div w:id="1539121366">
      <w:bodyDiv w:val="1"/>
      <w:marLeft w:val="0"/>
      <w:marRight w:val="0"/>
      <w:marTop w:val="0"/>
      <w:marBottom w:val="0"/>
      <w:divBdr>
        <w:top w:val="none" w:sz="0" w:space="0" w:color="auto"/>
        <w:left w:val="none" w:sz="0" w:space="0" w:color="auto"/>
        <w:bottom w:val="none" w:sz="0" w:space="0" w:color="auto"/>
        <w:right w:val="none" w:sz="0" w:space="0" w:color="auto"/>
      </w:divBdr>
    </w:div>
    <w:div w:id="1539200364">
      <w:bodyDiv w:val="1"/>
      <w:marLeft w:val="0"/>
      <w:marRight w:val="0"/>
      <w:marTop w:val="0"/>
      <w:marBottom w:val="0"/>
      <w:divBdr>
        <w:top w:val="none" w:sz="0" w:space="0" w:color="auto"/>
        <w:left w:val="none" w:sz="0" w:space="0" w:color="auto"/>
        <w:bottom w:val="none" w:sz="0" w:space="0" w:color="auto"/>
        <w:right w:val="none" w:sz="0" w:space="0" w:color="auto"/>
      </w:divBdr>
    </w:div>
    <w:div w:id="1541669391">
      <w:bodyDiv w:val="1"/>
      <w:marLeft w:val="0"/>
      <w:marRight w:val="0"/>
      <w:marTop w:val="0"/>
      <w:marBottom w:val="0"/>
      <w:divBdr>
        <w:top w:val="none" w:sz="0" w:space="0" w:color="auto"/>
        <w:left w:val="none" w:sz="0" w:space="0" w:color="auto"/>
        <w:bottom w:val="none" w:sz="0" w:space="0" w:color="auto"/>
        <w:right w:val="none" w:sz="0" w:space="0" w:color="auto"/>
      </w:divBdr>
    </w:div>
    <w:div w:id="1546943044">
      <w:bodyDiv w:val="1"/>
      <w:marLeft w:val="0"/>
      <w:marRight w:val="0"/>
      <w:marTop w:val="0"/>
      <w:marBottom w:val="0"/>
      <w:divBdr>
        <w:top w:val="none" w:sz="0" w:space="0" w:color="auto"/>
        <w:left w:val="none" w:sz="0" w:space="0" w:color="auto"/>
        <w:bottom w:val="none" w:sz="0" w:space="0" w:color="auto"/>
        <w:right w:val="none" w:sz="0" w:space="0" w:color="auto"/>
      </w:divBdr>
    </w:div>
    <w:div w:id="1559051069">
      <w:bodyDiv w:val="1"/>
      <w:marLeft w:val="0"/>
      <w:marRight w:val="0"/>
      <w:marTop w:val="0"/>
      <w:marBottom w:val="0"/>
      <w:divBdr>
        <w:top w:val="none" w:sz="0" w:space="0" w:color="auto"/>
        <w:left w:val="none" w:sz="0" w:space="0" w:color="auto"/>
        <w:bottom w:val="none" w:sz="0" w:space="0" w:color="auto"/>
        <w:right w:val="none" w:sz="0" w:space="0" w:color="auto"/>
      </w:divBdr>
    </w:div>
    <w:div w:id="1567111560">
      <w:bodyDiv w:val="1"/>
      <w:marLeft w:val="0"/>
      <w:marRight w:val="0"/>
      <w:marTop w:val="0"/>
      <w:marBottom w:val="0"/>
      <w:divBdr>
        <w:top w:val="none" w:sz="0" w:space="0" w:color="auto"/>
        <w:left w:val="none" w:sz="0" w:space="0" w:color="auto"/>
        <w:bottom w:val="none" w:sz="0" w:space="0" w:color="auto"/>
        <w:right w:val="none" w:sz="0" w:space="0" w:color="auto"/>
      </w:divBdr>
    </w:div>
    <w:div w:id="1568489615">
      <w:bodyDiv w:val="1"/>
      <w:marLeft w:val="0"/>
      <w:marRight w:val="0"/>
      <w:marTop w:val="0"/>
      <w:marBottom w:val="0"/>
      <w:divBdr>
        <w:top w:val="none" w:sz="0" w:space="0" w:color="auto"/>
        <w:left w:val="none" w:sz="0" w:space="0" w:color="auto"/>
        <w:bottom w:val="none" w:sz="0" w:space="0" w:color="auto"/>
        <w:right w:val="none" w:sz="0" w:space="0" w:color="auto"/>
      </w:divBdr>
    </w:div>
    <w:div w:id="1569143686">
      <w:bodyDiv w:val="1"/>
      <w:marLeft w:val="0"/>
      <w:marRight w:val="0"/>
      <w:marTop w:val="0"/>
      <w:marBottom w:val="0"/>
      <w:divBdr>
        <w:top w:val="none" w:sz="0" w:space="0" w:color="auto"/>
        <w:left w:val="none" w:sz="0" w:space="0" w:color="auto"/>
        <w:bottom w:val="none" w:sz="0" w:space="0" w:color="auto"/>
        <w:right w:val="none" w:sz="0" w:space="0" w:color="auto"/>
      </w:divBdr>
    </w:div>
    <w:div w:id="1570001343">
      <w:bodyDiv w:val="1"/>
      <w:marLeft w:val="0"/>
      <w:marRight w:val="0"/>
      <w:marTop w:val="0"/>
      <w:marBottom w:val="0"/>
      <w:divBdr>
        <w:top w:val="none" w:sz="0" w:space="0" w:color="auto"/>
        <w:left w:val="none" w:sz="0" w:space="0" w:color="auto"/>
        <w:bottom w:val="none" w:sz="0" w:space="0" w:color="auto"/>
        <w:right w:val="none" w:sz="0" w:space="0" w:color="auto"/>
      </w:divBdr>
    </w:div>
    <w:div w:id="1574924796">
      <w:bodyDiv w:val="1"/>
      <w:marLeft w:val="0"/>
      <w:marRight w:val="0"/>
      <w:marTop w:val="0"/>
      <w:marBottom w:val="0"/>
      <w:divBdr>
        <w:top w:val="none" w:sz="0" w:space="0" w:color="auto"/>
        <w:left w:val="none" w:sz="0" w:space="0" w:color="auto"/>
        <w:bottom w:val="none" w:sz="0" w:space="0" w:color="auto"/>
        <w:right w:val="none" w:sz="0" w:space="0" w:color="auto"/>
      </w:divBdr>
    </w:div>
    <w:div w:id="1574926534">
      <w:bodyDiv w:val="1"/>
      <w:marLeft w:val="0"/>
      <w:marRight w:val="0"/>
      <w:marTop w:val="0"/>
      <w:marBottom w:val="0"/>
      <w:divBdr>
        <w:top w:val="none" w:sz="0" w:space="0" w:color="auto"/>
        <w:left w:val="none" w:sz="0" w:space="0" w:color="auto"/>
        <w:bottom w:val="none" w:sz="0" w:space="0" w:color="auto"/>
        <w:right w:val="none" w:sz="0" w:space="0" w:color="auto"/>
      </w:divBdr>
    </w:div>
    <w:div w:id="1579094548">
      <w:bodyDiv w:val="1"/>
      <w:marLeft w:val="0"/>
      <w:marRight w:val="0"/>
      <w:marTop w:val="0"/>
      <w:marBottom w:val="0"/>
      <w:divBdr>
        <w:top w:val="none" w:sz="0" w:space="0" w:color="auto"/>
        <w:left w:val="none" w:sz="0" w:space="0" w:color="auto"/>
        <w:bottom w:val="none" w:sz="0" w:space="0" w:color="auto"/>
        <w:right w:val="none" w:sz="0" w:space="0" w:color="auto"/>
      </w:divBdr>
    </w:div>
    <w:div w:id="1580482455">
      <w:bodyDiv w:val="1"/>
      <w:marLeft w:val="0"/>
      <w:marRight w:val="0"/>
      <w:marTop w:val="0"/>
      <w:marBottom w:val="0"/>
      <w:divBdr>
        <w:top w:val="none" w:sz="0" w:space="0" w:color="auto"/>
        <w:left w:val="none" w:sz="0" w:space="0" w:color="auto"/>
        <w:bottom w:val="none" w:sz="0" w:space="0" w:color="auto"/>
        <w:right w:val="none" w:sz="0" w:space="0" w:color="auto"/>
      </w:divBdr>
    </w:div>
    <w:div w:id="1580553482">
      <w:bodyDiv w:val="1"/>
      <w:marLeft w:val="0"/>
      <w:marRight w:val="0"/>
      <w:marTop w:val="0"/>
      <w:marBottom w:val="0"/>
      <w:divBdr>
        <w:top w:val="none" w:sz="0" w:space="0" w:color="auto"/>
        <w:left w:val="none" w:sz="0" w:space="0" w:color="auto"/>
        <w:bottom w:val="none" w:sz="0" w:space="0" w:color="auto"/>
        <w:right w:val="none" w:sz="0" w:space="0" w:color="auto"/>
      </w:divBdr>
    </w:div>
    <w:div w:id="1582836212">
      <w:bodyDiv w:val="1"/>
      <w:marLeft w:val="0"/>
      <w:marRight w:val="0"/>
      <w:marTop w:val="0"/>
      <w:marBottom w:val="0"/>
      <w:divBdr>
        <w:top w:val="none" w:sz="0" w:space="0" w:color="auto"/>
        <w:left w:val="none" w:sz="0" w:space="0" w:color="auto"/>
        <w:bottom w:val="none" w:sz="0" w:space="0" w:color="auto"/>
        <w:right w:val="none" w:sz="0" w:space="0" w:color="auto"/>
      </w:divBdr>
    </w:div>
    <w:div w:id="1587573763">
      <w:bodyDiv w:val="1"/>
      <w:marLeft w:val="0"/>
      <w:marRight w:val="0"/>
      <w:marTop w:val="0"/>
      <w:marBottom w:val="0"/>
      <w:divBdr>
        <w:top w:val="none" w:sz="0" w:space="0" w:color="auto"/>
        <w:left w:val="none" w:sz="0" w:space="0" w:color="auto"/>
        <w:bottom w:val="none" w:sz="0" w:space="0" w:color="auto"/>
        <w:right w:val="none" w:sz="0" w:space="0" w:color="auto"/>
      </w:divBdr>
    </w:div>
    <w:div w:id="1587961528">
      <w:bodyDiv w:val="1"/>
      <w:marLeft w:val="0"/>
      <w:marRight w:val="0"/>
      <w:marTop w:val="0"/>
      <w:marBottom w:val="0"/>
      <w:divBdr>
        <w:top w:val="none" w:sz="0" w:space="0" w:color="auto"/>
        <w:left w:val="none" w:sz="0" w:space="0" w:color="auto"/>
        <w:bottom w:val="none" w:sz="0" w:space="0" w:color="auto"/>
        <w:right w:val="none" w:sz="0" w:space="0" w:color="auto"/>
      </w:divBdr>
    </w:div>
    <w:div w:id="1593122570">
      <w:bodyDiv w:val="1"/>
      <w:marLeft w:val="0"/>
      <w:marRight w:val="0"/>
      <w:marTop w:val="0"/>
      <w:marBottom w:val="0"/>
      <w:divBdr>
        <w:top w:val="none" w:sz="0" w:space="0" w:color="auto"/>
        <w:left w:val="none" w:sz="0" w:space="0" w:color="auto"/>
        <w:bottom w:val="none" w:sz="0" w:space="0" w:color="auto"/>
        <w:right w:val="none" w:sz="0" w:space="0" w:color="auto"/>
      </w:divBdr>
    </w:div>
    <w:div w:id="1596593927">
      <w:bodyDiv w:val="1"/>
      <w:marLeft w:val="0"/>
      <w:marRight w:val="0"/>
      <w:marTop w:val="0"/>
      <w:marBottom w:val="0"/>
      <w:divBdr>
        <w:top w:val="none" w:sz="0" w:space="0" w:color="auto"/>
        <w:left w:val="none" w:sz="0" w:space="0" w:color="auto"/>
        <w:bottom w:val="none" w:sz="0" w:space="0" w:color="auto"/>
        <w:right w:val="none" w:sz="0" w:space="0" w:color="auto"/>
      </w:divBdr>
    </w:div>
    <w:div w:id="1598757389">
      <w:bodyDiv w:val="1"/>
      <w:marLeft w:val="0"/>
      <w:marRight w:val="0"/>
      <w:marTop w:val="0"/>
      <w:marBottom w:val="0"/>
      <w:divBdr>
        <w:top w:val="none" w:sz="0" w:space="0" w:color="auto"/>
        <w:left w:val="none" w:sz="0" w:space="0" w:color="auto"/>
        <w:bottom w:val="none" w:sz="0" w:space="0" w:color="auto"/>
        <w:right w:val="none" w:sz="0" w:space="0" w:color="auto"/>
      </w:divBdr>
    </w:div>
    <w:div w:id="1604147217">
      <w:bodyDiv w:val="1"/>
      <w:marLeft w:val="0"/>
      <w:marRight w:val="0"/>
      <w:marTop w:val="0"/>
      <w:marBottom w:val="0"/>
      <w:divBdr>
        <w:top w:val="none" w:sz="0" w:space="0" w:color="auto"/>
        <w:left w:val="none" w:sz="0" w:space="0" w:color="auto"/>
        <w:bottom w:val="none" w:sz="0" w:space="0" w:color="auto"/>
        <w:right w:val="none" w:sz="0" w:space="0" w:color="auto"/>
      </w:divBdr>
    </w:div>
    <w:div w:id="1606959376">
      <w:bodyDiv w:val="1"/>
      <w:marLeft w:val="0"/>
      <w:marRight w:val="0"/>
      <w:marTop w:val="0"/>
      <w:marBottom w:val="0"/>
      <w:divBdr>
        <w:top w:val="none" w:sz="0" w:space="0" w:color="auto"/>
        <w:left w:val="none" w:sz="0" w:space="0" w:color="auto"/>
        <w:bottom w:val="none" w:sz="0" w:space="0" w:color="auto"/>
        <w:right w:val="none" w:sz="0" w:space="0" w:color="auto"/>
      </w:divBdr>
    </w:div>
    <w:div w:id="1611356873">
      <w:bodyDiv w:val="1"/>
      <w:marLeft w:val="0"/>
      <w:marRight w:val="0"/>
      <w:marTop w:val="0"/>
      <w:marBottom w:val="0"/>
      <w:divBdr>
        <w:top w:val="none" w:sz="0" w:space="0" w:color="auto"/>
        <w:left w:val="none" w:sz="0" w:space="0" w:color="auto"/>
        <w:bottom w:val="none" w:sz="0" w:space="0" w:color="auto"/>
        <w:right w:val="none" w:sz="0" w:space="0" w:color="auto"/>
      </w:divBdr>
    </w:div>
    <w:div w:id="1613247988">
      <w:bodyDiv w:val="1"/>
      <w:marLeft w:val="0"/>
      <w:marRight w:val="0"/>
      <w:marTop w:val="0"/>
      <w:marBottom w:val="0"/>
      <w:divBdr>
        <w:top w:val="none" w:sz="0" w:space="0" w:color="auto"/>
        <w:left w:val="none" w:sz="0" w:space="0" w:color="auto"/>
        <w:bottom w:val="none" w:sz="0" w:space="0" w:color="auto"/>
        <w:right w:val="none" w:sz="0" w:space="0" w:color="auto"/>
      </w:divBdr>
    </w:div>
    <w:div w:id="1614626100">
      <w:bodyDiv w:val="1"/>
      <w:marLeft w:val="0"/>
      <w:marRight w:val="0"/>
      <w:marTop w:val="0"/>
      <w:marBottom w:val="0"/>
      <w:divBdr>
        <w:top w:val="none" w:sz="0" w:space="0" w:color="auto"/>
        <w:left w:val="none" w:sz="0" w:space="0" w:color="auto"/>
        <w:bottom w:val="none" w:sz="0" w:space="0" w:color="auto"/>
        <w:right w:val="none" w:sz="0" w:space="0" w:color="auto"/>
      </w:divBdr>
    </w:div>
    <w:div w:id="1614897880">
      <w:bodyDiv w:val="1"/>
      <w:marLeft w:val="0"/>
      <w:marRight w:val="0"/>
      <w:marTop w:val="0"/>
      <w:marBottom w:val="0"/>
      <w:divBdr>
        <w:top w:val="none" w:sz="0" w:space="0" w:color="auto"/>
        <w:left w:val="none" w:sz="0" w:space="0" w:color="auto"/>
        <w:bottom w:val="none" w:sz="0" w:space="0" w:color="auto"/>
        <w:right w:val="none" w:sz="0" w:space="0" w:color="auto"/>
      </w:divBdr>
    </w:div>
    <w:div w:id="1620382118">
      <w:bodyDiv w:val="1"/>
      <w:marLeft w:val="0"/>
      <w:marRight w:val="0"/>
      <w:marTop w:val="0"/>
      <w:marBottom w:val="0"/>
      <w:divBdr>
        <w:top w:val="none" w:sz="0" w:space="0" w:color="auto"/>
        <w:left w:val="none" w:sz="0" w:space="0" w:color="auto"/>
        <w:bottom w:val="none" w:sz="0" w:space="0" w:color="auto"/>
        <w:right w:val="none" w:sz="0" w:space="0" w:color="auto"/>
      </w:divBdr>
    </w:div>
    <w:div w:id="162098734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476363">
      <w:bodyDiv w:val="1"/>
      <w:marLeft w:val="0"/>
      <w:marRight w:val="0"/>
      <w:marTop w:val="0"/>
      <w:marBottom w:val="0"/>
      <w:divBdr>
        <w:top w:val="none" w:sz="0" w:space="0" w:color="auto"/>
        <w:left w:val="none" w:sz="0" w:space="0" w:color="auto"/>
        <w:bottom w:val="none" w:sz="0" w:space="0" w:color="auto"/>
        <w:right w:val="none" w:sz="0" w:space="0" w:color="auto"/>
      </w:divBdr>
    </w:div>
    <w:div w:id="1631394681">
      <w:bodyDiv w:val="1"/>
      <w:marLeft w:val="0"/>
      <w:marRight w:val="0"/>
      <w:marTop w:val="0"/>
      <w:marBottom w:val="0"/>
      <w:divBdr>
        <w:top w:val="none" w:sz="0" w:space="0" w:color="auto"/>
        <w:left w:val="none" w:sz="0" w:space="0" w:color="auto"/>
        <w:bottom w:val="none" w:sz="0" w:space="0" w:color="auto"/>
        <w:right w:val="none" w:sz="0" w:space="0" w:color="auto"/>
      </w:divBdr>
    </w:div>
    <w:div w:id="1637181609">
      <w:bodyDiv w:val="1"/>
      <w:marLeft w:val="0"/>
      <w:marRight w:val="0"/>
      <w:marTop w:val="0"/>
      <w:marBottom w:val="0"/>
      <w:divBdr>
        <w:top w:val="none" w:sz="0" w:space="0" w:color="auto"/>
        <w:left w:val="none" w:sz="0" w:space="0" w:color="auto"/>
        <w:bottom w:val="none" w:sz="0" w:space="0" w:color="auto"/>
        <w:right w:val="none" w:sz="0" w:space="0" w:color="auto"/>
      </w:divBdr>
    </w:div>
    <w:div w:id="1637758352">
      <w:bodyDiv w:val="1"/>
      <w:marLeft w:val="0"/>
      <w:marRight w:val="0"/>
      <w:marTop w:val="0"/>
      <w:marBottom w:val="0"/>
      <w:divBdr>
        <w:top w:val="none" w:sz="0" w:space="0" w:color="auto"/>
        <w:left w:val="none" w:sz="0" w:space="0" w:color="auto"/>
        <w:bottom w:val="none" w:sz="0" w:space="0" w:color="auto"/>
        <w:right w:val="none" w:sz="0" w:space="0" w:color="auto"/>
      </w:divBdr>
    </w:div>
    <w:div w:id="1644508084">
      <w:bodyDiv w:val="1"/>
      <w:marLeft w:val="0"/>
      <w:marRight w:val="0"/>
      <w:marTop w:val="0"/>
      <w:marBottom w:val="0"/>
      <w:divBdr>
        <w:top w:val="none" w:sz="0" w:space="0" w:color="auto"/>
        <w:left w:val="none" w:sz="0" w:space="0" w:color="auto"/>
        <w:bottom w:val="none" w:sz="0" w:space="0" w:color="auto"/>
        <w:right w:val="none" w:sz="0" w:space="0" w:color="auto"/>
      </w:divBdr>
    </w:div>
    <w:div w:id="1650397332">
      <w:bodyDiv w:val="1"/>
      <w:marLeft w:val="0"/>
      <w:marRight w:val="0"/>
      <w:marTop w:val="0"/>
      <w:marBottom w:val="0"/>
      <w:divBdr>
        <w:top w:val="none" w:sz="0" w:space="0" w:color="auto"/>
        <w:left w:val="none" w:sz="0" w:space="0" w:color="auto"/>
        <w:bottom w:val="none" w:sz="0" w:space="0" w:color="auto"/>
        <w:right w:val="none" w:sz="0" w:space="0" w:color="auto"/>
      </w:divBdr>
    </w:div>
    <w:div w:id="1659503451">
      <w:bodyDiv w:val="1"/>
      <w:marLeft w:val="0"/>
      <w:marRight w:val="0"/>
      <w:marTop w:val="0"/>
      <w:marBottom w:val="0"/>
      <w:divBdr>
        <w:top w:val="none" w:sz="0" w:space="0" w:color="auto"/>
        <w:left w:val="none" w:sz="0" w:space="0" w:color="auto"/>
        <w:bottom w:val="none" w:sz="0" w:space="0" w:color="auto"/>
        <w:right w:val="none" w:sz="0" w:space="0" w:color="auto"/>
      </w:divBdr>
    </w:div>
    <w:div w:id="1660184017">
      <w:bodyDiv w:val="1"/>
      <w:marLeft w:val="0"/>
      <w:marRight w:val="0"/>
      <w:marTop w:val="0"/>
      <w:marBottom w:val="0"/>
      <w:divBdr>
        <w:top w:val="none" w:sz="0" w:space="0" w:color="auto"/>
        <w:left w:val="none" w:sz="0" w:space="0" w:color="auto"/>
        <w:bottom w:val="none" w:sz="0" w:space="0" w:color="auto"/>
        <w:right w:val="none" w:sz="0" w:space="0" w:color="auto"/>
      </w:divBdr>
    </w:div>
    <w:div w:id="1661081840">
      <w:bodyDiv w:val="1"/>
      <w:marLeft w:val="0"/>
      <w:marRight w:val="0"/>
      <w:marTop w:val="0"/>
      <w:marBottom w:val="0"/>
      <w:divBdr>
        <w:top w:val="none" w:sz="0" w:space="0" w:color="auto"/>
        <w:left w:val="none" w:sz="0" w:space="0" w:color="auto"/>
        <w:bottom w:val="none" w:sz="0" w:space="0" w:color="auto"/>
        <w:right w:val="none" w:sz="0" w:space="0" w:color="auto"/>
      </w:divBdr>
    </w:div>
    <w:div w:id="1663390714">
      <w:bodyDiv w:val="1"/>
      <w:marLeft w:val="0"/>
      <w:marRight w:val="0"/>
      <w:marTop w:val="0"/>
      <w:marBottom w:val="0"/>
      <w:divBdr>
        <w:top w:val="none" w:sz="0" w:space="0" w:color="auto"/>
        <w:left w:val="none" w:sz="0" w:space="0" w:color="auto"/>
        <w:bottom w:val="none" w:sz="0" w:space="0" w:color="auto"/>
        <w:right w:val="none" w:sz="0" w:space="0" w:color="auto"/>
      </w:divBdr>
    </w:div>
    <w:div w:id="1666787965">
      <w:bodyDiv w:val="1"/>
      <w:marLeft w:val="0"/>
      <w:marRight w:val="0"/>
      <w:marTop w:val="0"/>
      <w:marBottom w:val="0"/>
      <w:divBdr>
        <w:top w:val="none" w:sz="0" w:space="0" w:color="auto"/>
        <w:left w:val="none" w:sz="0" w:space="0" w:color="auto"/>
        <w:bottom w:val="none" w:sz="0" w:space="0" w:color="auto"/>
        <w:right w:val="none" w:sz="0" w:space="0" w:color="auto"/>
      </w:divBdr>
    </w:div>
    <w:div w:id="1667319390">
      <w:bodyDiv w:val="1"/>
      <w:marLeft w:val="0"/>
      <w:marRight w:val="0"/>
      <w:marTop w:val="0"/>
      <w:marBottom w:val="0"/>
      <w:divBdr>
        <w:top w:val="none" w:sz="0" w:space="0" w:color="auto"/>
        <w:left w:val="none" w:sz="0" w:space="0" w:color="auto"/>
        <w:bottom w:val="none" w:sz="0" w:space="0" w:color="auto"/>
        <w:right w:val="none" w:sz="0" w:space="0" w:color="auto"/>
      </w:divBdr>
    </w:div>
    <w:div w:id="1668706501">
      <w:bodyDiv w:val="1"/>
      <w:marLeft w:val="0"/>
      <w:marRight w:val="0"/>
      <w:marTop w:val="0"/>
      <w:marBottom w:val="0"/>
      <w:divBdr>
        <w:top w:val="none" w:sz="0" w:space="0" w:color="auto"/>
        <w:left w:val="none" w:sz="0" w:space="0" w:color="auto"/>
        <w:bottom w:val="none" w:sz="0" w:space="0" w:color="auto"/>
        <w:right w:val="none" w:sz="0" w:space="0" w:color="auto"/>
      </w:divBdr>
    </w:div>
    <w:div w:id="1676028692">
      <w:bodyDiv w:val="1"/>
      <w:marLeft w:val="0"/>
      <w:marRight w:val="0"/>
      <w:marTop w:val="0"/>
      <w:marBottom w:val="0"/>
      <w:divBdr>
        <w:top w:val="none" w:sz="0" w:space="0" w:color="auto"/>
        <w:left w:val="none" w:sz="0" w:space="0" w:color="auto"/>
        <w:bottom w:val="none" w:sz="0" w:space="0" w:color="auto"/>
        <w:right w:val="none" w:sz="0" w:space="0" w:color="auto"/>
      </w:divBdr>
    </w:div>
    <w:div w:id="1681546731">
      <w:bodyDiv w:val="1"/>
      <w:marLeft w:val="0"/>
      <w:marRight w:val="0"/>
      <w:marTop w:val="0"/>
      <w:marBottom w:val="0"/>
      <w:divBdr>
        <w:top w:val="none" w:sz="0" w:space="0" w:color="auto"/>
        <w:left w:val="none" w:sz="0" w:space="0" w:color="auto"/>
        <w:bottom w:val="none" w:sz="0" w:space="0" w:color="auto"/>
        <w:right w:val="none" w:sz="0" w:space="0" w:color="auto"/>
      </w:divBdr>
    </w:div>
    <w:div w:id="1683051292">
      <w:bodyDiv w:val="1"/>
      <w:marLeft w:val="0"/>
      <w:marRight w:val="0"/>
      <w:marTop w:val="0"/>
      <w:marBottom w:val="0"/>
      <w:divBdr>
        <w:top w:val="none" w:sz="0" w:space="0" w:color="auto"/>
        <w:left w:val="none" w:sz="0" w:space="0" w:color="auto"/>
        <w:bottom w:val="none" w:sz="0" w:space="0" w:color="auto"/>
        <w:right w:val="none" w:sz="0" w:space="0" w:color="auto"/>
      </w:divBdr>
    </w:div>
    <w:div w:id="1683706434">
      <w:bodyDiv w:val="1"/>
      <w:marLeft w:val="0"/>
      <w:marRight w:val="0"/>
      <w:marTop w:val="0"/>
      <w:marBottom w:val="0"/>
      <w:divBdr>
        <w:top w:val="none" w:sz="0" w:space="0" w:color="auto"/>
        <w:left w:val="none" w:sz="0" w:space="0" w:color="auto"/>
        <w:bottom w:val="none" w:sz="0" w:space="0" w:color="auto"/>
        <w:right w:val="none" w:sz="0" w:space="0" w:color="auto"/>
      </w:divBdr>
    </w:div>
    <w:div w:id="1685932566">
      <w:bodyDiv w:val="1"/>
      <w:marLeft w:val="0"/>
      <w:marRight w:val="0"/>
      <w:marTop w:val="0"/>
      <w:marBottom w:val="0"/>
      <w:divBdr>
        <w:top w:val="none" w:sz="0" w:space="0" w:color="auto"/>
        <w:left w:val="none" w:sz="0" w:space="0" w:color="auto"/>
        <w:bottom w:val="none" w:sz="0" w:space="0" w:color="auto"/>
        <w:right w:val="none" w:sz="0" w:space="0" w:color="auto"/>
      </w:divBdr>
    </w:div>
    <w:div w:id="1696152910">
      <w:bodyDiv w:val="1"/>
      <w:marLeft w:val="0"/>
      <w:marRight w:val="0"/>
      <w:marTop w:val="0"/>
      <w:marBottom w:val="0"/>
      <w:divBdr>
        <w:top w:val="none" w:sz="0" w:space="0" w:color="auto"/>
        <w:left w:val="none" w:sz="0" w:space="0" w:color="auto"/>
        <w:bottom w:val="none" w:sz="0" w:space="0" w:color="auto"/>
        <w:right w:val="none" w:sz="0" w:space="0" w:color="auto"/>
      </w:divBdr>
    </w:div>
    <w:div w:id="1698654266">
      <w:bodyDiv w:val="1"/>
      <w:marLeft w:val="0"/>
      <w:marRight w:val="0"/>
      <w:marTop w:val="0"/>
      <w:marBottom w:val="0"/>
      <w:divBdr>
        <w:top w:val="none" w:sz="0" w:space="0" w:color="auto"/>
        <w:left w:val="none" w:sz="0" w:space="0" w:color="auto"/>
        <w:bottom w:val="none" w:sz="0" w:space="0" w:color="auto"/>
        <w:right w:val="none" w:sz="0" w:space="0" w:color="auto"/>
      </w:divBdr>
    </w:div>
    <w:div w:id="1699164731">
      <w:bodyDiv w:val="1"/>
      <w:marLeft w:val="0"/>
      <w:marRight w:val="0"/>
      <w:marTop w:val="0"/>
      <w:marBottom w:val="0"/>
      <w:divBdr>
        <w:top w:val="none" w:sz="0" w:space="0" w:color="auto"/>
        <w:left w:val="none" w:sz="0" w:space="0" w:color="auto"/>
        <w:bottom w:val="none" w:sz="0" w:space="0" w:color="auto"/>
        <w:right w:val="none" w:sz="0" w:space="0" w:color="auto"/>
      </w:divBdr>
    </w:div>
    <w:div w:id="1701776785">
      <w:bodyDiv w:val="1"/>
      <w:marLeft w:val="0"/>
      <w:marRight w:val="0"/>
      <w:marTop w:val="0"/>
      <w:marBottom w:val="0"/>
      <w:divBdr>
        <w:top w:val="none" w:sz="0" w:space="0" w:color="auto"/>
        <w:left w:val="none" w:sz="0" w:space="0" w:color="auto"/>
        <w:bottom w:val="none" w:sz="0" w:space="0" w:color="auto"/>
        <w:right w:val="none" w:sz="0" w:space="0" w:color="auto"/>
      </w:divBdr>
    </w:div>
    <w:div w:id="1704331532">
      <w:bodyDiv w:val="1"/>
      <w:marLeft w:val="0"/>
      <w:marRight w:val="0"/>
      <w:marTop w:val="0"/>
      <w:marBottom w:val="0"/>
      <w:divBdr>
        <w:top w:val="none" w:sz="0" w:space="0" w:color="auto"/>
        <w:left w:val="none" w:sz="0" w:space="0" w:color="auto"/>
        <w:bottom w:val="none" w:sz="0" w:space="0" w:color="auto"/>
        <w:right w:val="none" w:sz="0" w:space="0" w:color="auto"/>
      </w:divBdr>
    </w:div>
    <w:div w:id="1708524854">
      <w:bodyDiv w:val="1"/>
      <w:marLeft w:val="0"/>
      <w:marRight w:val="0"/>
      <w:marTop w:val="0"/>
      <w:marBottom w:val="0"/>
      <w:divBdr>
        <w:top w:val="none" w:sz="0" w:space="0" w:color="auto"/>
        <w:left w:val="none" w:sz="0" w:space="0" w:color="auto"/>
        <w:bottom w:val="none" w:sz="0" w:space="0" w:color="auto"/>
        <w:right w:val="none" w:sz="0" w:space="0" w:color="auto"/>
      </w:divBdr>
    </w:div>
    <w:div w:id="1711565975">
      <w:bodyDiv w:val="1"/>
      <w:marLeft w:val="0"/>
      <w:marRight w:val="0"/>
      <w:marTop w:val="0"/>
      <w:marBottom w:val="0"/>
      <w:divBdr>
        <w:top w:val="none" w:sz="0" w:space="0" w:color="auto"/>
        <w:left w:val="none" w:sz="0" w:space="0" w:color="auto"/>
        <w:bottom w:val="none" w:sz="0" w:space="0" w:color="auto"/>
        <w:right w:val="none" w:sz="0" w:space="0" w:color="auto"/>
      </w:divBdr>
    </w:div>
    <w:div w:id="1713463141">
      <w:bodyDiv w:val="1"/>
      <w:marLeft w:val="0"/>
      <w:marRight w:val="0"/>
      <w:marTop w:val="0"/>
      <w:marBottom w:val="0"/>
      <w:divBdr>
        <w:top w:val="none" w:sz="0" w:space="0" w:color="auto"/>
        <w:left w:val="none" w:sz="0" w:space="0" w:color="auto"/>
        <w:bottom w:val="none" w:sz="0" w:space="0" w:color="auto"/>
        <w:right w:val="none" w:sz="0" w:space="0" w:color="auto"/>
      </w:divBdr>
    </w:div>
    <w:div w:id="1714310192">
      <w:bodyDiv w:val="1"/>
      <w:marLeft w:val="0"/>
      <w:marRight w:val="0"/>
      <w:marTop w:val="0"/>
      <w:marBottom w:val="0"/>
      <w:divBdr>
        <w:top w:val="none" w:sz="0" w:space="0" w:color="auto"/>
        <w:left w:val="none" w:sz="0" w:space="0" w:color="auto"/>
        <w:bottom w:val="none" w:sz="0" w:space="0" w:color="auto"/>
        <w:right w:val="none" w:sz="0" w:space="0" w:color="auto"/>
      </w:divBdr>
    </w:div>
    <w:div w:id="1714694353">
      <w:bodyDiv w:val="1"/>
      <w:marLeft w:val="0"/>
      <w:marRight w:val="0"/>
      <w:marTop w:val="0"/>
      <w:marBottom w:val="0"/>
      <w:divBdr>
        <w:top w:val="none" w:sz="0" w:space="0" w:color="auto"/>
        <w:left w:val="none" w:sz="0" w:space="0" w:color="auto"/>
        <w:bottom w:val="none" w:sz="0" w:space="0" w:color="auto"/>
        <w:right w:val="none" w:sz="0" w:space="0" w:color="auto"/>
      </w:divBdr>
    </w:div>
    <w:div w:id="1717193192">
      <w:bodyDiv w:val="1"/>
      <w:marLeft w:val="0"/>
      <w:marRight w:val="0"/>
      <w:marTop w:val="0"/>
      <w:marBottom w:val="0"/>
      <w:divBdr>
        <w:top w:val="none" w:sz="0" w:space="0" w:color="auto"/>
        <w:left w:val="none" w:sz="0" w:space="0" w:color="auto"/>
        <w:bottom w:val="none" w:sz="0" w:space="0" w:color="auto"/>
        <w:right w:val="none" w:sz="0" w:space="0" w:color="auto"/>
      </w:divBdr>
    </w:div>
    <w:div w:id="1717849255">
      <w:bodyDiv w:val="1"/>
      <w:marLeft w:val="0"/>
      <w:marRight w:val="0"/>
      <w:marTop w:val="0"/>
      <w:marBottom w:val="0"/>
      <w:divBdr>
        <w:top w:val="none" w:sz="0" w:space="0" w:color="auto"/>
        <w:left w:val="none" w:sz="0" w:space="0" w:color="auto"/>
        <w:bottom w:val="none" w:sz="0" w:space="0" w:color="auto"/>
        <w:right w:val="none" w:sz="0" w:space="0" w:color="auto"/>
      </w:divBdr>
    </w:div>
    <w:div w:id="1720010231">
      <w:bodyDiv w:val="1"/>
      <w:marLeft w:val="0"/>
      <w:marRight w:val="0"/>
      <w:marTop w:val="0"/>
      <w:marBottom w:val="0"/>
      <w:divBdr>
        <w:top w:val="none" w:sz="0" w:space="0" w:color="auto"/>
        <w:left w:val="none" w:sz="0" w:space="0" w:color="auto"/>
        <w:bottom w:val="none" w:sz="0" w:space="0" w:color="auto"/>
        <w:right w:val="none" w:sz="0" w:space="0" w:color="auto"/>
      </w:divBdr>
    </w:div>
    <w:div w:id="1721711392">
      <w:bodyDiv w:val="1"/>
      <w:marLeft w:val="0"/>
      <w:marRight w:val="0"/>
      <w:marTop w:val="0"/>
      <w:marBottom w:val="0"/>
      <w:divBdr>
        <w:top w:val="none" w:sz="0" w:space="0" w:color="auto"/>
        <w:left w:val="none" w:sz="0" w:space="0" w:color="auto"/>
        <w:bottom w:val="none" w:sz="0" w:space="0" w:color="auto"/>
        <w:right w:val="none" w:sz="0" w:space="0" w:color="auto"/>
      </w:divBdr>
    </w:div>
    <w:div w:id="1727025832">
      <w:bodyDiv w:val="1"/>
      <w:marLeft w:val="0"/>
      <w:marRight w:val="0"/>
      <w:marTop w:val="0"/>
      <w:marBottom w:val="0"/>
      <w:divBdr>
        <w:top w:val="none" w:sz="0" w:space="0" w:color="auto"/>
        <w:left w:val="none" w:sz="0" w:space="0" w:color="auto"/>
        <w:bottom w:val="none" w:sz="0" w:space="0" w:color="auto"/>
        <w:right w:val="none" w:sz="0" w:space="0" w:color="auto"/>
      </w:divBdr>
    </w:div>
    <w:div w:id="1731877737">
      <w:bodyDiv w:val="1"/>
      <w:marLeft w:val="0"/>
      <w:marRight w:val="0"/>
      <w:marTop w:val="0"/>
      <w:marBottom w:val="0"/>
      <w:divBdr>
        <w:top w:val="none" w:sz="0" w:space="0" w:color="auto"/>
        <w:left w:val="none" w:sz="0" w:space="0" w:color="auto"/>
        <w:bottom w:val="none" w:sz="0" w:space="0" w:color="auto"/>
        <w:right w:val="none" w:sz="0" w:space="0" w:color="auto"/>
      </w:divBdr>
    </w:div>
    <w:div w:id="1736468670">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9594996">
      <w:bodyDiv w:val="1"/>
      <w:marLeft w:val="0"/>
      <w:marRight w:val="0"/>
      <w:marTop w:val="0"/>
      <w:marBottom w:val="0"/>
      <w:divBdr>
        <w:top w:val="none" w:sz="0" w:space="0" w:color="auto"/>
        <w:left w:val="none" w:sz="0" w:space="0" w:color="auto"/>
        <w:bottom w:val="none" w:sz="0" w:space="0" w:color="auto"/>
        <w:right w:val="none" w:sz="0" w:space="0" w:color="auto"/>
      </w:divBdr>
    </w:div>
    <w:div w:id="1739983441">
      <w:bodyDiv w:val="1"/>
      <w:marLeft w:val="0"/>
      <w:marRight w:val="0"/>
      <w:marTop w:val="0"/>
      <w:marBottom w:val="0"/>
      <w:divBdr>
        <w:top w:val="none" w:sz="0" w:space="0" w:color="auto"/>
        <w:left w:val="none" w:sz="0" w:space="0" w:color="auto"/>
        <w:bottom w:val="none" w:sz="0" w:space="0" w:color="auto"/>
        <w:right w:val="none" w:sz="0" w:space="0" w:color="auto"/>
      </w:divBdr>
    </w:div>
    <w:div w:id="1741753283">
      <w:bodyDiv w:val="1"/>
      <w:marLeft w:val="0"/>
      <w:marRight w:val="0"/>
      <w:marTop w:val="0"/>
      <w:marBottom w:val="0"/>
      <w:divBdr>
        <w:top w:val="none" w:sz="0" w:space="0" w:color="auto"/>
        <w:left w:val="none" w:sz="0" w:space="0" w:color="auto"/>
        <w:bottom w:val="none" w:sz="0" w:space="0" w:color="auto"/>
        <w:right w:val="none" w:sz="0" w:space="0" w:color="auto"/>
      </w:divBdr>
    </w:div>
    <w:div w:id="1743522016">
      <w:bodyDiv w:val="1"/>
      <w:marLeft w:val="0"/>
      <w:marRight w:val="0"/>
      <w:marTop w:val="0"/>
      <w:marBottom w:val="0"/>
      <w:divBdr>
        <w:top w:val="none" w:sz="0" w:space="0" w:color="auto"/>
        <w:left w:val="none" w:sz="0" w:space="0" w:color="auto"/>
        <w:bottom w:val="none" w:sz="0" w:space="0" w:color="auto"/>
        <w:right w:val="none" w:sz="0" w:space="0" w:color="auto"/>
      </w:divBdr>
    </w:div>
    <w:div w:id="1746029448">
      <w:bodyDiv w:val="1"/>
      <w:marLeft w:val="0"/>
      <w:marRight w:val="0"/>
      <w:marTop w:val="0"/>
      <w:marBottom w:val="0"/>
      <w:divBdr>
        <w:top w:val="none" w:sz="0" w:space="0" w:color="auto"/>
        <w:left w:val="none" w:sz="0" w:space="0" w:color="auto"/>
        <w:bottom w:val="none" w:sz="0" w:space="0" w:color="auto"/>
        <w:right w:val="none" w:sz="0" w:space="0" w:color="auto"/>
      </w:divBdr>
    </w:div>
    <w:div w:id="1748920564">
      <w:bodyDiv w:val="1"/>
      <w:marLeft w:val="0"/>
      <w:marRight w:val="0"/>
      <w:marTop w:val="0"/>
      <w:marBottom w:val="0"/>
      <w:divBdr>
        <w:top w:val="none" w:sz="0" w:space="0" w:color="auto"/>
        <w:left w:val="none" w:sz="0" w:space="0" w:color="auto"/>
        <w:bottom w:val="none" w:sz="0" w:space="0" w:color="auto"/>
        <w:right w:val="none" w:sz="0" w:space="0" w:color="auto"/>
      </w:divBdr>
    </w:div>
    <w:div w:id="1752046781">
      <w:bodyDiv w:val="1"/>
      <w:marLeft w:val="0"/>
      <w:marRight w:val="0"/>
      <w:marTop w:val="0"/>
      <w:marBottom w:val="0"/>
      <w:divBdr>
        <w:top w:val="none" w:sz="0" w:space="0" w:color="auto"/>
        <w:left w:val="none" w:sz="0" w:space="0" w:color="auto"/>
        <w:bottom w:val="none" w:sz="0" w:space="0" w:color="auto"/>
        <w:right w:val="none" w:sz="0" w:space="0" w:color="auto"/>
      </w:divBdr>
    </w:div>
    <w:div w:id="1756629252">
      <w:bodyDiv w:val="1"/>
      <w:marLeft w:val="0"/>
      <w:marRight w:val="0"/>
      <w:marTop w:val="0"/>
      <w:marBottom w:val="0"/>
      <w:divBdr>
        <w:top w:val="none" w:sz="0" w:space="0" w:color="auto"/>
        <w:left w:val="none" w:sz="0" w:space="0" w:color="auto"/>
        <w:bottom w:val="none" w:sz="0" w:space="0" w:color="auto"/>
        <w:right w:val="none" w:sz="0" w:space="0" w:color="auto"/>
      </w:divBdr>
    </w:div>
    <w:div w:id="1762097450">
      <w:bodyDiv w:val="1"/>
      <w:marLeft w:val="0"/>
      <w:marRight w:val="0"/>
      <w:marTop w:val="0"/>
      <w:marBottom w:val="0"/>
      <w:divBdr>
        <w:top w:val="none" w:sz="0" w:space="0" w:color="auto"/>
        <w:left w:val="none" w:sz="0" w:space="0" w:color="auto"/>
        <w:bottom w:val="none" w:sz="0" w:space="0" w:color="auto"/>
        <w:right w:val="none" w:sz="0" w:space="0" w:color="auto"/>
      </w:divBdr>
    </w:div>
    <w:div w:id="1766151732">
      <w:bodyDiv w:val="1"/>
      <w:marLeft w:val="0"/>
      <w:marRight w:val="0"/>
      <w:marTop w:val="0"/>
      <w:marBottom w:val="0"/>
      <w:divBdr>
        <w:top w:val="none" w:sz="0" w:space="0" w:color="auto"/>
        <w:left w:val="none" w:sz="0" w:space="0" w:color="auto"/>
        <w:bottom w:val="none" w:sz="0" w:space="0" w:color="auto"/>
        <w:right w:val="none" w:sz="0" w:space="0" w:color="auto"/>
      </w:divBdr>
    </w:div>
    <w:div w:id="1768501076">
      <w:bodyDiv w:val="1"/>
      <w:marLeft w:val="0"/>
      <w:marRight w:val="0"/>
      <w:marTop w:val="0"/>
      <w:marBottom w:val="0"/>
      <w:divBdr>
        <w:top w:val="none" w:sz="0" w:space="0" w:color="auto"/>
        <w:left w:val="none" w:sz="0" w:space="0" w:color="auto"/>
        <w:bottom w:val="none" w:sz="0" w:space="0" w:color="auto"/>
        <w:right w:val="none" w:sz="0" w:space="0" w:color="auto"/>
      </w:divBdr>
    </w:div>
    <w:div w:id="1770853906">
      <w:bodyDiv w:val="1"/>
      <w:marLeft w:val="0"/>
      <w:marRight w:val="0"/>
      <w:marTop w:val="0"/>
      <w:marBottom w:val="0"/>
      <w:divBdr>
        <w:top w:val="none" w:sz="0" w:space="0" w:color="auto"/>
        <w:left w:val="none" w:sz="0" w:space="0" w:color="auto"/>
        <w:bottom w:val="none" w:sz="0" w:space="0" w:color="auto"/>
        <w:right w:val="none" w:sz="0" w:space="0" w:color="auto"/>
      </w:divBdr>
    </w:div>
    <w:div w:id="1775130618">
      <w:bodyDiv w:val="1"/>
      <w:marLeft w:val="0"/>
      <w:marRight w:val="0"/>
      <w:marTop w:val="0"/>
      <w:marBottom w:val="0"/>
      <w:divBdr>
        <w:top w:val="none" w:sz="0" w:space="0" w:color="auto"/>
        <w:left w:val="none" w:sz="0" w:space="0" w:color="auto"/>
        <w:bottom w:val="none" w:sz="0" w:space="0" w:color="auto"/>
        <w:right w:val="none" w:sz="0" w:space="0" w:color="auto"/>
      </w:divBdr>
    </w:div>
    <w:div w:id="1778721530">
      <w:bodyDiv w:val="1"/>
      <w:marLeft w:val="0"/>
      <w:marRight w:val="0"/>
      <w:marTop w:val="0"/>
      <w:marBottom w:val="0"/>
      <w:divBdr>
        <w:top w:val="none" w:sz="0" w:space="0" w:color="auto"/>
        <w:left w:val="none" w:sz="0" w:space="0" w:color="auto"/>
        <w:bottom w:val="none" w:sz="0" w:space="0" w:color="auto"/>
        <w:right w:val="none" w:sz="0" w:space="0" w:color="auto"/>
      </w:divBdr>
    </w:div>
    <w:div w:id="1779178922">
      <w:bodyDiv w:val="1"/>
      <w:marLeft w:val="0"/>
      <w:marRight w:val="0"/>
      <w:marTop w:val="0"/>
      <w:marBottom w:val="0"/>
      <w:divBdr>
        <w:top w:val="none" w:sz="0" w:space="0" w:color="auto"/>
        <w:left w:val="none" w:sz="0" w:space="0" w:color="auto"/>
        <w:bottom w:val="none" w:sz="0" w:space="0" w:color="auto"/>
        <w:right w:val="none" w:sz="0" w:space="0" w:color="auto"/>
      </w:divBdr>
    </w:div>
    <w:div w:id="1779519550">
      <w:bodyDiv w:val="1"/>
      <w:marLeft w:val="0"/>
      <w:marRight w:val="0"/>
      <w:marTop w:val="0"/>
      <w:marBottom w:val="0"/>
      <w:divBdr>
        <w:top w:val="none" w:sz="0" w:space="0" w:color="auto"/>
        <w:left w:val="none" w:sz="0" w:space="0" w:color="auto"/>
        <w:bottom w:val="none" w:sz="0" w:space="0" w:color="auto"/>
        <w:right w:val="none" w:sz="0" w:space="0" w:color="auto"/>
      </w:divBdr>
    </w:div>
    <w:div w:id="1781948010">
      <w:bodyDiv w:val="1"/>
      <w:marLeft w:val="0"/>
      <w:marRight w:val="0"/>
      <w:marTop w:val="0"/>
      <w:marBottom w:val="0"/>
      <w:divBdr>
        <w:top w:val="none" w:sz="0" w:space="0" w:color="auto"/>
        <w:left w:val="none" w:sz="0" w:space="0" w:color="auto"/>
        <w:bottom w:val="none" w:sz="0" w:space="0" w:color="auto"/>
        <w:right w:val="none" w:sz="0" w:space="0" w:color="auto"/>
      </w:divBdr>
    </w:div>
    <w:div w:id="1785727049">
      <w:bodyDiv w:val="1"/>
      <w:marLeft w:val="0"/>
      <w:marRight w:val="0"/>
      <w:marTop w:val="0"/>
      <w:marBottom w:val="0"/>
      <w:divBdr>
        <w:top w:val="none" w:sz="0" w:space="0" w:color="auto"/>
        <w:left w:val="none" w:sz="0" w:space="0" w:color="auto"/>
        <w:bottom w:val="none" w:sz="0" w:space="0" w:color="auto"/>
        <w:right w:val="none" w:sz="0" w:space="0" w:color="auto"/>
      </w:divBdr>
    </w:div>
    <w:div w:id="1786120856">
      <w:bodyDiv w:val="1"/>
      <w:marLeft w:val="0"/>
      <w:marRight w:val="0"/>
      <w:marTop w:val="0"/>
      <w:marBottom w:val="0"/>
      <w:divBdr>
        <w:top w:val="none" w:sz="0" w:space="0" w:color="auto"/>
        <w:left w:val="none" w:sz="0" w:space="0" w:color="auto"/>
        <w:bottom w:val="none" w:sz="0" w:space="0" w:color="auto"/>
        <w:right w:val="none" w:sz="0" w:space="0" w:color="auto"/>
      </w:divBdr>
    </w:div>
    <w:div w:id="1788309784">
      <w:bodyDiv w:val="1"/>
      <w:marLeft w:val="0"/>
      <w:marRight w:val="0"/>
      <w:marTop w:val="0"/>
      <w:marBottom w:val="0"/>
      <w:divBdr>
        <w:top w:val="none" w:sz="0" w:space="0" w:color="auto"/>
        <w:left w:val="none" w:sz="0" w:space="0" w:color="auto"/>
        <w:bottom w:val="none" w:sz="0" w:space="0" w:color="auto"/>
        <w:right w:val="none" w:sz="0" w:space="0" w:color="auto"/>
      </w:divBdr>
    </w:div>
    <w:div w:id="1788740534">
      <w:bodyDiv w:val="1"/>
      <w:marLeft w:val="0"/>
      <w:marRight w:val="0"/>
      <w:marTop w:val="0"/>
      <w:marBottom w:val="0"/>
      <w:divBdr>
        <w:top w:val="none" w:sz="0" w:space="0" w:color="auto"/>
        <w:left w:val="none" w:sz="0" w:space="0" w:color="auto"/>
        <w:bottom w:val="none" w:sz="0" w:space="0" w:color="auto"/>
        <w:right w:val="none" w:sz="0" w:space="0" w:color="auto"/>
      </w:divBdr>
    </w:div>
    <w:div w:id="1792553954">
      <w:bodyDiv w:val="1"/>
      <w:marLeft w:val="0"/>
      <w:marRight w:val="0"/>
      <w:marTop w:val="0"/>
      <w:marBottom w:val="0"/>
      <w:divBdr>
        <w:top w:val="none" w:sz="0" w:space="0" w:color="auto"/>
        <w:left w:val="none" w:sz="0" w:space="0" w:color="auto"/>
        <w:bottom w:val="none" w:sz="0" w:space="0" w:color="auto"/>
        <w:right w:val="none" w:sz="0" w:space="0" w:color="auto"/>
      </w:divBdr>
    </w:div>
    <w:div w:id="1793523976">
      <w:bodyDiv w:val="1"/>
      <w:marLeft w:val="0"/>
      <w:marRight w:val="0"/>
      <w:marTop w:val="0"/>
      <w:marBottom w:val="0"/>
      <w:divBdr>
        <w:top w:val="none" w:sz="0" w:space="0" w:color="auto"/>
        <w:left w:val="none" w:sz="0" w:space="0" w:color="auto"/>
        <w:bottom w:val="none" w:sz="0" w:space="0" w:color="auto"/>
        <w:right w:val="none" w:sz="0" w:space="0" w:color="auto"/>
      </w:divBdr>
    </w:div>
    <w:div w:id="1794014331">
      <w:bodyDiv w:val="1"/>
      <w:marLeft w:val="0"/>
      <w:marRight w:val="0"/>
      <w:marTop w:val="0"/>
      <w:marBottom w:val="0"/>
      <w:divBdr>
        <w:top w:val="none" w:sz="0" w:space="0" w:color="auto"/>
        <w:left w:val="none" w:sz="0" w:space="0" w:color="auto"/>
        <w:bottom w:val="none" w:sz="0" w:space="0" w:color="auto"/>
        <w:right w:val="none" w:sz="0" w:space="0" w:color="auto"/>
      </w:divBdr>
    </w:div>
    <w:div w:id="1794979950">
      <w:bodyDiv w:val="1"/>
      <w:marLeft w:val="0"/>
      <w:marRight w:val="0"/>
      <w:marTop w:val="0"/>
      <w:marBottom w:val="0"/>
      <w:divBdr>
        <w:top w:val="none" w:sz="0" w:space="0" w:color="auto"/>
        <w:left w:val="none" w:sz="0" w:space="0" w:color="auto"/>
        <w:bottom w:val="none" w:sz="0" w:space="0" w:color="auto"/>
        <w:right w:val="none" w:sz="0" w:space="0" w:color="auto"/>
      </w:divBdr>
    </w:div>
    <w:div w:id="1797334430">
      <w:bodyDiv w:val="1"/>
      <w:marLeft w:val="0"/>
      <w:marRight w:val="0"/>
      <w:marTop w:val="0"/>
      <w:marBottom w:val="0"/>
      <w:divBdr>
        <w:top w:val="none" w:sz="0" w:space="0" w:color="auto"/>
        <w:left w:val="none" w:sz="0" w:space="0" w:color="auto"/>
        <w:bottom w:val="none" w:sz="0" w:space="0" w:color="auto"/>
        <w:right w:val="none" w:sz="0" w:space="0" w:color="auto"/>
      </w:divBdr>
    </w:div>
    <w:div w:id="1797675373">
      <w:bodyDiv w:val="1"/>
      <w:marLeft w:val="0"/>
      <w:marRight w:val="0"/>
      <w:marTop w:val="0"/>
      <w:marBottom w:val="0"/>
      <w:divBdr>
        <w:top w:val="none" w:sz="0" w:space="0" w:color="auto"/>
        <w:left w:val="none" w:sz="0" w:space="0" w:color="auto"/>
        <w:bottom w:val="none" w:sz="0" w:space="0" w:color="auto"/>
        <w:right w:val="none" w:sz="0" w:space="0" w:color="auto"/>
      </w:divBdr>
    </w:div>
    <w:div w:id="1797720867">
      <w:bodyDiv w:val="1"/>
      <w:marLeft w:val="0"/>
      <w:marRight w:val="0"/>
      <w:marTop w:val="0"/>
      <w:marBottom w:val="0"/>
      <w:divBdr>
        <w:top w:val="none" w:sz="0" w:space="0" w:color="auto"/>
        <w:left w:val="none" w:sz="0" w:space="0" w:color="auto"/>
        <w:bottom w:val="none" w:sz="0" w:space="0" w:color="auto"/>
        <w:right w:val="none" w:sz="0" w:space="0" w:color="auto"/>
      </w:divBdr>
    </w:div>
    <w:div w:id="179864440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700924">
      <w:bodyDiv w:val="1"/>
      <w:marLeft w:val="0"/>
      <w:marRight w:val="0"/>
      <w:marTop w:val="0"/>
      <w:marBottom w:val="0"/>
      <w:divBdr>
        <w:top w:val="none" w:sz="0" w:space="0" w:color="auto"/>
        <w:left w:val="none" w:sz="0" w:space="0" w:color="auto"/>
        <w:bottom w:val="none" w:sz="0" w:space="0" w:color="auto"/>
        <w:right w:val="none" w:sz="0" w:space="0" w:color="auto"/>
      </w:divBdr>
    </w:div>
    <w:div w:id="1808081435">
      <w:bodyDiv w:val="1"/>
      <w:marLeft w:val="0"/>
      <w:marRight w:val="0"/>
      <w:marTop w:val="0"/>
      <w:marBottom w:val="0"/>
      <w:divBdr>
        <w:top w:val="none" w:sz="0" w:space="0" w:color="auto"/>
        <w:left w:val="none" w:sz="0" w:space="0" w:color="auto"/>
        <w:bottom w:val="none" w:sz="0" w:space="0" w:color="auto"/>
        <w:right w:val="none" w:sz="0" w:space="0" w:color="auto"/>
      </w:divBdr>
    </w:div>
    <w:div w:id="1811945017">
      <w:bodyDiv w:val="1"/>
      <w:marLeft w:val="0"/>
      <w:marRight w:val="0"/>
      <w:marTop w:val="0"/>
      <w:marBottom w:val="0"/>
      <w:divBdr>
        <w:top w:val="none" w:sz="0" w:space="0" w:color="auto"/>
        <w:left w:val="none" w:sz="0" w:space="0" w:color="auto"/>
        <w:bottom w:val="none" w:sz="0" w:space="0" w:color="auto"/>
        <w:right w:val="none" w:sz="0" w:space="0" w:color="auto"/>
      </w:divBdr>
    </w:div>
    <w:div w:id="1812751317">
      <w:bodyDiv w:val="1"/>
      <w:marLeft w:val="0"/>
      <w:marRight w:val="0"/>
      <w:marTop w:val="0"/>
      <w:marBottom w:val="0"/>
      <w:divBdr>
        <w:top w:val="none" w:sz="0" w:space="0" w:color="auto"/>
        <w:left w:val="none" w:sz="0" w:space="0" w:color="auto"/>
        <w:bottom w:val="none" w:sz="0" w:space="0" w:color="auto"/>
        <w:right w:val="none" w:sz="0" w:space="0" w:color="auto"/>
      </w:divBdr>
    </w:div>
    <w:div w:id="1814786995">
      <w:bodyDiv w:val="1"/>
      <w:marLeft w:val="0"/>
      <w:marRight w:val="0"/>
      <w:marTop w:val="0"/>
      <w:marBottom w:val="0"/>
      <w:divBdr>
        <w:top w:val="none" w:sz="0" w:space="0" w:color="auto"/>
        <w:left w:val="none" w:sz="0" w:space="0" w:color="auto"/>
        <w:bottom w:val="none" w:sz="0" w:space="0" w:color="auto"/>
        <w:right w:val="none" w:sz="0" w:space="0" w:color="auto"/>
      </w:divBdr>
    </w:div>
    <w:div w:id="1818109905">
      <w:bodyDiv w:val="1"/>
      <w:marLeft w:val="0"/>
      <w:marRight w:val="0"/>
      <w:marTop w:val="0"/>
      <w:marBottom w:val="0"/>
      <w:divBdr>
        <w:top w:val="none" w:sz="0" w:space="0" w:color="auto"/>
        <w:left w:val="none" w:sz="0" w:space="0" w:color="auto"/>
        <w:bottom w:val="none" w:sz="0" w:space="0" w:color="auto"/>
        <w:right w:val="none" w:sz="0" w:space="0" w:color="auto"/>
      </w:divBdr>
    </w:div>
    <w:div w:id="181883722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455524">
      <w:bodyDiv w:val="1"/>
      <w:marLeft w:val="0"/>
      <w:marRight w:val="0"/>
      <w:marTop w:val="0"/>
      <w:marBottom w:val="0"/>
      <w:divBdr>
        <w:top w:val="none" w:sz="0" w:space="0" w:color="auto"/>
        <w:left w:val="none" w:sz="0" w:space="0" w:color="auto"/>
        <w:bottom w:val="none" w:sz="0" w:space="0" w:color="auto"/>
        <w:right w:val="none" w:sz="0" w:space="0" w:color="auto"/>
      </w:divBdr>
    </w:div>
    <w:div w:id="1822499529">
      <w:bodyDiv w:val="1"/>
      <w:marLeft w:val="0"/>
      <w:marRight w:val="0"/>
      <w:marTop w:val="0"/>
      <w:marBottom w:val="0"/>
      <w:divBdr>
        <w:top w:val="none" w:sz="0" w:space="0" w:color="auto"/>
        <w:left w:val="none" w:sz="0" w:space="0" w:color="auto"/>
        <w:bottom w:val="none" w:sz="0" w:space="0" w:color="auto"/>
        <w:right w:val="none" w:sz="0" w:space="0" w:color="auto"/>
      </w:divBdr>
    </w:div>
    <w:div w:id="1823083673">
      <w:bodyDiv w:val="1"/>
      <w:marLeft w:val="0"/>
      <w:marRight w:val="0"/>
      <w:marTop w:val="0"/>
      <w:marBottom w:val="0"/>
      <w:divBdr>
        <w:top w:val="none" w:sz="0" w:space="0" w:color="auto"/>
        <w:left w:val="none" w:sz="0" w:space="0" w:color="auto"/>
        <w:bottom w:val="none" w:sz="0" w:space="0" w:color="auto"/>
        <w:right w:val="none" w:sz="0" w:space="0" w:color="auto"/>
      </w:divBdr>
    </w:div>
    <w:div w:id="1826244079">
      <w:bodyDiv w:val="1"/>
      <w:marLeft w:val="0"/>
      <w:marRight w:val="0"/>
      <w:marTop w:val="0"/>
      <w:marBottom w:val="0"/>
      <w:divBdr>
        <w:top w:val="none" w:sz="0" w:space="0" w:color="auto"/>
        <w:left w:val="none" w:sz="0" w:space="0" w:color="auto"/>
        <w:bottom w:val="none" w:sz="0" w:space="0" w:color="auto"/>
        <w:right w:val="none" w:sz="0" w:space="0" w:color="auto"/>
      </w:divBdr>
    </w:div>
    <w:div w:id="1828863093">
      <w:bodyDiv w:val="1"/>
      <w:marLeft w:val="0"/>
      <w:marRight w:val="0"/>
      <w:marTop w:val="0"/>
      <w:marBottom w:val="0"/>
      <w:divBdr>
        <w:top w:val="none" w:sz="0" w:space="0" w:color="auto"/>
        <w:left w:val="none" w:sz="0" w:space="0" w:color="auto"/>
        <w:bottom w:val="none" w:sz="0" w:space="0" w:color="auto"/>
        <w:right w:val="none" w:sz="0" w:space="0" w:color="auto"/>
      </w:divBdr>
    </w:div>
    <w:div w:id="1831603063">
      <w:bodyDiv w:val="1"/>
      <w:marLeft w:val="0"/>
      <w:marRight w:val="0"/>
      <w:marTop w:val="0"/>
      <w:marBottom w:val="0"/>
      <w:divBdr>
        <w:top w:val="none" w:sz="0" w:space="0" w:color="auto"/>
        <w:left w:val="none" w:sz="0" w:space="0" w:color="auto"/>
        <w:bottom w:val="none" w:sz="0" w:space="0" w:color="auto"/>
        <w:right w:val="none" w:sz="0" w:space="0" w:color="auto"/>
      </w:divBdr>
    </w:div>
    <w:div w:id="1834249508">
      <w:bodyDiv w:val="1"/>
      <w:marLeft w:val="0"/>
      <w:marRight w:val="0"/>
      <w:marTop w:val="0"/>
      <w:marBottom w:val="0"/>
      <w:divBdr>
        <w:top w:val="none" w:sz="0" w:space="0" w:color="auto"/>
        <w:left w:val="none" w:sz="0" w:space="0" w:color="auto"/>
        <w:bottom w:val="none" w:sz="0" w:space="0" w:color="auto"/>
        <w:right w:val="none" w:sz="0" w:space="0" w:color="auto"/>
      </w:divBdr>
    </w:div>
    <w:div w:id="1839270984">
      <w:bodyDiv w:val="1"/>
      <w:marLeft w:val="0"/>
      <w:marRight w:val="0"/>
      <w:marTop w:val="0"/>
      <w:marBottom w:val="0"/>
      <w:divBdr>
        <w:top w:val="none" w:sz="0" w:space="0" w:color="auto"/>
        <w:left w:val="none" w:sz="0" w:space="0" w:color="auto"/>
        <w:bottom w:val="none" w:sz="0" w:space="0" w:color="auto"/>
        <w:right w:val="none" w:sz="0" w:space="0" w:color="auto"/>
      </w:divBdr>
    </w:div>
    <w:div w:id="1842157781">
      <w:bodyDiv w:val="1"/>
      <w:marLeft w:val="0"/>
      <w:marRight w:val="0"/>
      <w:marTop w:val="0"/>
      <w:marBottom w:val="0"/>
      <w:divBdr>
        <w:top w:val="none" w:sz="0" w:space="0" w:color="auto"/>
        <w:left w:val="none" w:sz="0" w:space="0" w:color="auto"/>
        <w:bottom w:val="none" w:sz="0" w:space="0" w:color="auto"/>
        <w:right w:val="none" w:sz="0" w:space="0" w:color="auto"/>
      </w:divBdr>
    </w:div>
    <w:div w:id="1845245581">
      <w:bodyDiv w:val="1"/>
      <w:marLeft w:val="0"/>
      <w:marRight w:val="0"/>
      <w:marTop w:val="0"/>
      <w:marBottom w:val="0"/>
      <w:divBdr>
        <w:top w:val="none" w:sz="0" w:space="0" w:color="auto"/>
        <w:left w:val="none" w:sz="0" w:space="0" w:color="auto"/>
        <w:bottom w:val="none" w:sz="0" w:space="0" w:color="auto"/>
        <w:right w:val="none" w:sz="0" w:space="0" w:color="auto"/>
      </w:divBdr>
    </w:div>
    <w:div w:id="1847473408">
      <w:bodyDiv w:val="1"/>
      <w:marLeft w:val="0"/>
      <w:marRight w:val="0"/>
      <w:marTop w:val="0"/>
      <w:marBottom w:val="0"/>
      <w:divBdr>
        <w:top w:val="none" w:sz="0" w:space="0" w:color="auto"/>
        <w:left w:val="none" w:sz="0" w:space="0" w:color="auto"/>
        <w:bottom w:val="none" w:sz="0" w:space="0" w:color="auto"/>
        <w:right w:val="none" w:sz="0" w:space="0" w:color="auto"/>
      </w:divBdr>
    </w:div>
    <w:div w:id="1848397514">
      <w:bodyDiv w:val="1"/>
      <w:marLeft w:val="0"/>
      <w:marRight w:val="0"/>
      <w:marTop w:val="0"/>
      <w:marBottom w:val="0"/>
      <w:divBdr>
        <w:top w:val="none" w:sz="0" w:space="0" w:color="auto"/>
        <w:left w:val="none" w:sz="0" w:space="0" w:color="auto"/>
        <w:bottom w:val="none" w:sz="0" w:space="0" w:color="auto"/>
        <w:right w:val="none" w:sz="0" w:space="0" w:color="auto"/>
      </w:divBdr>
    </w:div>
    <w:div w:id="1855917112">
      <w:bodyDiv w:val="1"/>
      <w:marLeft w:val="0"/>
      <w:marRight w:val="0"/>
      <w:marTop w:val="0"/>
      <w:marBottom w:val="0"/>
      <w:divBdr>
        <w:top w:val="none" w:sz="0" w:space="0" w:color="auto"/>
        <w:left w:val="none" w:sz="0" w:space="0" w:color="auto"/>
        <w:bottom w:val="none" w:sz="0" w:space="0" w:color="auto"/>
        <w:right w:val="none" w:sz="0" w:space="0" w:color="auto"/>
      </w:divBdr>
    </w:div>
    <w:div w:id="1857231192">
      <w:bodyDiv w:val="1"/>
      <w:marLeft w:val="0"/>
      <w:marRight w:val="0"/>
      <w:marTop w:val="0"/>
      <w:marBottom w:val="0"/>
      <w:divBdr>
        <w:top w:val="none" w:sz="0" w:space="0" w:color="auto"/>
        <w:left w:val="none" w:sz="0" w:space="0" w:color="auto"/>
        <w:bottom w:val="none" w:sz="0" w:space="0" w:color="auto"/>
        <w:right w:val="none" w:sz="0" w:space="0" w:color="auto"/>
      </w:divBdr>
    </w:div>
    <w:div w:id="1859389950">
      <w:bodyDiv w:val="1"/>
      <w:marLeft w:val="0"/>
      <w:marRight w:val="0"/>
      <w:marTop w:val="0"/>
      <w:marBottom w:val="0"/>
      <w:divBdr>
        <w:top w:val="none" w:sz="0" w:space="0" w:color="auto"/>
        <w:left w:val="none" w:sz="0" w:space="0" w:color="auto"/>
        <w:bottom w:val="none" w:sz="0" w:space="0" w:color="auto"/>
        <w:right w:val="none" w:sz="0" w:space="0" w:color="auto"/>
      </w:divBdr>
    </w:div>
    <w:div w:id="1864712192">
      <w:bodyDiv w:val="1"/>
      <w:marLeft w:val="0"/>
      <w:marRight w:val="0"/>
      <w:marTop w:val="0"/>
      <w:marBottom w:val="0"/>
      <w:divBdr>
        <w:top w:val="none" w:sz="0" w:space="0" w:color="auto"/>
        <w:left w:val="none" w:sz="0" w:space="0" w:color="auto"/>
        <w:bottom w:val="none" w:sz="0" w:space="0" w:color="auto"/>
        <w:right w:val="none" w:sz="0" w:space="0" w:color="auto"/>
      </w:divBdr>
    </w:div>
    <w:div w:id="1865441923">
      <w:bodyDiv w:val="1"/>
      <w:marLeft w:val="0"/>
      <w:marRight w:val="0"/>
      <w:marTop w:val="0"/>
      <w:marBottom w:val="0"/>
      <w:divBdr>
        <w:top w:val="none" w:sz="0" w:space="0" w:color="auto"/>
        <w:left w:val="none" w:sz="0" w:space="0" w:color="auto"/>
        <w:bottom w:val="none" w:sz="0" w:space="0" w:color="auto"/>
        <w:right w:val="none" w:sz="0" w:space="0" w:color="auto"/>
      </w:divBdr>
    </w:div>
    <w:div w:id="1866089161">
      <w:bodyDiv w:val="1"/>
      <w:marLeft w:val="0"/>
      <w:marRight w:val="0"/>
      <w:marTop w:val="0"/>
      <w:marBottom w:val="0"/>
      <w:divBdr>
        <w:top w:val="none" w:sz="0" w:space="0" w:color="auto"/>
        <w:left w:val="none" w:sz="0" w:space="0" w:color="auto"/>
        <w:bottom w:val="none" w:sz="0" w:space="0" w:color="auto"/>
        <w:right w:val="none" w:sz="0" w:space="0" w:color="auto"/>
      </w:divBdr>
    </w:div>
    <w:div w:id="1869028435">
      <w:bodyDiv w:val="1"/>
      <w:marLeft w:val="0"/>
      <w:marRight w:val="0"/>
      <w:marTop w:val="0"/>
      <w:marBottom w:val="0"/>
      <w:divBdr>
        <w:top w:val="none" w:sz="0" w:space="0" w:color="auto"/>
        <w:left w:val="none" w:sz="0" w:space="0" w:color="auto"/>
        <w:bottom w:val="none" w:sz="0" w:space="0" w:color="auto"/>
        <w:right w:val="none" w:sz="0" w:space="0" w:color="auto"/>
      </w:divBdr>
    </w:div>
    <w:div w:id="1869832573">
      <w:bodyDiv w:val="1"/>
      <w:marLeft w:val="0"/>
      <w:marRight w:val="0"/>
      <w:marTop w:val="0"/>
      <w:marBottom w:val="0"/>
      <w:divBdr>
        <w:top w:val="none" w:sz="0" w:space="0" w:color="auto"/>
        <w:left w:val="none" w:sz="0" w:space="0" w:color="auto"/>
        <w:bottom w:val="none" w:sz="0" w:space="0" w:color="auto"/>
        <w:right w:val="none" w:sz="0" w:space="0" w:color="auto"/>
      </w:divBdr>
    </w:div>
    <w:div w:id="1870750857">
      <w:bodyDiv w:val="1"/>
      <w:marLeft w:val="0"/>
      <w:marRight w:val="0"/>
      <w:marTop w:val="0"/>
      <w:marBottom w:val="0"/>
      <w:divBdr>
        <w:top w:val="none" w:sz="0" w:space="0" w:color="auto"/>
        <w:left w:val="none" w:sz="0" w:space="0" w:color="auto"/>
        <w:bottom w:val="none" w:sz="0" w:space="0" w:color="auto"/>
        <w:right w:val="none" w:sz="0" w:space="0" w:color="auto"/>
      </w:divBdr>
    </w:div>
    <w:div w:id="1873884270">
      <w:bodyDiv w:val="1"/>
      <w:marLeft w:val="0"/>
      <w:marRight w:val="0"/>
      <w:marTop w:val="0"/>
      <w:marBottom w:val="0"/>
      <w:divBdr>
        <w:top w:val="none" w:sz="0" w:space="0" w:color="auto"/>
        <w:left w:val="none" w:sz="0" w:space="0" w:color="auto"/>
        <w:bottom w:val="none" w:sz="0" w:space="0" w:color="auto"/>
        <w:right w:val="none" w:sz="0" w:space="0" w:color="auto"/>
      </w:divBdr>
    </w:div>
    <w:div w:id="1885016200">
      <w:bodyDiv w:val="1"/>
      <w:marLeft w:val="0"/>
      <w:marRight w:val="0"/>
      <w:marTop w:val="0"/>
      <w:marBottom w:val="0"/>
      <w:divBdr>
        <w:top w:val="none" w:sz="0" w:space="0" w:color="auto"/>
        <w:left w:val="none" w:sz="0" w:space="0" w:color="auto"/>
        <w:bottom w:val="none" w:sz="0" w:space="0" w:color="auto"/>
        <w:right w:val="none" w:sz="0" w:space="0" w:color="auto"/>
      </w:divBdr>
    </w:div>
    <w:div w:id="1885754472">
      <w:bodyDiv w:val="1"/>
      <w:marLeft w:val="0"/>
      <w:marRight w:val="0"/>
      <w:marTop w:val="0"/>
      <w:marBottom w:val="0"/>
      <w:divBdr>
        <w:top w:val="none" w:sz="0" w:space="0" w:color="auto"/>
        <w:left w:val="none" w:sz="0" w:space="0" w:color="auto"/>
        <w:bottom w:val="none" w:sz="0" w:space="0" w:color="auto"/>
        <w:right w:val="none" w:sz="0" w:space="0" w:color="auto"/>
      </w:divBdr>
    </w:div>
    <w:div w:id="1889754848">
      <w:bodyDiv w:val="1"/>
      <w:marLeft w:val="0"/>
      <w:marRight w:val="0"/>
      <w:marTop w:val="0"/>
      <w:marBottom w:val="0"/>
      <w:divBdr>
        <w:top w:val="none" w:sz="0" w:space="0" w:color="auto"/>
        <w:left w:val="none" w:sz="0" w:space="0" w:color="auto"/>
        <w:bottom w:val="none" w:sz="0" w:space="0" w:color="auto"/>
        <w:right w:val="none" w:sz="0" w:space="0" w:color="auto"/>
      </w:divBdr>
    </w:div>
    <w:div w:id="1889874609">
      <w:bodyDiv w:val="1"/>
      <w:marLeft w:val="0"/>
      <w:marRight w:val="0"/>
      <w:marTop w:val="0"/>
      <w:marBottom w:val="0"/>
      <w:divBdr>
        <w:top w:val="none" w:sz="0" w:space="0" w:color="auto"/>
        <w:left w:val="none" w:sz="0" w:space="0" w:color="auto"/>
        <w:bottom w:val="none" w:sz="0" w:space="0" w:color="auto"/>
        <w:right w:val="none" w:sz="0" w:space="0" w:color="auto"/>
      </w:divBdr>
    </w:div>
    <w:div w:id="1897007787">
      <w:bodyDiv w:val="1"/>
      <w:marLeft w:val="0"/>
      <w:marRight w:val="0"/>
      <w:marTop w:val="0"/>
      <w:marBottom w:val="0"/>
      <w:divBdr>
        <w:top w:val="none" w:sz="0" w:space="0" w:color="auto"/>
        <w:left w:val="none" w:sz="0" w:space="0" w:color="auto"/>
        <w:bottom w:val="none" w:sz="0" w:space="0" w:color="auto"/>
        <w:right w:val="none" w:sz="0" w:space="0" w:color="auto"/>
      </w:divBdr>
    </w:div>
    <w:div w:id="1897354335">
      <w:bodyDiv w:val="1"/>
      <w:marLeft w:val="0"/>
      <w:marRight w:val="0"/>
      <w:marTop w:val="0"/>
      <w:marBottom w:val="0"/>
      <w:divBdr>
        <w:top w:val="none" w:sz="0" w:space="0" w:color="auto"/>
        <w:left w:val="none" w:sz="0" w:space="0" w:color="auto"/>
        <w:bottom w:val="none" w:sz="0" w:space="0" w:color="auto"/>
        <w:right w:val="none" w:sz="0" w:space="0" w:color="auto"/>
      </w:divBdr>
    </w:div>
    <w:div w:id="1903834659">
      <w:bodyDiv w:val="1"/>
      <w:marLeft w:val="0"/>
      <w:marRight w:val="0"/>
      <w:marTop w:val="0"/>
      <w:marBottom w:val="0"/>
      <w:divBdr>
        <w:top w:val="none" w:sz="0" w:space="0" w:color="auto"/>
        <w:left w:val="none" w:sz="0" w:space="0" w:color="auto"/>
        <w:bottom w:val="none" w:sz="0" w:space="0" w:color="auto"/>
        <w:right w:val="none" w:sz="0" w:space="0" w:color="auto"/>
      </w:divBdr>
    </w:div>
    <w:div w:id="1905599676">
      <w:bodyDiv w:val="1"/>
      <w:marLeft w:val="0"/>
      <w:marRight w:val="0"/>
      <w:marTop w:val="0"/>
      <w:marBottom w:val="0"/>
      <w:divBdr>
        <w:top w:val="none" w:sz="0" w:space="0" w:color="auto"/>
        <w:left w:val="none" w:sz="0" w:space="0" w:color="auto"/>
        <w:bottom w:val="none" w:sz="0" w:space="0" w:color="auto"/>
        <w:right w:val="none" w:sz="0" w:space="0" w:color="auto"/>
      </w:divBdr>
    </w:div>
    <w:div w:id="1906060271">
      <w:bodyDiv w:val="1"/>
      <w:marLeft w:val="0"/>
      <w:marRight w:val="0"/>
      <w:marTop w:val="0"/>
      <w:marBottom w:val="0"/>
      <w:divBdr>
        <w:top w:val="none" w:sz="0" w:space="0" w:color="auto"/>
        <w:left w:val="none" w:sz="0" w:space="0" w:color="auto"/>
        <w:bottom w:val="none" w:sz="0" w:space="0" w:color="auto"/>
        <w:right w:val="none" w:sz="0" w:space="0" w:color="auto"/>
      </w:divBdr>
    </w:div>
    <w:div w:id="1908227491">
      <w:bodyDiv w:val="1"/>
      <w:marLeft w:val="0"/>
      <w:marRight w:val="0"/>
      <w:marTop w:val="0"/>
      <w:marBottom w:val="0"/>
      <w:divBdr>
        <w:top w:val="none" w:sz="0" w:space="0" w:color="auto"/>
        <w:left w:val="none" w:sz="0" w:space="0" w:color="auto"/>
        <w:bottom w:val="none" w:sz="0" w:space="0" w:color="auto"/>
        <w:right w:val="none" w:sz="0" w:space="0" w:color="auto"/>
      </w:divBdr>
    </w:div>
    <w:div w:id="1909728966">
      <w:bodyDiv w:val="1"/>
      <w:marLeft w:val="0"/>
      <w:marRight w:val="0"/>
      <w:marTop w:val="0"/>
      <w:marBottom w:val="0"/>
      <w:divBdr>
        <w:top w:val="none" w:sz="0" w:space="0" w:color="auto"/>
        <w:left w:val="none" w:sz="0" w:space="0" w:color="auto"/>
        <w:bottom w:val="none" w:sz="0" w:space="0" w:color="auto"/>
        <w:right w:val="none" w:sz="0" w:space="0" w:color="auto"/>
      </w:divBdr>
    </w:div>
    <w:div w:id="1913084153">
      <w:bodyDiv w:val="1"/>
      <w:marLeft w:val="0"/>
      <w:marRight w:val="0"/>
      <w:marTop w:val="0"/>
      <w:marBottom w:val="0"/>
      <w:divBdr>
        <w:top w:val="none" w:sz="0" w:space="0" w:color="auto"/>
        <w:left w:val="none" w:sz="0" w:space="0" w:color="auto"/>
        <w:bottom w:val="none" w:sz="0" w:space="0" w:color="auto"/>
        <w:right w:val="none" w:sz="0" w:space="0" w:color="auto"/>
      </w:divBdr>
    </w:div>
    <w:div w:id="1914000484">
      <w:bodyDiv w:val="1"/>
      <w:marLeft w:val="0"/>
      <w:marRight w:val="0"/>
      <w:marTop w:val="0"/>
      <w:marBottom w:val="0"/>
      <w:divBdr>
        <w:top w:val="none" w:sz="0" w:space="0" w:color="auto"/>
        <w:left w:val="none" w:sz="0" w:space="0" w:color="auto"/>
        <w:bottom w:val="none" w:sz="0" w:space="0" w:color="auto"/>
        <w:right w:val="none" w:sz="0" w:space="0" w:color="auto"/>
      </w:divBdr>
    </w:div>
    <w:div w:id="1917546380">
      <w:bodyDiv w:val="1"/>
      <w:marLeft w:val="0"/>
      <w:marRight w:val="0"/>
      <w:marTop w:val="0"/>
      <w:marBottom w:val="0"/>
      <w:divBdr>
        <w:top w:val="none" w:sz="0" w:space="0" w:color="auto"/>
        <w:left w:val="none" w:sz="0" w:space="0" w:color="auto"/>
        <w:bottom w:val="none" w:sz="0" w:space="0" w:color="auto"/>
        <w:right w:val="none" w:sz="0" w:space="0" w:color="auto"/>
      </w:divBdr>
    </w:div>
    <w:div w:id="1920484929">
      <w:bodyDiv w:val="1"/>
      <w:marLeft w:val="0"/>
      <w:marRight w:val="0"/>
      <w:marTop w:val="0"/>
      <w:marBottom w:val="0"/>
      <w:divBdr>
        <w:top w:val="none" w:sz="0" w:space="0" w:color="auto"/>
        <w:left w:val="none" w:sz="0" w:space="0" w:color="auto"/>
        <w:bottom w:val="none" w:sz="0" w:space="0" w:color="auto"/>
        <w:right w:val="none" w:sz="0" w:space="0" w:color="auto"/>
      </w:divBdr>
    </w:div>
    <w:div w:id="1920627760">
      <w:bodyDiv w:val="1"/>
      <w:marLeft w:val="0"/>
      <w:marRight w:val="0"/>
      <w:marTop w:val="0"/>
      <w:marBottom w:val="0"/>
      <w:divBdr>
        <w:top w:val="none" w:sz="0" w:space="0" w:color="auto"/>
        <w:left w:val="none" w:sz="0" w:space="0" w:color="auto"/>
        <w:bottom w:val="none" w:sz="0" w:space="0" w:color="auto"/>
        <w:right w:val="none" w:sz="0" w:space="0" w:color="auto"/>
      </w:divBdr>
    </w:div>
    <w:div w:id="1921014437">
      <w:bodyDiv w:val="1"/>
      <w:marLeft w:val="0"/>
      <w:marRight w:val="0"/>
      <w:marTop w:val="0"/>
      <w:marBottom w:val="0"/>
      <w:divBdr>
        <w:top w:val="none" w:sz="0" w:space="0" w:color="auto"/>
        <w:left w:val="none" w:sz="0" w:space="0" w:color="auto"/>
        <w:bottom w:val="none" w:sz="0" w:space="0" w:color="auto"/>
        <w:right w:val="none" w:sz="0" w:space="0" w:color="auto"/>
      </w:divBdr>
    </w:div>
    <w:div w:id="1921716105">
      <w:bodyDiv w:val="1"/>
      <w:marLeft w:val="0"/>
      <w:marRight w:val="0"/>
      <w:marTop w:val="0"/>
      <w:marBottom w:val="0"/>
      <w:divBdr>
        <w:top w:val="none" w:sz="0" w:space="0" w:color="auto"/>
        <w:left w:val="none" w:sz="0" w:space="0" w:color="auto"/>
        <w:bottom w:val="none" w:sz="0" w:space="0" w:color="auto"/>
        <w:right w:val="none" w:sz="0" w:space="0" w:color="auto"/>
      </w:divBdr>
    </w:div>
    <w:div w:id="1927299847">
      <w:bodyDiv w:val="1"/>
      <w:marLeft w:val="0"/>
      <w:marRight w:val="0"/>
      <w:marTop w:val="0"/>
      <w:marBottom w:val="0"/>
      <w:divBdr>
        <w:top w:val="none" w:sz="0" w:space="0" w:color="auto"/>
        <w:left w:val="none" w:sz="0" w:space="0" w:color="auto"/>
        <w:bottom w:val="none" w:sz="0" w:space="0" w:color="auto"/>
        <w:right w:val="none" w:sz="0" w:space="0" w:color="auto"/>
      </w:divBdr>
    </w:div>
    <w:div w:id="1927348401">
      <w:bodyDiv w:val="1"/>
      <w:marLeft w:val="0"/>
      <w:marRight w:val="0"/>
      <w:marTop w:val="0"/>
      <w:marBottom w:val="0"/>
      <w:divBdr>
        <w:top w:val="none" w:sz="0" w:space="0" w:color="auto"/>
        <w:left w:val="none" w:sz="0" w:space="0" w:color="auto"/>
        <w:bottom w:val="none" w:sz="0" w:space="0" w:color="auto"/>
        <w:right w:val="none" w:sz="0" w:space="0" w:color="auto"/>
      </w:divBdr>
    </w:div>
    <w:div w:id="1928270265">
      <w:bodyDiv w:val="1"/>
      <w:marLeft w:val="0"/>
      <w:marRight w:val="0"/>
      <w:marTop w:val="0"/>
      <w:marBottom w:val="0"/>
      <w:divBdr>
        <w:top w:val="none" w:sz="0" w:space="0" w:color="auto"/>
        <w:left w:val="none" w:sz="0" w:space="0" w:color="auto"/>
        <w:bottom w:val="none" w:sz="0" w:space="0" w:color="auto"/>
        <w:right w:val="none" w:sz="0" w:space="0" w:color="auto"/>
      </w:divBdr>
    </w:div>
    <w:div w:id="1928615549">
      <w:bodyDiv w:val="1"/>
      <w:marLeft w:val="0"/>
      <w:marRight w:val="0"/>
      <w:marTop w:val="0"/>
      <w:marBottom w:val="0"/>
      <w:divBdr>
        <w:top w:val="none" w:sz="0" w:space="0" w:color="auto"/>
        <w:left w:val="none" w:sz="0" w:space="0" w:color="auto"/>
        <w:bottom w:val="none" w:sz="0" w:space="0" w:color="auto"/>
        <w:right w:val="none" w:sz="0" w:space="0" w:color="auto"/>
      </w:divBdr>
    </w:div>
    <w:div w:id="1930121321">
      <w:bodyDiv w:val="1"/>
      <w:marLeft w:val="0"/>
      <w:marRight w:val="0"/>
      <w:marTop w:val="0"/>
      <w:marBottom w:val="0"/>
      <w:divBdr>
        <w:top w:val="none" w:sz="0" w:space="0" w:color="auto"/>
        <w:left w:val="none" w:sz="0" w:space="0" w:color="auto"/>
        <w:bottom w:val="none" w:sz="0" w:space="0" w:color="auto"/>
        <w:right w:val="none" w:sz="0" w:space="0" w:color="auto"/>
      </w:divBdr>
    </w:div>
    <w:div w:id="1932083833">
      <w:bodyDiv w:val="1"/>
      <w:marLeft w:val="0"/>
      <w:marRight w:val="0"/>
      <w:marTop w:val="0"/>
      <w:marBottom w:val="0"/>
      <w:divBdr>
        <w:top w:val="none" w:sz="0" w:space="0" w:color="auto"/>
        <w:left w:val="none" w:sz="0" w:space="0" w:color="auto"/>
        <w:bottom w:val="none" w:sz="0" w:space="0" w:color="auto"/>
        <w:right w:val="none" w:sz="0" w:space="0" w:color="auto"/>
      </w:divBdr>
    </w:div>
    <w:div w:id="1933471868">
      <w:bodyDiv w:val="1"/>
      <w:marLeft w:val="0"/>
      <w:marRight w:val="0"/>
      <w:marTop w:val="0"/>
      <w:marBottom w:val="0"/>
      <w:divBdr>
        <w:top w:val="none" w:sz="0" w:space="0" w:color="auto"/>
        <w:left w:val="none" w:sz="0" w:space="0" w:color="auto"/>
        <w:bottom w:val="none" w:sz="0" w:space="0" w:color="auto"/>
        <w:right w:val="none" w:sz="0" w:space="0" w:color="auto"/>
      </w:divBdr>
    </w:div>
    <w:div w:id="1934121773">
      <w:bodyDiv w:val="1"/>
      <w:marLeft w:val="0"/>
      <w:marRight w:val="0"/>
      <w:marTop w:val="0"/>
      <w:marBottom w:val="0"/>
      <w:divBdr>
        <w:top w:val="none" w:sz="0" w:space="0" w:color="auto"/>
        <w:left w:val="none" w:sz="0" w:space="0" w:color="auto"/>
        <w:bottom w:val="none" w:sz="0" w:space="0" w:color="auto"/>
        <w:right w:val="none" w:sz="0" w:space="0" w:color="auto"/>
      </w:divBdr>
    </w:div>
    <w:div w:id="1939369317">
      <w:bodyDiv w:val="1"/>
      <w:marLeft w:val="0"/>
      <w:marRight w:val="0"/>
      <w:marTop w:val="0"/>
      <w:marBottom w:val="0"/>
      <w:divBdr>
        <w:top w:val="none" w:sz="0" w:space="0" w:color="auto"/>
        <w:left w:val="none" w:sz="0" w:space="0" w:color="auto"/>
        <w:bottom w:val="none" w:sz="0" w:space="0" w:color="auto"/>
        <w:right w:val="none" w:sz="0" w:space="0" w:color="auto"/>
      </w:divBdr>
    </w:div>
    <w:div w:id="1944725937">
      <w:bodyDiv w:val="1"/>
      <w:marLeft w:val="0"/>
      <w:marRight w:val="0"/>
      <w:marTop w:val="0"/>
      <w:marBottom w:val="0"/>
      <w:divBdr>
        <w:top w:val="none" w:sz="0" w:space="0" w:color="auto"/>
        <w:left w:val="none" w:sz="0" w:space="0" w:color="auto"/>
        <w:bottom w:val="none" w:sz="0" w:space="0" w:color="auto"/>
        <w:right w:val="none" w:sz="0" w:space="0" w:color="auto"/>
      </w:divBdr>
    </w:div>
    <w:div w:id="1950162264">
      <w:bodyDiv w:val="1"/>
      <w:marLeft w:val="0"/>
      <w:marRight w:val="0"/>
      <w:marTop w:val="0"/>
      <w:marBottom w:val="0"/>
      <w:divBdr>
        <w:top w:val="none" w:sz="0" w:space="0" w:color="auto"/>
        <w:left w:val="none" w:sz="0" w:space="0" w:color="auto"/>
        <w:bottom w:val="none" w:sz="0" w:space="0" w:color="auto"/>
        <w:right w:val="none" w:sz="0" w:space="0" w:color="auto"/>
      </w:divBdr>
    </w:div>
    <w:div w:id="1951082021">
      <w:bodyDiv w:val="1"/>
      <w:marLeft w:val="0"/>
      <w:marRight w:val="0"/>
      <w:marTop w:val="0"/>
      <w:marBottom w:val="0"/>
      <w:divBdr>
        <w:top w:val="none" w:sz="0" w:space="0" w:color="auto"/>
        <w:left w:val="none" w:sz="0" w:space="0" w:color="auto"/>
        <w:bottom w:val="none" w:sz="0" w:space="0" w:color="auto"/>
        <w:right w:val="none" w:sz="0" w:space="0" w:color="auto"/>
      </w:divBdr>
    </w:div>
    <w:div w:id="1956518210">
      <w:bodyDiv w:val="1"/>
      <w:marLeft w:val="0"/>
      <w:marRight w:val="0"/>
      <w:marTop w:val="0"/>
      <w:marBottom w:val="0"/>
      <w:divBdr>
        <w:top w:val="none" w:sz="0" w:space="0" w:color="auto"/>
        <w:left w:val="none" w:sz="0" w:space="0" w:color="auto"/>
        <w:bottom w:val="none" w:sz="0" w:space="0" w:color="auto"/>
        <w:right w:val="none" w:sz="0" w:space="0" w:color="auto"/>
      </w:divBdr>
    </w:div>
    <w:div w:id="1957246710">
      <w:bodyDiv w:val="1"/>
      <w:marLeft w:val="0"/>
      <w:marRight w:val="0"/>
      <w:marTop w:val="0"/>
      <w:marBottom w:val="0"/>
      <w:divBdr>
        <w:top w:val="none" w:sz="0" w:space="0" w:color="auto"/>
        <w:left w:val="none" w:sz="0" w:space="0" w:color="auto"/>
        <w:bottom w:val="none" w:sz="0" w:space="0" w:color="auto"/>
        <w:right w:val="none" w:sz="0" w:space="0" w:color="auto"/>
      </w:divBdr>
    </w:div>
    <w:div w:id="1960143053">
      <w:bodyDiv w:val="1"/>
      <w:marLeft w:val="0"/>
      <w:marRight w:val="0"/>
      <w:marTop w:val="0"/>
      <w:marBottom w:val="0"/>
      <w:divBdr>
        <w:top w:val="none" w:sz="0" w:space="0" w:color="auto"/>
        <w:left w:val="none" w:sz="0" w:space="0" w:color="auto"/>
        <w:bottom w:val="none" w:sz="0" w:space="0" w:color="auto"/>
        <w:right w:val="none" w:sz="0" w:space="0" w:color="auto"/>
      </w:divBdr>
    </w:div>
    <w:div w:id="1965455269">
      <w:bodyDiv w:val="1"/>
      <w:marLeft w:val="0"/>
      <w:marRight w:val="0"/>
      <w:marTop w:val="0"/>
      <w:marBottom w:val="0"/>
      <w:divBdr>
        <w:top w:val="none" w:sz="0" w:space="0" w:color="auto"/>
        <w:left w:val="none" w:sz="0" w:space="0" w:color="auto"/>
        <w:bottom w:val="none" w:sz="0" w:space="0" w:color="auto"/>
        <w:right w:val="none" w:sz="0" w:space="0" w:color="auto"/>
      </w:divBdr>
    </w:div>
    <w:div w:id="1966344939">
      <w:bodyDiv w:val="1"/>
      <w:marLeft w:val="0"/>
      <w:marRight w:val="0"/>
      <w:marTop w:val="0"/>
      <w:marBottom w:val="0"/>
      <w:divBdr>
        <w:top w:val="none" w:sz="0" w:space="0" w:color="auto"/>
        <w:left w:val="none" w:sz="0" w:space="0" w:color="auto"/>
        <w:bottom w:val="none" w:sz="0" w:space="0" w:color="auto"/>
        <w:right w:val="none" w:sz="0" w:space="0" w:color="auto"/>
      </w:divBdr>
    </w:div>
    <w:div w:id="1967658430">
      <w:bodyDiv w:val="1"/>
      <w:marLeft w:val="0"/>
      <w:marRight w:val="0"/>
      <w:marTop w:val="0"/>
      <w:marBottom w:val="0"/>
      <w:divBdr>
        <w:top w:val="none" w:sz="0" w:space="0" w:color="auto"/>
        <w:left w:val="none" w:sz="0" w:space="0" w:color="auto"/>
        <w:bottom w:val="none" w:sz="0" w:space="0" w:color="auto"/>
        <w:right w:val="none" w:sz="0" w:space="0" w:color="auto"/>
      </w:divBdr>
    </w:div>
    <w:div w:id="1967664203">
      <w:bodyDiv w:val="1"/>
      <w:marLeft w:val="0"/>
      <w:marRight w:val="0"/>
      <w:marTop w:val="0"/>
      <w:marBottom w:val="0"/>
      <w:divBdr>
        <w:top w:val="none" w:sz="0" w:space="0" w:color="auto"/>
        <w:left w:val="none" w:sz="0" w:space="0" w:color="auto"/>
        <w:bottom w:val="none" w:sz="0" w:space="0" w:color="auto"/>
        <w:right w:val="none" w:sz="0" w:space="0" w:color="auto"/>
      </w:divBdr>
    </w:div>
    <w:div w:id="1972786817">
      <w:bodyDiv w:val="1"/>
      <w:marLeft w:val="0"/>
      <w:marRight w:val="0"/>
      <w:marTop w:val="0"/>
      <w:marBottom w:val="0"/>
      <w:divBdr>
        <w:top w:val="none" w:sz="0" w:space="0" w:color="auto"/>
        <w:left w:val="none" w:sz="0" w:space="0" w:color="auto"/>
        <w:bottom w:val="none" w:sz="0" w:space="0" w:color="auto"/>
        <w:right w:val="none" w:sz="0" w:space="0" w:color="auto"/>
      </w:divBdr>
    </w:div>
    <w:div w:id="1976181007">
      <w:bodyDiv w:val="1"/>
      <w:marLeft w:val="0"/>
      <w:marRight w:val="0"/>
      <w:marTop w:val="0"/>
      <w:marBottom w:val="0"/>
      <w:divBdr>
        <w:top w:val="none" w:sz="0" w:space="0" w:color="auto"/>
        <w:left w:val="none" w:sz="0" w:space="0" w:color="auto"/>
        <w:bottom w:val="none" w:sz="0" w:space="0" w:color="auto"/>
        <w:right w:val="none" w:sz="0" w:space="0" w:color="auto"/>
      </w:divBdr>
    </w:div>
    <w:div w:id="1976569894">
      <w:bodyDiv w:val="1"/>
      <w:marLeft w:val="0"/>
      <w:marRight w:val="0"/>
      <w:marTop w:val="0"/>
      <w:marBottom w:val="0"/>
      <w:divBdr>
        <w:top w:val="none" w:sz="0" w:space="0" w:color="auto"/>
        <w:left w:val="none" w:sz="0" w:space="0" w:color="auto"/>
        <w:bottom w:val="none" w:sz="0" w:space="0" w:color="auto"/>
        <w:right w:val="none" w:sz="0" w:space="0" w:color="auto"/>
      </w:divBdr>
    </w:div>
    <w:div w:id="1978415315">
      <w:bodyDiv w:val="1"/>
      <w:marLeft w:val="0"/>
      <w:marRight w:val="0"/>
      <w:marTop w:val="0"/>
      <w:marBottom w:val="0"/>
      <w:divBdr>
        <w:top w:val="none" w:sz="0" w:space="0" w:color="auto"/>
        <w:left w:val="none" w:sz="0" w:space="0" w:color="auto"/>
        <w:bottom w:val="none" w:sz="0" w:space="0" w:color="auto"/>
        <w:right w:val="none" w:sz="0" w:space="0" w:color="auto"/>
      </w:divBdr>
    </w:div>
    <w:div w:id="198326658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7313789">
      <w:bodyDiv w:val="1"/>
      <w:marLeft w:val="0"/>
      <w:marRight w:val="0"/>
      <w:marTop w:val="0"/>
      <w:marBottom w:val="0"/>
      <w:divBdr>
        <w:top w:val="none" w:sz="0" w:space="0" w:color="auto"/>
        <w:left w:val="none" w:sz="0" w:space="0" w:color="auto"/>
        <w:bottom w:val="none" w:sz="0" w:space="0" w:color="auto"/>
        <w:right w:val="none" w:sz="0" w:space="0" w:color="auto"/>
      </w:divBdr>
    </w:div>
    <w:div w:id="1991518407">
      <w:bodyDiv w:val="1"/>
      <w:marLeft w:val="0"/>
      <w:marRight w:val="0"/>
      <w:marTop w:val="0"/>
      <w:marBottom w:val="0"/>
      <w:divBdr>
        <w:top w:val="none" w:sz="0" w:space="0" w:color="auto"/>
        <w:left w:val="none" w:sz="0" w:space="0" w:color="auto"/>
        <w:bottom w:val="none" w:sz="0" w:space="0" w:color="auto"/>
        <w:right w:val="none" w:sz="0" w:space="0" w:color="auto"/>
      </w:divBdr>
    </w:div>
    <w:div w:id="1992294923">
      <w:bodyDiv w:val="1"/>
      <w:marLeft w:val="0"/>
      <w:marRight w:val="0"/>
      <w:marTop w:val="0"/>
      <w:marBottom w:val="0"/>
      <w:divBdr>
        <w:top w:val="none" w:sz="0" w:space="0" w:color="auto"/>
        <w:left w:val="none" w:sz="0" w:space="0" w:color="auto"/>
        <w:bottom w:val="none" w:sz="0" w:space="0" w:color="auto"/>
        <w:right w:val="none" w:sz="0" w:space="0" w:color="auto"/>
      </w:divBdr>
    </w:div>
    <w:div w:id="1996109306">
      <w:bodyDiv w:val="1"/>
      <w:marLeft w:val="0"/>
      <w:marRight w:val="0"/>
      <w:marTop w:val="0"/>
      <w:marBottom w:val="0"/>
      <w:divBdr>
        <w:top w:val="none" w:sz="0" w:space="0" w:color="auto"/>
        <w:left w:val="none" w:sz="0" w:space="0" w:color="auto"/>
        <w:bottom w:val="none" w:sz="0" w:space="0" w:color="auto"/>
        <w:right w:val="none" w:sz="0" w:space="0" w:color="auto"/>
      </w:divBdr>
    </w:div>
    <w:div w:id="1998028464">
      <w:bodyDiv w:val="1"/>
      <w:marLeft w:val="0"/>
      <w:marRight w:val="0"/>
      <w:marTop w:val="0"/>
      <w:marBottom w:val="0"/>
      <w:divBdr>
        <w:top w:val="none" w:sz="0" w:space="0" w:color="auto"/>
        <w:left w:val="none" w:sz="0" w:space="0" w:color="auto"/>
        <w:bottom w:val="none" w:sz="0" w:space="0" w:color="auto"/>
        <w:right w:val="none" w:sz="0" w:space="0" w:color="auto"/>
      </w:divBdr>
    </w:div>
    <w:div w:id="2000189383">
      <w:bodyDiv w:val="1"/>
      <w:marLeft w:val="0"/>
      <w:marRight w:val="0"/>
      <w:marTop w:val="0"/>
      <w:marBottom w:val="0"/>
      <w:divBdr>
        <w:top w:val="none" w:sz="0" w:space="0" w:color="auto"/>
        <w:left w:val="none" w:sz="0" w:space="0" w:color="auto"/>
        <w:bottom w:val="none" w:sz="0" w:space="0" w:color="auto"/>
        <w:right w:val="none" w:sz="0" w:space="0" w:color="auto"/>
      </w:divBdr>
    </w:div>
    <w:div w:id="2001809003">
      <w:bodyDiv w:val="1"/>
      <w:marLeft w:val="0"/>
      <w:marRight w:val="0"/>
      <w:marTop w:val="0"/>
      <w:marBottom w:val="0"/>
      <w:divBdr>
        <w:top w:val="none" w:sz="0" w:space="0" w:color="auto"/>
        <w:left w:val="none" w:sz="0" w:space="0" w:color="auto"/>
        <w:bottom w:val="none" w:sz="0" w:space="0" w:color="auto"/>
        <w:right w:val="none" w:sz="0" w:space="0" w:color="auto"/>
      </w:divBdr>
    </w:div>
    <w:div w:id="2004820739">
      <w:bodyDiv w:val="1"/>
      <w:marLeft w:val="0"/>
      <w:marRight w:val="0"/>
      <w:marTop w:val="0"/>
      <w:marBottom w:val="0"/>
      <w:divBdr>
        <w:top w:val="none" w:sz="0" w:space="0" w:color="auto"/>
        <w:left w:val="none" w:sz="0" w:space="0" w:color="auto"/>
        <w:bottom w:val="none" w:sz="0" w:space="0" w:color="auto"/>
        <w:right w:val="none" w:sz="0" w:space="0" w:color="auto"/>
      </w:divBdr>
    </w:div>
    <w:div w:id="2006080901">
      <w:bodyDiv w:val="1"/>
      <w:marLeft w:val="0"/>
      <w:marRight w:val="0"/>
      <w:marTop w:val="0"/>
      <w:marBottom w:val="0"/>
      <w:divBdr>
        <w:top w:val="none" w:sz="0" w:space="0" w:color="auto"/>
        <w:left w:val="none" w:sz="0" w:space="0" w:color="auto"/>
        <w:bottom w:val="none" w:sz="0" w:space="0" w:color="auto"/>
        <w:right w:val="none" w:sz="0" w:space="0" w:color="auto"/>
      </w:divBdr>
    </w:div>
    <w:div w:id="2007123779">
      <w:bodyDiv w:val="1"/>
      <w:marLeft w:val="0"/>
      <w:marRight w:val="0"/>
      <w:marTop w:val="0"/>
      <w:marBottom w:val="0"/>
      <w:divBdr>
        <w:top w:val="none" w:sz="0" w:space="0" w:color="auto"/>
        <w:left w:val="none" w:sz="0" w:space="0" w:color="auto"/>
        <w:bottom w:val="none" w:sz="0" w:space="0" w:color="auto"/>
        <w:right w:val="none" w:sz="0" w:space="0" w:color="auto"/>
      </w:divBdr>
    </w:div>
    <w:div w:id="2011055013">
      <w:bodyDiv w:val="1"/>
      <w:marLeft w:val="0"/>
      <w:marRight w:val="0"/>
      <w:marTop w:val="0"/>
      <w:marBottom w:val="0"/>
      <w:divBdr>
        <w:top w:val="none" w:sz="0" w:space="0" w:color="auto"/>
        <w:left w:val="none" w:sz="0" w:space="0" w:color="auto"/>
        <w:bottom w:val="none" w:sz="0" w:space="0" w:color="auto"/>
        <w:right w:val="none" w:sz="0" w:space="0" w:color="auto"/>
      </w:divBdr>
    </w:div>
    <w:div w:id="2019699933">
      <w:bodyDiv w:val="1"/>
      <w:marLeft w:val="0"/>
      <w:marRight w:val="0"/>
      <w:marTop w:val="0"/>
      <w:marBottom w:val="0"/>
      <w:divBdr>
        <w:top w:val="none" w:sz="0" w:space="0" w:color="auto"/>
        <w:left w:val="none" w:sz="0" w:space="0" w:color="auto"/>
        <w:bottom w:val="none" w:sz="0" w:space="0" w:color="auto"/>
        <w:right w:val="none" w:sz="0" w:space="0" w:color="auto"/>
      </w:divBdr>
    </w:div>
    <w:div w:id="2022200828">
      <w:bodyDiv w:val="1"/>
      <w:marLeft w:val="0"/>
      <w:marRight w:val="0"/>
      <w:marTop w:val="0"/>
      <w:marBottom w:val="0"/>
      <w:divBdr>
        <w:top w:val="none" w:sz="0" w:space="0" w:color="auto"/>
        <w:left w:val="none" w:sz="0" w:space="0" w:color="auto"/>
        <w:bottom w:val="none" w:sz="0" w:space="0" w:color="auto"/>
        <w:right w:val="none" w:sz="0" w:space="0" w:color="auto"/>
      </w:divBdr>
    </w:div>
    <w:div w:id="2025670461">
      <w:bodyDiv w:val="1"/>
      <w:marLeft w:val="0"/>
      <w:marRight w:val="0"/>
      <w:marTop w:val="0"/>
      <w:marBottom w:val="0"/>
      <w:divBdr>
        <w:top w:val="none" w:sz="0" w:space="0" w:color="auto"/>
        <w:left w:val="none" w:sz="0" w:space="0" w:color="auto"/>
        <w:bottom w:val="none" w:sz="0" w:space="0" w:color="auto"/>
        <w:right w:val="none" w:sz="0" w:space="0" w:color="auto"/>
      </w:divBdr>
    </w:div>
    <w:div w:id="2027168761">
      <w:bodyDiv w:val="1"/>
      <w:marLeft w:val="0"/>
      <w:marRight w:val="0"/>
      <w:marTop w:val="0"/>
      <w:marBottom w:val="0"/>
      <w:divBdr>
        <w:top w:val="none" w:sz="0" w:space="0" w:color="auto"/>
        <w:left w:val="none" w:sz="0" w:space="0" w:color="auto"/>
        <w:bottom w:val="none" w:sz="0" w:space="0" w:color="auto"/>
        <w:right w:val="none" w:sz="0" w:space="0" w:color="auto"/>
      </w:divBdr>
    </w:div>
    <w:div w:id="2028022881">
      <w:bodyDiv w:val="1"/>
      <w:marLeft w:val="0"/>
      <w:marRight w:val="0"/>
      <w:marTop w:val="0"/>
      <w:marBottom w:val="0"/>
      <w:divBdr>
        <w:top w:val="none" w:sz="0" w:space="0" w:color="auto"/>
        <w:left w:val="none" w:sz="0" w:space="0" w:color="auto"/>
        <w:bottom w:val="none" w:sz="0" w:space="0" w:color="auto"/>
        <w:right w:val="none" w:sz="0" w:space="0" w:color="auto"/>
      </w:divBdr>
    </w:div>
    <w:div w:id="2028097250">
      <w:bodyDiv w:val="1"/>
      <w:marLeft w:val="0"/>
      <w:marRight w:val="0"/>
      <w:marTop w:val="0"/>
      <w:marBottom w:val="0"/>
      <w:divBdr>
        <w:top w:val="none" w:sz="0" w:space="0" w:color="auto"/>
        <w:left w:val="none" w:sz="0" w:space="0" w:color="auto"/>
        <w:bottom w:val="none" w:sz="0" w:space="0" w:color="auto"/>
        <w:right w:val="none" w:sz="0" w:space="0" w:color="auto"/>
      </w:divBdr>
    </w:div>
    <w:div w:id="2030331948">
      <w:bodyDiv w:val="1"/>
      <w:marLeft w:val="0"/>
      <w:marRight w:val="0"/>
      <w:marTop w:val="0"/>
      <w:marBottom w:val="0"/>
      <w:divBdr>
        <w:top w:val="none" w:sz="0" w:space="0" w:color="auto"/>
        <w:left w:val="none" w:sz="0" w:space="0" w:color="auto"/>
        <w:bottom w:val="none" w:sz="0" w:space="0" w:color="auto"/>
        <w:right w:val="none" w:sz="0" w:space="0" w:color="auto"/>
      </w:divBdr>
    </w:div>
    <w:div w:id="2034183072">
      <w:bodyDiv w:val="1"/>
      <w:marLeft w:val="0"/>
      <w:marRight w:val="0"/>
      <w:marTop w:val="0"/>
      <w:marBottom w:val="0"/>
      <w:divBdr>
        <w:top w:val="none" w:sz="0" w:space="0" w:color="auto"/>
        <w:left w:val="none" w:sz="0" w:space="0" w:color="auto"/>
        <w:bottom w:val="none" w:sz="0" w:space="0" w:color="auto"/>
        <w:right w:val="none" w:sz="0" w:space="0" w:color="auto"/>
      </w:divBdr>
    </w:div>
    <w:div w:id="2035492500">
      <w:bodyDiv w:val="1"/>
      <w:marLeft w:val="0"/>
      <w:marRight w:val="0"/>
      <w:marTop w:val="0"/>
      <w:marBottom w:val="0"/>
      <w:divBdr>
        <w:top w:val="none" w:sz="0" w:space="0" w:color="auto"/>
        <w:left w:val="none" w:sz="0" w:space="0" w:color="auto"/>
        <w:bottom w:val="none" w:sz="0" w:space="0" w:color="auto"/>
        <w:right w:val="none" w:sz="0" w:space="0" w:color="auto"/>
      </w:divBdr>
    </w:div>
    <w:div w:id="2036497686">
      <w:bodyDiv w:val="1"/>
      <w:marLeft w:val="0"/>
      <w:marRight w:val="0"/>
      <w:marTop w:val="0"/>
      <w:marBottom w:val="0"/>
      <w:divBdr>
        <w:top w:val="none" w:sz="0" w:space="0" w:color="auto"/>
        <w:left w:val="none" w:sz="0" w:space="0" w:color="auto"/>
        <w:bottom w:val="none" w:sz="0" w:space="0" w:color="auto"/>
        <w:right w:val="none" w:sz="0" w:space="0" w:color="auto"/>
      </w:divBdr>
    </w:div>
    <w:div w:id="2040546989">
      <w:bodyDiv w:val="1"/>
      <w:marLeft w:val="0"/>
      <w:marRight w:val="0"/>
      <w:marTop w:val="0"/>
      <w:marBottom w:val="0"/>
      <w:divBdr>
        <w:top w:val="none" w:sz="0" w:space="0" w:color="auto"/>
        <w:left w:val="none" w:sz="0" w:space="0" w:color="auto"/>
        <w:bottom w:val="none" w:sz="0" w:space="0" w:color="auto"/>
        <w:right w:val="none" w:sz="0" w:space="0" w:color="auto"/>
      </w:divBdr>
    </w:div>
    <w:div w:id="2041084713">
      <w:bodyDiv w:val="1"/>
      <w:marLeft w:val="0"/>
      <w:marRight w:val="0"/>
      <w:marTop w:val="0"/>
      <w:marBottom w:val="0"/>
      <w:divBdr>
        <w:top w:val="none" w:sz="0" w:space="0" w:color="auto"/>
        <w:left w:val="none" w:sz="0" w:space="0" w:color="auto"/>
        <w:bottom w:val="none" w:sz="0" w:space="0" w:color="auto"/>
        <w:right w:val="none" w:sz="0" w:space="0" w:color="auto"/>
      </w:divBdr>
    </w:div>
    <w:div w:id="2041585390">
      <w:bodyDiv w:val="1"/>
      <w:marLeft w:val="0"/>
      <w:marRight w:val="0"/>
      <w:marTop w:val="0"/>
      <w:marBottom w:val="0"/>
      <w:divBdr>
        <w:top w:val="none" w:sz="0" w:space="0" w:color="auto"/>
        <w:left w:val="none" w:sz="0" w:space="0" w:color="auto"/>
        <w:bottom w:val="none" w:sz="0" w:space="0" w:color="auto"/>
        <w:right w:val="none" w:sz="0" w:space="0" w:color="auto"/>
      </w:divBdr>
    </w:div>
    <w:div w:id="2042585119">
      <w:bodyDiv w:val="1"/>
      <w:marLeft w:val="0"/>
      <w:marRight w:val="0"/>
      <w:marTop w:val="0"/>
      <w:marBottom w:val="0"/>
      <w:divBdr>
        <w:top w:val="none" w:sz="0" w:space="0" w:color="auto"/>
        <w:left w:val="none" w:sz="0" w:space="0" w:color="auto"/>
        <w:bottom w:val="none" w:sz="0" w:space="0" w:color="auto"/>
        <w:right w:val="none" w:sz="0" w:space="0" w:color="auto"/>
      </w:divBdr>
    </w:div>
    <w:div w:id="2042705329">
      <w:bodyDiv w:val="1"/>
      <w:marLeft w:val="0"/>
      <w:marRight w:val="0"/>
      <w:marTop w:val="0"/>
      <w:marBottom w:val="0"/>
      <w:divBdr>
        <w:top w:val="none" w:sz="0" w:space="0" w:color="auto"/>
        <w:left w:val="none" w:sz="0" w:space="0" w:color="auto"/>
        <w:bottom w:val="none" w:sz="0" w:space="0" w:color="auto"/>
        <w:right w:val="none" w:sz="0" w:space="0" w:color="auto"/>
      </w:divBdr>
    </w:div>
    <w:div w:id="2050761976">
      <w:bodyDiv w:val="1"/>
      <w:marLeft w:val="0"/>
      <w:marRight w:val="0"/>
      <w:marTop w:val="0"/>
      <w:marBottom w:val="0"/>
      <w:divBdr>
        <w:top w:val="none" w:sz="0" w:space="0" w:color="auto"/>
        <w:left w:val="none" w:sz="0" w:space="0" w:color="auto"/>
        <w:bottom w:val="none" w:sz="0" w:space="0" w:color="auto"/>
        <w:right w:val="none" w:sz="0" w:space="0" w:color="auto"/>
      </w:divBdr>
    </w:div>
    <w:div w:id="2056006989">
      <w:bodyDiv w:val="1"/>
      <w:marLeft w:val="0"/>
      <w:marRight w:val="0"/>
      <w:marTop w:val="0"/>
      <w:marBottom w:val="0"/>
      <w:divBdr>
        <w:top w:val="none" w:sz="0" w:space="0" w:color="auto"/>
        <w:left w:val="none" w:sz="0" w:space="0" w:color="auto"/>
        <w:bottom w:val="none" w:sz="0" w:space="0" w:color="auto"/>
        <w:right w:val="none" w:sz="0" w:space="0" w:color="auto"/>
      </w:divBdr>
    </w:div>
    <w:div w:id="2057658778">
      <w:bodyDiv w:val="1"/>
      <w:marLeft w:val="0"/>
      <w:marRight w:val="0"/>
      <w:marTop w:val="0"/>
      <w:marBottom w:val="0"/>
      <w:divBdr>
        <w:top w:val="none" w:sz="0" w:space="0" w:color="auto"/>
        <w:left w:val="none" w:sz="0" w:space="0" w:color="auto"/>
        <w:bottom w:val="none" w:sz="0" w:space="0" w:color="auto"/>
        <w:right w:val="none" w:sz="0" w:space="0" w:color="auto"/>
      </w:divBdr>
    </w:div>
    <w:div w:id="2060129075">
      <w:bodyDiv w:val="1"/>
      <w:marLeft w:val="0"/>
      <w:marRight w:val="0"/>
      <w:marTop w:val="0"/>
      <w:marBottom w:val="0"/>
      <w:divBdr>
        <w:top w:val="none" w:sz="0" w:space="0" w:color="auto"/>
        <w:left w:val="none" w:sz="0" w:space="0" w:color="auto"/>
        <w:bottom w:val="none" w:sz="0" w:space="0" w:color="auto"/>
        <w:right w:val="none" w:sz="0" w:space="0" w:color="auto"/>
      </w:divBdr>
    </w:div>
    <w:div w:id="2061898366">
      <w:bodyDiv w:val="1"/>
      <w:marLeft w:val="0"/>
      <w:marRight w:val="0"/>
      <w:marTop w:val="0"/>
      <w:marBottom w:val="0"/>
      <w:divBdr>
        <w:top w:val="none" w:sz="0" w:space="0" w:color="auto"/>
        <w:left w:val="none" w:sz="0" w:space="0" w:color="auto"/>
        <w:bottom w:val="none" w:sz="0" w:space="0" w:color="auto"/>
        <w:right w:val="none" w:sz="0" w:space="0" w:color="auto"/>
      </w:divBdr>
    </w:div>
    <w:div w:id="2062122898">
      <w:bodyDiv w:val="1"/>
      <w:marLeft w:val="0"/>
      <w:marRight w:val="0"/>
      <w:marTop w:val="0"/>
      <w:marBottom w:val="0"/>
      <w:divBdr>
        <w:top w:val="none" w:sz="0" w:space="0" w:color="auto"/>
        <w:left w:val="none" w:sz="0" w:space="0" w:color="auto"/>
        <w:bottom w:val="none" w:sz="0" w:space="0" w:color="auto"/>
        <w:right w:val="none" w:sz="0" w:space="0" w:color="auto"/>
      </w:divBdr>
    </w:div>
    <w:div w:id="2064012666">
      <w:bodyDiv w:val="1"/>
      <w:marLeft w:val="0"/>
      <w:marRight w:val="0"/>
      <w:marTop w:val="0"/>
      <w:marBottom w:val="0"/>
      <w:divBdr>
        <w:top w:val="none" w:sz="0" w:space="0" w:color="auto"/>
        <w:left w:val="none" w:sz="0" w:space="0" w:color="auto"/>
        <w:bottom w:val="none" w:sz="0" w:space="0" w:color="auto"/>
        <w:right w:val="none" w:sz="0" w:space="0" w:color="auto"/>
      </w:divBdr>
    </w:div>
    <w:div w:id="2064979653">
      <w:bodyDiv w:val="1"/>
      <w:marLeft w:val="0"/>
      <w:marRight w:val="0"/>
      <w:marTop w:val="0"/>
      <w:marBottom w:val="0"/>
      <w:divBdr>
        <w:top w:val="none" w:sz="0" w:space="0" w:color="auto"/>
        <w:left w:val="none" w:sz="0" w:space="0" w:color="auto"/>
        <w:bottom w:val="none" w:sz="0" w:space="0" w:color="auto"/>
        <w:right w:val="none" w:sz="0" w:space="0" w:color="auto"/>
      </w:divBdr>
    </w:div>
    <w:div w:id="2065786076">
      <w:bodyDiv w:val="1"/>
      <w:marLeft w:val="0"/>
      <w:marRight w:val="0"/>
      <w:marTop w:val="0"/>
      <w:marBottom w:val="0"/>
      <w:divBdr>
        <w:top w:val="none" w:sz="0" w:space="0" w:color="auto"/>
        <w:left w:val="none" w:sz="0" w:space="0" w:color="auto"/>
        <w:bottom w:val="none" w:sz="0" w:space="0" w:color="auto"/>
        <w:right w:val="none" w:sz="0" w:space="0" w:color="auto"/>
      </w:divBdr>
    </w:div>
    <w:div w:id="2073578066">
      <w:bodyDiv w:val="1"/>
      <w:marLeft w:val="0"/>
      <w:marRight w:val="0"/>
      <w:marTop w:val="0"/>
      <w:marBottom w:val="0"/>
      <w:divBdr>
        <w:top w:val="none" w:sz="0" w:space="0" w:color="auto"/>
        <w:left w:val="none" w:sz="0" w:space="0" w:color="auto"/>
        <w:bottom w:val="none" w:sz="0" w:space="0" w:color="auto"/>
        <w:right w:val="none" w:sz="0" w:space="0" w:color="auto"/>
      </w:divBdr>
    </w:div>
    <w:div w:id="2074809088">
      <w:bodyDiv w:val="1"/>
      <w:marLeft w:val="0"/>
      <w:marRight w:val="0"/>
      <w:marTop w:val="0"/>
      <w:marBottom w:val="0"/>
      <w:divBdr>
        <w:top w:val="none" w:sz="0" w:space="0" w:color="auto"/>
        <w:left w:val="none" w:sz="0" w:space="0" w:color="auto"/>
        <w:bottom w:val="none" w:sz="0" w:space="0" w:color="auto"/>
        <w:right w:val="none" w:sz="0" w:space="0" w:color="auto"/>
      </w:divBdr>
    </w:div>
    <w:div w:id="2075004852">
      <w:bodyDiv w:val="1"/>
      <w:marLeft w:val="0"/>
      <w:marRight w:val="0"/>
      <w:marTop w:val="0"/>
      <w:marBottom w:val="0"/>
      <w:divBdr>
        <w:top w:val="none" w:sz="0" w:space="0" w:color="auto"/>
        <w:left w:val="none" w:sz="0" w:space="0" w:color="auto"/>
        <w:bottom w:val="none" w:sz="0" w:space="0" w:color="auto"/>
        <w:right w:val="none" w:sz="0" w:space="0" w:color="auto"/>
      </w:divBdr>
    </w:div>
    <w:div w:id="2081362622">
      <w:bodyDiv w:val="1"/>
      <w:marLeft w:val="0"/>
      <w:marRight w:val="0"/>
      <w:marTop w:val="0"/>
      <w:marBottom w:val="0"/>
      <w:divBdr>
        <w:top w:val="none" w:sz="0" w:space="0" w:color="auto"/>
        <w:left w:val="none" w:sz="0" w:space="0" w:color="auto"/>
        <w:bottom w:val="none" w:sz="0" w:space="0" w:color="auto"/>
        <w:right w:val="none" w:sz="0" w:space="0" w:color="auto"/>
      </w:divBdr>
    </w:div>
    <w:div w:id="2081705716">
      <w:bodyDiv w:val="1"/>
      <w:marLeft w:val="0"/>
      <w:marRight w:val="0"/>
      <w:marTop w:val="0"/>
      <w:marBottom w:val="0"/>
      <w:divBdr>
        <w:top w:val="none" w:sz="0" w:space="0" w:color="auto"/>
        <w:left w:val="none" w:sz="0" w:space="0" w:color="auto"/>
        <w:bottom w:val="none" w:sz="0" w:space="0" w:color="auto"/>
        <w:right w:val="none" w:sz="0" w:space="0" w:color="auto"/>
      </w:divBdr>
    </w:div>
    <w:div w:id="2083404686">
      <w:bodyDiv w:val="1"/>
      <w:marLeft w:val="0"/>
      <w:marRight w:val="0"/>
      <w:marTop w:val="0"/>
      <w:marBottom w:val="0"/>
      <w:divBdr>
        <w:top w:val="none" w:sz="0" w:space="0" w:color="auto"/>
        <w:left w:val="none" w:sz="0" w:space="0" w:color="auto"/>
        <w:bottom w:val="none" w:sz="0" w:space="0" w:color="auto"/>
        <w:right w:val="none" w:sz="0" w:space="0" w:color="auto"/>
      </w:divBdr>
    </w:div>
    <w:div w:id="208440500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073822">
      <w:bodyDiv w:val="1"/>
      <w:marLeft w:val="0"/>
      <w:marRight w:val="0"/>
      <w:marTop w:val="0"/>
      <w:marBottom w:val="0"/>
      <w:divBdr>
        <w:top w:val="none" w:sz="0" w:space="0" w:color="auto"/>
        <w:left w:val="none" w:sz="0" w:space="0" w:color="auto"/>
        <w:bottom w:val="none" w:sz="0" w:space="0" w:color="auto"/>
        <w:right w:val="none" w:sz="0" w:space="0" w:color="auto"/>
      </w:divBdr>
    </w:div>
    <w:div w:id="2102530768">
      <w:bodyDiv w:val="1"/>
      <w:marLeft w:val="0"/>
      <w:marRight w:val="0"/>
      <w:marTop w:val="0"/>
      <w:marBottom w:val="0"/>
      <w:divBdr>
        <w:top w:val="none" w:sz="0" w:space="0" w:color="auto"/>
        <w:left w:val="none" w:sz="0" w:space="0" w:color="auto"/>
        <w:bottom w:val="none" w:sz="0" w:space="0" w:color="auto"/>
        <w:right w:val="none" w:sz="0" w:space="0" w:color="auto"/>
      </w:divBdr>
    </w:div>
    <w:div w:id="2104522337">
      <w:bodyDiv w:val="1"/>
      <w:marLeft w:val="0"/>
      <w:marRight w:val="0"/>
      <w:marTop w:val="0"/>
      <w:marBottom w:val="0"/>
      <w:divBdr>
        <w:top w:val="none" w:sz="0" w:space="0" w:color="auto"/>
        <w:left w:val="none" w:sz="0" w:space="0" w:color="auto"/>
        <w:bottom w:val="none" w:sz="0" w:space="0" w:color="auto"/>
        <w:right w:val="none" w:sz="0" w:space="0" w:color="auto"/>
      </w:divBdr>
    </w:div>
    <w:div w:id="2105179967">
      <w:bodyDiv w:val="1"/>
      <w:marLeft w:val="0"/>
      <w:marRight w:val="0"/>
      <w:marTop w:val="0"/>
      <w:marBottom w:val="0"/>
      <w:divBdr>
        <w:top w:val="none" w:sz="0" w:space="0" w:color="auto"/>
        <w:left w:val="none" w:sz="0" w:space="0" w:color="auto"/>
        <w:bottom w:val="none" w:sz="0" w:space="0" w:color="auto"/>
        <w:right w:val="none" w:sz="0" w:space="0" w:color="auto"/>
      </w:divBdr>
    </w:div>
    <w:div w:id="211061520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95187">
      <w:bodyDiv w:val="1"/>
      <w:marLeft w:val="0"/>
      <w:marRight w:val="0"/>
      <w:marTop w:val="0"/>
      <w:marBottom w:val="0"/>
      <w:divBdr>
        <w:top w:val="none" w:sz="0" w:space="0" w:color="auto"/>
        <w:left w:val="none" w:sz="0" w:space="0" w:color="auto"/>
        <w:bottom w:val="none" w:sz="0" w:space="0" w:color="auto"/>
        <w:right w:val="none" w:sz="0" w:space="0" w:color="auto"/>
      </w:divBdr>
    </w:div>
    <w:div w:id="2115663743">
      <w:bodyDiv w:val="1"/>
      <w:marLeft w:val="0"/>
      <w:marRight w:val="0"/>
      <w:marTop w:val="0"/>
      <w:marBottom w:val="0"/>
      <w:divBdr>
        <w:top w:val="none" w:sz="0" w:space="0" w:color="auto"/>
        <w:left w:val="none" w:sz="0" w:space="0" w:color="auto"/>
        <w:bottom w:val="none" w:sz="0" w:space="0" w:color="auto"/>
        <w:right w:val="none" w:sz="0" w:space="0" w:color="auto"/>
      </w:divBdr>
    </w:div>
    <w:div w:id="2118407971">
      <w:bodyDiv w:val="1"/>
      <w:marLeft w:val="0"/>
      <w:marRight w:val="0"/>
      <w:marTop w:val="0"/>
      <w:marBottom w:val="0"/>
      <w:divBdr>
        <w:top w:val="none" w:sz="0" w:space="0" w:color="auto"/>
        <w:left w:val="none" w:sz="0" w:space="0" w:color="auto"/>
        <w:bottom w:val="none" w:sz="0" w:space="0" w:color="auto"/>
        <w:right w:val="none" w:sz="0" w:space="0" w:color="auto"/>
      </w:divBdr>
    </w:div>
    <w:div w:id="2118524786">
      <w:bodyDiv w:val="1"/>
      <w:marLeft w:val="0"/>
      <w:marRight w:val="0"/>
      <w:marTop w:val="0"/>
      <w:marBottom w:val="0"/>
      <w:divBdr>
        <w:top w:val="none" w:sz="0" w:space="0" w:color="auto"/>
        <w:left w:val="none" w:sz="0" w:space="0" w:color="auto"/>
        <w:bottom w:val="none" w:sz="0" w:space="0" w:color="auto"/>
        <w:right w:val="none" w:sz="0" w:space="0" w:color="auto"/>
      </w:divBdr>
    </w:div>
    <w:div w:id="2125810747">
      <w:bodyDiv w:val="1"/>
      <w:marLeft w:val="0"/>
      <w:marRight w:val="0"/>
      <w:marTop w:val="0"/>
      <w:marBottom w:val="0"/>
      <w:divBdr>
        <w:top w:val="none" w:sz="0" w:space="0" w:color="auto"/>
        <w:left w:val="none" w:sz="0" w:space="0" w:color="auto"/>
        <w:bottom w:val="none" w:sz="0" w:space="0" w:color="auto"/>
        <w:right w:val="none" w:sz="0" w:space="0" w:color="auto"/>
      </w:divBdr>
    </w:div>
    <w:div w:id="2133086620">
      <w:bodyDiv w:val="1"/>
      <w:marLeft w:val="0"/>
      <w:marRight w:val="0"/>
      <w:marTop w:val="0"/>
      <w:marBottom w:val="0"/>
      <w:divBdr>
        <w:top w:val="none" w:sz="0" w:space="0" w:color="auto"/>
        <w:left w:val="none" w:sz="0" w:space="0" w:color="auto"/>
        <w:bottom w:val="none" w:sz="0" w:space="0" w:color="auto"/>
        <w:right w:val="none" w:sz="0" w:space="0" w:color="auto"/>
      </w:divBdr>
    </w:div>
    <w:div w:id="2133550160">
      <w:bodyDiv w:val="1"/>
      <w:marLeft w:val="0"/>
      <w:marRight w:val="0"/>
      <w:marTop w:val="0"/>
      <w:marBottom w:val="0"/>
      <w:divBdr>
        <w:top w:val="none" w:sz="0" w:space="0" w:color="auto"/>
        <w:left w:val="none" w:sz="0" w:space="0" w:color="auto"/>
        <w:bottom w:val="none" w:sz="0" w:space="0" w:color="auto"/>
        <w:right w:val="none" w:sz="0" w:space="0" w:color="auto"/>
      </w:divBdr>
    </w:div>
    <w:div w:id="2134977083">
      <w:bodyDiv w:val="1"/>
      <w:marLeft w:val="0"/>
      <w:marRight w:val="0"/>
      <w:marTop w:val="0"/>
      <w:marBottom w:val="0"/>
      <w:divBdr>
        <w:top w:val="none" w:sz="0" w:space="0" w:color="auto"/>
        <w:left w:val="none" w:sz="0" w:space="0" w:color="auto"/>
        <w:bottom w:val="none" w:sz="0" w:space="0" w:color="auto"/>
        <w:right w:val="none" w:sz="0" w:space="0" w:color="auto"/>
      </w:divBdr>
    </w:div>
    <w:div w:id="2135102241">
      <w:bodyDiv w:val="1"/>
      <w:marLeft w:val="0"/>
      <w:marRight w:val="0"/>
      <w:marTop w:val="0"/>
      <w:marBottom w:val="0"/>
      <w:divBdr>
        <w:top w:val="none" w:sz="0" w:space="0" w:color="auto"/>
        <w:left w:val="none" w:sz="0" w:space="0" w:color="auto"/>
        <w:bottom w:val="none" w:sz="0" w:space="0" w:color="auto"/>
        <w:right w:val="none" w:sz="0" w:space="0" w:color="auto"/>
      </w:divBdr>
    </w:div>
    <w:div w:id="2136825721">
      <w:bodyDiv w:val="1"/>
      <w:marLeft w:val="0"/>
      <w:marRight w:val="0"/>
      <w:marTop w:val="0"/>
      <w:marBottom w:val="0"/>
      <w:divBdr>
        <w:top w:val="none" w:sz="0" w:space="0" w:color="auto"/>
        <w:left w:val="none" w:sz="0" w:space="0" w:color="auto"/>
        <w:bottom w:val="none" w:sz="0" w:space="0" w:color="auto"/>
        <w:right w:val="none" w:sz="0" w:space="0" w:color="auto"/>
      </w:divBdr>
    </w:div>
    <w:div w:id="2139302675">
      <w:bodyDiv w:val="1"/>
      <w:marLeft w:val="0"/>
      <w:marRight w:val="0"/>
      <w:marTop w:val="0"/>
      <w:marBottom w:val="0"/>
      <w:divBdr>
        <w:top w:val="none" w:sz="0" w:space="0" w:color="auto"/>
        <w:left w:val="none" w:sz="0" w:space="0" w:color="auto"/>
        <w:bottom w:val="none" w:sz="0" w:space="0" w:color="auto"/>
        <w:right w:val="none" w:sz="0" w:space="0" w:color="auto"/>
      </w:divBdr>
    </w:div>
    <w:div w:id="2140565126">
      <w:bodyDiv w:val="1"/>
      <w:marLeft w:val="0"/>
      <w:marRight w:val="0"/>
      <w:marTop w:val="0"/>
      <w:marBottom w:val="0"/>
      <w:divBdr>
        <w:top w:val="none" w:sz="0" w:space="0" w:color="auto"/>
        <w:left w:val="none" w:sz="0" w:space="0" w:color="auto"/>
        <w:bottom w:val="none" w:sz="0" w:space="0" w:color="auto"/>
        <w:right w:val="none" w:sz="0" w:space="0" w:color="auto"/>
      </w:divBdr>
    </w:div>
    <w:div w:id="2141263584">
      <w:bodyDiv w:val="1"/>
      <w:marLeft w:val="0"/>
      <w:marRight w:val="0"/>
      <w:marTop w:val="0"/>
      <w:marBottom w:val="0"/>
      <w:divBdr>
        <w:top w:val="none" w:sz="0" w:space="0" w:color="auto"/>
        <w:left w:val="none" w:sz="0" w:space="0" w:color="auto"/>
        <w:bottom w:val="none" w:sz="0" w:space="0" w:color="auto"/>
        <w:right w:val="none" w:sz="0" w:space="0" w:color="auto"/>
      </w:divBdr>
    </w:div>
    <w:div w:id="2142649186">
      <w:bodyDiv w:val="1"/>
      <w:marLeft w:val="0"/>
      <w:marRight w:val="0"/>
      <w:marTop w:val="0"/>
      <w:marBottom w:val="0"/>
      <w:divBdr>
        <w:top w:val="none" w:sz="0" w:space="0" w:color="auto"/>
        <w:left w:val="none" w:sz="0" w:space="0" w:color="auto"/>
        <w:bottom w:val="none" w:sz="0" w:space="0" w:color="auto"/>
        <w:right w:val="none" w:sz="0" w:space="0" w:color="auto"/>
      </w:divBdr>
    </w:div>
    <w:div w:id="214677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9.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yperlink" Target="http://www.onr.org.uk/copyright" TargetMode="External"/><Relationship Id="rId20" Type="http://schemas.openxmlformats.org/officeDocument/2006/relationships/footer" Target="footer2.xml"/><Relationship Id="rId29" Type="http://schemas.openxmlformats.org/officeDocument/2006/relationships/image" Target="media/image4.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6.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numbering" Target="numbering.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20DE"/>
    <w:rsid w:val="00183F29"/>
    <w:rsid w:val="002550FD"/>
    <w:rsid w:val="00267BD1"/>
    <w:rsid w:val="00333F8E"/>
    <w:rsid w:val="00350199"/>
    <w:rsid w:val="004D4A0D"/>
    <w:rsid w:val="00593D5D"/>
    <w:rsid w:val="005F5755"/>
    <w:rsid w:val="00611F13"/>
    <w:rsid w:val="006339A5"/>
    <w:rsid w:val="007154C5"/>
    <w:rsid w:val="00835E07"/>
    <w:rsid w:val="008A5B52"/>
    <w:rsid w:val="008B1180"/>
    <w:rsid w:val="0096387F"/>
    <w:rsid w:val="00B24590"/>
    <w:rsid w:val="00C41BCC"/>
    <w:rsid w:val="00C81BB4"/>
    <w:rsid w:val="00CE59F8"/>
    <w:rsid w:val="00DD7BA4"/>
    <w:rsid w:val="00E318CE"/>
    <w:rsid w:val="00E646E1"/>
    <w:rsid w:val="00F04FFB"/>
    <w:rsid w:val="00F93872"/>
    <w:rsid w:val="00FF3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GtoRPs</b:Tag>
    <b:SourceType>Book</b:SourceType>
    <b:Guid>{E4EBB35E-7AEF-4AB3-8A6E-A9E678E4C9E4}</b:Guid>
    <b:Title>New Nuclear Power Plants: Generic Design Assessment Guidance to Requesting Parties, ONR-GDA-GD-006, Revision 0, October 2019. www.onr.org.uk/new-reactors/onr-gda-gd-006.pdf</b:Title>
    <b:Author>
      <b:Author>
        <b:Corporate>ONR</b:Corporate>
      </b:Author>
    </b:Author>
    <b:RefOrder>1</b:RefOrder>
  </b:Source>
  <b:Source>
    <b:Tag>jointGDAguide</b:Tag>
    <b:SourceType>Book</b:SourceType>
    <b:Guid>{80D5D948-CA7E-44A9-9D36-6B7F5E4799B9}</b:Guid>
    <b:Title>A guide to the regulatory process, Revision 0, September 2013. www.onr.org.uk/new-reactors/ngn01.pdf</b:Title>
    <b:Author>
      <b:Author>
        <b:Corporate>EA and ONR</b:Corporate>
      </b:Author>
    </b:Author>
    <b:RefOrder>3</b:RefOrder>
  </b:Source>
  <b:Source>
    <b:Tag>EAGtoRP</b:Tag>
    <b:SourceType>Book</b:SourceType>
    <b:Guid>{ABDD64EE-A694-4C38-B9CA-D400770C79F3}</b:Guid>
    <b:Title>New Nuclear Power Plants: Generic Design Assessment Guidance to Requesting Parties, October 2019. www.gov.uk/government/publications/new-nuclear-power-plants-generic-design-assessment-guidance-for-requesting-parties</b:Title>
    <b:Author>
      <b:Author>
        <b:Corporate>EA</b:Corporate>
      </b:Author>
    </b:Author>
    <b:RefOrder>4</b:RefOrder>
  </b:Source>
  <b:Source>
    <b:Tag>jointWebPgs</b:Tag>
    <b:SourceType>Book</b:SourceType>
    <b:Guid>{B5A8B829-E012-428B-B657-7C89732D9AD6}</b:Guid>
    <b:Title>www.onr.org.uk/new-reactors/index.htm</b:Title>
    <b:RefOrder>5</b:RefOrder>
  </b:Source>
  <b:Source>
    <b:Tag>PSR</b:Tag>
    <b:SourceType>Book</b:SourceType>
    <b:Guid>{DEEFD883-4887-4A6A-8747-B4EFE05385F3}</b:Guid>
    <b:Author>
      <b:Author>
        <b:Corporate>Rolls-Royce SMR Limited</b:Corporate>
      </b:Author>
    </b:Author>
    <b:Title>RR SMR Preliminary Safety Report, SMR0001510, Issue 1, August 2022. (Record ref. 2022/51262)</b:Title>
    <b:RefOrder>6</b:RefOrder>
  </b:Source>
  <b:Source>
    <b:Tag>IAE</b:Tag>
    <b:SourceType>Book</b:SourceType>
    <b:Guid>{C2C8BB80-4282-44FC-B5E7-9215A707C00A}</b:Guid>
    <b:Author>
      <b:Author>
        <b:Corporate>IAEA</b:Corporate>
      </b:Author>
    </b:Author>
    <b:Title>Format and Content of the Safety Analsyis Report for Nuclear Power Plants, Specific Safety Guide No. SSG-61, September 2021. www.iaea.org</b:Title>
    <b:RefOrder>7</b:RefOrder>
  </b:Source>
  <b:Source>
    <b:Tag>S2SubSchedule</b:Tag>
    <b:SourceType>Book</b:SourceType>
    <b:Guid>{8B7CFF38-35E9-4930-9262-3738630CB2BA}</b:Guid>
    <b:Author>
      <b:Author>
        <b:Corporate>Rolls-Royce SMR Limited</b:Corporate>
      </b:Author>
    </b:Author>
    <b:Title>GDA Step 2 Submission Schedule, 2 February 2023. (Record ref. 2023/8546)</b:Title>
    <b:RefOrder>9</b:RefOrder>
  </b:Source>
  <b:Source>
    <b:Tag>ONR1</b:Tag>
    <b:SourceType>Book</b:SourceType>
    <b:Guid>{6B1A42EB-C347-401D-A2E1-D666B6CA635A}</b:Guid>
    <b:Author>
      <b:Author>
        <b:Corporate>ONR</b:Corporate>
      </b:Author>
    </b:Author>
    <b:Title>Step 1 Assessment of Management for Safety and Quality Assurance of the Rolls-Royce Small Modular Reactor, ONR-NR-AR-22-014, Issue 1, December 2022. (Record ref. 2022/72211)</b:Title>
    <b:RefOrder>10</b:RefOrder>
  </b:Source>
  <b:Source>
    <b:Tag>IMSmanual</b:Tag>
    <b:SourceType>Book</b:SourceType>
    <b:Guid>{C873A460-1401-4071-AE19-6F680E5EA75A}</b:Guid>
    <b:Author>
      <b:Author>
        <b:Corporate>Rolls-Royce SMR Limited</b:Corporate>
      </b:Author>
    </b:Author>
    <b:Title>Integrated Management System Manual, SMR0001351, Issue 1, December 2022. (Record ref. 2023/7137)</b:Title>
    <b:RefOrder>11</b:RefOrder>
  </b:Source>
  <b:Source>
    <b:Tag>GDAtechguide</b:Tag>
    <b:SourceType>Book</b:SourceType>
    <b:Guid>{8A91A847-C2D1-461E-A05A-3850EDAAD9AD}</b:Guid>
    <b:Author>
      <b:Author>
        <b:Corporate>ONR</b:Corporate>
      </b:Author>
    </b:Author>
    <b:Title>New Nuclear Power Plants: Generic Design Assessment Technical Guidance, ONR-GDA-GD-007, Revision 0, May 2019. www.onr.org.uk/new-reactors/reports/onr-gda-007.pdf</b:Title>
    <b:RefOrder>12</b:RefOrder>
  </b:Source>
  <b:Source>
    <b:Tag>QMP</b:Tag>
    <b:SourceType>Book</b:SourceType>
    <b:Guid>{1B62E681-1917-43E5-96FE-8224B27C92C6}</b:Guid>
    <b:Author>
      <b:Author>
        <b:Corporate>Rolls-Royce SMR Limited</b:Corporate>
      </b:Author>
    </b:Author>
    <b:Title>Generic Design Assessment Quality Management Plan, SMR0000963, Issue 2, October 2022. (Record ref. 2022/63726)</b:Title>
    <b:RefOrder>13</b:RefOrder>
  </b:Source>
  <b:Source>
    <b:Tag>ONR2</b:Tag>
    <b:SourceType>Book</b:SourceType>
    <b:Guid>{01DC9681-F6C7-45E8-9ED8-9D22F5B9F39F}</b:Guid>
    <b:Author>
      <b:Author>
        <b:Corporate>ONR</b:Corporate>
      </b:Author>
    </b:Author>
    <b:Title>Generic Design Assessment Interface Arrangements with Rolls-Royce SMR Limited, ONR-GEN-IN-023, Issue 1, July 2022. (Record ref. 2022/40296)</b:Title>
    <b:RefOrder>14</b:RefOrder>
  </b:Source>
  <b:Source>
    <b:Tag>RegCorr</b:Tag>
    <b:SourceType>Book</b:SourceType>
    <b:Guid>{27D7DC8D-5037-4025-83D4-AEEF11C44642}</b:Guid>
    <b:Author>
      <b:Author>
        <b:Corporate>Rolls-Royce SMR Limited</b:Corporate>
      </b:Author>
    </b:Author>
    <b:Title>Project Operating Instruction TITLE: Regulatory Correspondence, SMR0000967, Issue 1, September 2022. (Record ref. 2022/63735)</b:Title>
    <b:RefOrder>16</b:RefOrder>
  </b:Source>
  <b:Source>
    <b:Tag>ManageRQ</b:Tag>
    <b:SourceType>Book</b:SourceType>
    <b:Guid>{88DCB44F-01A9-49BE-9350-83B930538D40}</b:Guid>
    <b:Author>
      <b:Author>
        <b:Corporate>Rolls-Royce SMR Limited</b:Corporate>
      </b:Author>
    </b:Author>
    <b:Title>Project Operating Instruction TITLE: Manageing Regulatory Queries (RQs), SMR0000964, Issue 1, June 2022. (Record ref. 2022/63728)</b:Title>
    <b:RefOrder>17</b:RefOrder>
  </b:Source>
  <b:Source>
    <b:Tag>Rol</b:Tag>
    <b:SourceType>Book</b:SourceType>
    <b:Guid>{A20E6BDA-35B7-401D-968A-020F44300C40}</b:Guid>
    <b:Author>
      <b:Author>
        <b:Corporate>Rolls-Royce SMR Limited</b:Corporate>
      </b:Author>
    </b:Author>
    <b:Title>Project Operating Instruction TITLE: Managing Regulatory Observations (ROs) and Regulatory Issues (RIs), SMR0000965, Issue 1, September 2022. (Record ref. 2022/63729)</b:Title>
    <b:RefOrder>18</b:RefOrder>
  </b:Source>
  <b:Source>
    <b:Tag>MRI</b:Tag>
    <b:SourceType>Book</b:SourceType>
    <b:Guid>{0A683DF0-D46D-4084-BB8C-8DF8C65FCF9D}</b:Guid>
    <b:Author>
      <b:Author>
        <b:Corporate>Rolls-Royce SMR Limited</b:Corporate>
      </b:Author>
    </b:Author>
    <b:Title>Rolls-Royce Small Modular Reactor Master Records Index - Reference Design 5 - In Support of Preliminary Concept Definition, SMR0001204, Issue 1, June 2022. (Record ref. 2022/69359)</b:Title>
    <b:RefOrder>19</b:RefOrder>
  </b:Source>
  <b:Source>
    <b:Tag>RQ0002</b:Tag>
    <b:SourceType>Book</b:SourceType>
    <b:Guid>{A330822E-8AE9-4B7A-BBEA-EB093B8705DE}</b:Guid>
    <b:Author>
      <b:Author>
        <b:Corporate>Rolls-Royce SMR Limited</b:Corporate>
      </b:Author>
    </b:Author>
    <b:Title>Full response - Design Reference for GDA, RQ-RRSMR-0002, January 2023. (Record ref. 2023/6777)</b:Title>
    <b:RefOrder>20</b:RefOrder>
  </b:Source>
  <b:Source>
    <b:Tag>ConfigMPlan</b:Tag>
    <b:SourceType>Book</b:SourceType>
    <b:Guid>{8F753398-E1E0-4037-A326-AF17AFCB461E}</b:Guid>
    <b:Author>
      <b:Author>
        <b:Corporate>Rolls-Royce SMR Limited</b:Corporate>
      </b:Author>
    </b:Author>
    <b:Title>Configuration Management Plan for Rolls-Royce SMR, SMR0000521, Issue 1, July 2022. (Record ref. 2022/63699)</b:Title>
    <b:RefOrder>21</b:RefOrder>
  </b:Source>
  <b:Source>
    <b:Tag>EngChangePolicy</b:Tag>
    <b:SourceType>Book</b:SourceType>
    <b:Guid>{0760F50A-26F5-4F79-BDC5-F33B3632A845}</b:Guid>
    <b:Author>
      <b:Author>
        <b:Corporate>Rolls-Royce SMR Limited</b:Corporate>
      </b:Author>
    </b:Author>
    <b:Title>Rolls-Royce SMR Engineering Change Management Policy, SMR0001441, Issue 3, October 2022. (Record ref. 2022/63713)</b:Title>
    <b:RefOrder>22</b:RefOrder>
  </b:Source>
  <b:Source>
    <b:Tag>RQ0003</b:Tag>
    <b:SourceType>Book</b:SourceType>
    <b:Guid>{7D8E29D3-9D45-4D24-A95E-44587A04BE1D}</b:Guid>
    <b:Author>
      <b:Author>
        <b:Corporate>Rolls-Royce SMR Limited</b:Corporate>
      </b:Author>
    </b:Author>
    <b:Title>Full response - Change Control During GDA, RQ-RRSRM-0003, January 2023. (Record ref. 2023/2556)</b:Title>
    <b:RefOrder>23</b:RefOrder>
  </b:Source>
  <b:Source>
    <b:Tag>EMP</b:Tag>
    <b:SourceType>Book</b:SourceType>
    <b:Guid>{3031B2A8-4E91-407A-A0AC-7BCDDF47C4A8}</b:Guid>
    <b:Author>
      <b:Author>
        <b:Corporate>Rolls-Royce SMR Limited</b:Corporate>
      </b:Author>
    </b:Author>
    <b:Title>Engineering Management Plan for Rolls-Royce SMR, SMR0000520, Issue 3, October 2022. (Record ref. 2022/63722)</b:Title>
    <b:RefOrder>24</b:RefOrder>
  </b:Source>
  <b:Source>
    <b:Tag>AssumptComm</b:Tag>
    <b:SourceType>Book</b:SourceType>
    <b:Guid>{58C17643-9D76-4129-9CFF-7C32A0681041}</b:Guid>
    <b:Author>
      <b:Author>
        <b:Corporate>Rolls-Royce SMR Limited</b:Corporate>
      </b:Author>
    </b:Author>
    <b:Title>Project Operating Instruction TITLE: Identifying, recording, and tracking GDA and Licensing Assumptions and Commitments, SMR0002119, Issue 1, September 2022. (Record ref. 2022/63738)</b:Title>
    <b:RefOrder>25</b:RefOrder>
  </b:Source>
  <b:Source>
    <b:Tag>GDAScope</b:Tag>
    <b:SourceType>Book</b:SourceType>
    <b:Guid>{183F57FE-1E22-4468-B29B-32DF914E44BE}</b:Guid>
    <b:Author>
      <b:Author>
        <b:Corporate>Rolls-Royce SMR Limited</b:Corporate>
      </b:Author>
    </b:Author>
    <b:Title>Rolls-Royce SMR Generic Design Assessment Scope, SMR0002183, Issue 2, January 2023. (Record ref. 2023/7807)</b:Title>
    <b:RefOrder>26</b:RefOrder>
  </b:Source>
  <b:Source>
    <b:Tag>GSE</b:Tag>
    <b:SourceType>Book</b:SourceType>
    <b:Guid>{218179CB-6315-4013-A0FF-51FFC0FCC10A}</b:Guid>
    <b:Author>
      <b:Author>
        <b:Corporate>Rolls-Royce SMR Limited</b:Corporate>
      </b:Author>
    </b:Author>
    <b:Title>RR SMR UK Generic Site Envelope, SMR0001535, Issue 1, August 2022. (Record ref. 2022/51248)</b:Title>
    <b:RefOrder>27</b:RefOrder>
  </b:Source>
  <b:Source>
    <b:Tag>PSyR</b:Tag>
    <b:SourceType>Book</b:SourceType>
    <b:Guid>{58A8DAE9-3AB8-4967-86F9-F1F46BA7DAF0}</b:Guid>
    <b:Author>
      <b:Author>
        <b:Corporate>Rolls-Royce SMR Limited</b:Corporate>
      </b:Author>
    </b:Author>
    <b:Title>Rolls-Royce Small Modular Reactor (RR SMR) - Preliminary Security Report (PSyR), SMR0001610, Issue 1, August 2022. (Record ref. 2022/51267)</b:Title>
    <b:RefOrder>28</b:RefOrder>
  </b:Source>
  <b:Source>
    <b:Tag>E3SStrat</b:Tag>
    <b:SourceType>Book</b:SourceType>
    <b:Guid>{228B0D8B-B9D1-4B7A-B5E8-710A8302F803}</b:Guid>
    <b:Author>
      <b:Author>
        <b:Corporate>Rolls-Royce SMR LImited</b:Corporate>
      </b:Author>
    </b:Author>
    <b:Title>E3S Case Development Strategy, SMR0000627, Issue 1, August 2022. (Record ref. 2022/51241)</b:Title>
    <b:RefOrder>29</b:RefOrder>
  </b:Source>
  <b:Source>
    <b:Tag>GSRStrat</b:Tag>
    <b:SourceType>Book</b:SourceType>
    <b:Guid>{F5EC2E1C-F422-4A4F-BDA3-4FE6B6D4ACD3}</b:Guid>
    <b:Author>
      <b:Author>
        <b:Corporate>Rolls-Royce SMR Limited</b:Corporate>
      </b:Author>
    </b:Author>
    <b:Title>Strategy for the Delivery of a Generic Security Report (GSR) for the RR SMR (during GDA), SMR0001611, Issue 1, August 2022. (Record ref. 2022/51268)</b:Title>
    <b:RefOrder>30</b:RefOrder>
  </b:Source>
  <b:Source>
    <b:Tag>DesOverview</b:Tag>
    <b:SourceType>Book</b:SourceType>
    <b:Guid>{6DB2F376-359B-490B-980C-6BE6AD2B296D}</b:Guid>
    <b:Author>
      <b:Author>
        <b:Corporate>Rolls-Royce SMR Limited</b:Corporate>
      </b:Author>
    </b:Author>
    <b:Title>RR SMR Design Overview Report, SMR0000594, Issue 1, June 2022. (Record ref. 2022/37064)</b:Title>
    <b:RefOrder>31</b:RefOrder>
  </b:Source>
  <b:Source>
    <b:Tag>C3222DesOpt</b:Tag>
    <b:SourceType>Book</b:SourceType>
    <b:Guid>{85FF4726-8D31-485D-9C88-C2788C382E2A}</b:Guid>
    <b:Author>
      <b:Author>
        <b:Corporate>Rolls-Royce SMR Limited</b:Corporate>
      </b:Author>
    </b:Author>
    <b:Title>IMS Process - (C3.2.2-2) Conduct design optioneering. Last edited 5 May 2022. (Record ref. 2022/51250)</b:Title>
    <b:RefOrder>32</b:RefOrder>
  </b:Source>
  <b:Source>
    <b:Tag>TSDD02DecRecord</b:Tag>
    <b:SourceType>Book</b:SourceType>
    <b:Guid>{679DB1E7-82DF-432D-A969-2E2423A81EA7}</b:Guid>
    <b:Author>
      <b:Author>
        <b:Corporate>Rolls-Royce SMR Limited</b:Corporate>
      </b:Author>
    </b:Author>
    <b:Title>Decision Record Tempate, TS-DD-02, Issue 2. (Record ref. 2022/51261)</b:Title>
    <b:RefOrder>33</b:RefOrder>
  </b:Source>
  <b:Source>
    <b:Tag>NISR2003</b:Tag>
    <b:SourceType>Book</b:SourceType>
    <b:Guid>{E1EC9CDA-27E3-4272-801B-CDB462C98611}</b:Guid>
    <b:Author>
      <b:Author>
        <b:Corporate>H.M. Government</b:Corporate>
      </b:Author>
    </b:Author>
    <b:Title>Nuclear Industry Security Regulations (NISR) 2003 (as amended). www.legislation.gov.uk/uksi/2003/403/contents/made</b:Title>
    <b:RefOrder>34</b:RefOrder>
  </b:Source>
  <b:Source>
    <b:Tag>CatClassMethod</b:Tag>
    <b:SourceType>Book</b:SourceType>
    <b:Guid>{923C5FFB-8B25-4447-BE7D-A609EF31BB85}</b:Guid>
    <b:Author>
      <b:Author>
        <b:Corporate>Rolls-Royce SMR Limited</b:Corporate>
      </b:Author>
    </b:Author>
    <b:Title>UK SMR Environment, Safety, Security and Safeguards Categorisation and Classification Method, EDNS01000887611_002, Revision 2, August 2021. (Record ref. 2022/51247)</b:Title>
    <b:RefOrder>35</b:RefOrder>
  </b:Source>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36</b:RefOrder>
  </b:Source>
  <b:Source>
    <b:Tag>TAG094</b:Tag>
    <b:SourceType>Book</b:SourceType>
    <b:Guid>{0596BE51-DEFF-4F70-B2E7-73152FB3B476}</b:Guid>
    <b:Author>
      <b:Author>
        <b:Corporate>ONR</b:Corporate>
      </b:Author>
    </b:Author>
    <b:Title>Categorisation of Safety Functions and Classification of Structures and Components, NS-TAST-GD-094, Issue 2, July 2019. www.onr.org.uk/operational/tech_asst_guides/index.htm</b:Title>
    <b:RefOrder>37</b:RefOrder>
  </b:Source>
  <b:Source>
    <b:Tag>SSG30</b:Tag>
    <b:SourceType>Book</b:SourceType>
    <b:Guid>{35E4D290-60DA-426D-A447-DC6B6C53750E}</b:Guid>
    <b:Author>
      <b:Author>
        <b:Corporate>IAEA</b:Corporate>
      </b:Author>
    </b:Author>
    <b:Title>Safety Classification of Structures, Systems and Components in Nuclaer Power Plants, Specific Safety Guide No. SSG-30, May 2014. www.iaea.org</b:Title>
    <b:RefOrder>38</b:RefOrder>
  </b:Source>
  <b:Source>
    <b:Tag>DesPrinciples</b:Tag>
    <b:SourceType>Book</b:SourceType>
    <b:Guid>{A3DF389A-E99F-4941-9256-68942443F747}</b:Guid>
    <b:Author>
      <b:Author>
        <b:Corporate>Rolls-Royce SMR Limited</b:Corporate>
      </b:Author>
    </b:Author>
    <b:Title>Rolls-Royce SMR Environment, Safety, Security and Safeguards Design Principles, SMR0001603, Issue 1, August 2022. (Record ref. 2022/51243)</b:Title>
    <b:RefOrder>39</b:RefOrder>
  </b:Source>
  <b:Source>
    <b:Tag>CodeStandards</b:Tag>
    <b:SourceType>Book</b:SourceType>
    <b:Guid>{261F56FE-B8CF-496A-B11B-4368884D2125}</b:Guid>
    <b:Author>
      <b:Author>
        <b:Corporate>Rolls-Royce SMR Limited</b:Corporate>
      </b:Author>
    </b:Author>
    <b:Title>Rolls-Royce Small Modular Reactor Codes and Standards, SMR0003023, Issue 1, October 2022. (Record ref. 2022/63754)</b:Title>
    <b:RefOrder>40</b:RefOrder>
  </b:Source>
  <b:Source>
    <b:Tag>RedReview</b:Tag>
    <b:SourceType>Book</b:SourceType>
    <b:Guid>{70F42FDD-68F3-4A03-A146-11997642D152}</b:Guid>
    <b:Author>
      <b:Author>
        <b:Corporate>Rolls-Royce SMR Limited</b:Corporate>
      </b:Author>
    </b:Author>
    <b:Title>GDA Step 2 Readiness Review, SMR0004327, Issue 1, February 2023. (Record ref. 2023/8386)</b:Title>
    <b:RefOrder>42</b:RefOrder>
  </b:Source>
  <b:Source>
    <b:Tag>GapAnalysis</b:Tag>
    <b:SourceType>Book</b:SourceType>
    <b:Guid>{564AD191-6066-4E62-ABDE-271DC6D0129D}</b:Guid>
    <b:Author>
      <b:Author>
        <b:Corporate>Rolls-Royce SMR Limited</b:Corporate>
      </b:Author>
    </b:Author>
    <b:Title>Step 2 Gap Analysis, SMR0003629, Issue 1, January 2023. (Record ref. 2023/7987)</b:Title>
    <b:RefOrder>41</b:RefOrder>
  </b:Source>
  <b:Source>
    <b:Tag>OrgCap</b:Tag>
    <b:SourceType>Book</b:SourceType>
    <b:Guid>{6399E1E0-1130-4F98-BC0A-DF308BB5C848}</b:Guid>
    <b:Author>
      <b:Author>
        <b:Corporate>Rolls-Royce SMR Limited</b:Corporate>
      </b:Author>
    </b:Author>
    <b:Title>Rolls-Royce SMR Organisation Capability, SMR0004127, Issue 1, February 2023. (Record ref. 2023/12721)</b:Title>
    <b:RefOrder>43</b:RefOrder>
  </b:Source>
  <b:Source>
    <b:Tag>MDSL</b:Tag>
    <b:SourceType>Book</b:SourceType>
    <b:Guid>{112A17D9-C016-475E-A8E0-ECE148E53BEC}</b:Guid>
    <b:Author>
      <b:Author>
        <b:Corporate>Rolls-Royce SMR Limited</b:Corporate>
      </b:Author>
    </b:Author>
    <b:Title>Master Document Submission Lists and Document List, SMR0001724, Issue 7, February 2023. (Record ref. 2023/8388)</b:Title>
    <b:RefOrder>15</b:RefOrder>
  </b:Source>
  <b:Source>
    <b:Tag>ERRM</b:Tag>
    <b:SourceType>Book</b:SourceType>
    <b:Guid>{C2C9D3EA-DD6B-4872-92AA-FD8206DC10C6}</b:Guid>
    <b:Author>
      <b:Author>
        <b:Corporate>ONR</b:Corporate>
      </b:Author>
    </b:Author>
    <b:Title>Extraordinary RRM - Minutes, 22 March 2023. (Record ref. 2023/15880)</b:Title>
    <b:RefOrder>45</b:RefOrder>
  </b:Source>
  <b:Source>
    <b:Tag>EAreport</b:Tag>
    <b:SourceType>Book</b:SourceType>
    <b:Guid>{4A55EF51-84C6-4145-926C-9B1A84AEFD68}</b:Guid>
    <b:Title>www.gov.uk/guidance/new-nuclear-power-stations-assessing-reactor-designs</b:Title>
    <b:RefOrder>2</b:RefOrder>
  </b:Source>
  <b:Source>
    <b:Tag>ONR</b:Tag>
    <b:SourceType>Book</b:SourceType>
    <b:Guid>{6AE39A5D-0D11-4FB8-BDC3-09F38AD47D71}</b:Guid>
    <b:Author>
      <b:Author>
        <b:Corporate>ONR</b:Corporate>
      </b:Author>
    </b:Author>
    <b:Title>Delivery Strategy for the Generic Design Assessment of the Rolls-Royce Small Modular Reactor, ONR-GDA-AP-22-001, Issue No. 1, September 2022. (Record ref. 2022/43611)</b:Title>
    <b:RefOrder>8</b:RefOrder>
  </b:Source>
  <b:Source>
    <b:Tag>RRActions</b:Tag>
    <b:SourceType>Book</b:SourceType>
    <b:Guid>{8F035B82-464B-48F9-AD34-4DDD85EA5346}</b:Guid>
    <b:Author>
      <b:Author>
        <b:Corporate>Rolls-Royce SMR Limited</b:Corporate>
      </b:Author>
    </b:Author>
    <b:Title>GDA Step 2 Readiness Combined Actions, SMR0004913, Issue 1, March 2023. (Record ref. 2023/15590)</b:Title>
    <b:RefOrder>44</b:RefOrder>
  </b:Source>
  <b:Source>
    <b:Tag>Placeholder1</b:Tag>
    <b:SourceType>Book</b:SourceType>
    <b:Guid>{8CE76F45-D301-4A47-9588-D4E4262673A0}</b:Guid>
    <b:Author>
      <b:Author>
        <b:Corporate>Rolls-Royce SMR Limited</b:Corporate>
      </b:Author>
    </b:Author>
    <b:Title>Master Document Submission Lists and Document List, SMR0001724, Issue 7, February 2023. (Record ref. 2023/8388)</b:Title>
    <b:RefOrder>46</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ONRW-2019369590-1908</_dlc_DocId>
    <_dlc_DocIdUrl xmlns="f6cfbbfa-3ea0-4d8e-acde-632e83cd9c55">
      <Url>https://prodonrgov.sharepoint.com/_layouts/15/DocIdRedir.aspx?ID=ONRW-2019369590-1908</Url>
      <Description>ONRW-2019369590-1908</Description>
    </_dlc_DocIdUrl>
    <Document_x0020_Type xmlns="f6cfbbfa-3ea0-4d8e-acde-632e83cd9c55">Decision Communication</Document_x0020_Type>
    <External_x0020_Reference xmlns="f6cfbbfa-3ea0-4d8e-acde-632e83cd9c55" xsi:nil="true"/>
    <Site xmlns="f6cfbbfa-3ea0-4d8e-acde-632e83cd9c55" xsi:nil="true"/>
    <NoRecords xmlns="2b92fa06-69b2-4527-a0e1-9e8803fc1e53" xsi:nil="true"/>
    <Record_x0020_Number xmlns="f6cfbbfa-3ea0-4d8e-acde-632e83cd9c55">PR-01120</Record_x0020_Number>
    <_dlc_DocIdPersistId xmlns="f6cfbbfa-3ea0-4d8e-acde-632e83cd9c55" xsi:nil="true"/>
    <lcf76f155ced4ddcb4097134ff3c332f xmlns="2b92fa06-69b2-4527-a0e1-9e8803fc1e53">
      <Terms xmlns="http://schemas.microsoft.com/office/infopath/2007/PartnerControls"/>
    </lcf76f155ced4ddcb4097134ff3c332f>
    <Division xmlns="f6cfbbfa-3ea0-4d8e-acde-632e83cd9c55" xsi:nil="true"/>
    <Subdivision xmlns="f6cfbbfa-3ea0-4d8e-acde-632e83cd9c55" xsi:nil="true"/>
    <TaxCatchAll xmlns="f6cfbbfa-3ea0-4d8e-acde-632e83cd9c55" xsi:nil="true"/>
    <Dutyholder xmlns="f6cfbbfa-3ea0-4d8e-acde-632e83cd9c55">Rolls-Royce SMR Limited</Dutyhold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27" ma:contentTypeDescription="Create a new document." ma:contentTypeScope="" ma:versionID="e6e511fc53df6ae98c5b9cf5b22f9279">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937c677296e1de5755e5b8c77378017"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Decision Justification Report"/>
          <xsd:enumeration value="CR Contract report"/>
          <xsd:enumeration value="Request"/>
          <xsd:enumeration value="Decision Communication"/>
          <xsd:enumeration value="Independent Checksheet"/>
          <xsd:enumeration value="Email"/>
          <xsd:enumeration value="Other"/>
        </xsd:restriction>
      </xsd:simpleType>
    </xsd:element>
    <xsd:element name="Dutyholder" ma:index="3" nillable="true" ma:displayName="Dutyholder" ma:default="" ma:internalName="Dutyholder" ma:readOnly="false">
      <xsd:simpleType>
        <xsd:restriction base="dms:Text">
          <xsd:maxLength value="255"/>
        </xsd:restriction>
      </xsd:simpleType>
    </xsd:element>
    <xsd:element name="External_x0020_Reference" ma:index="4" nillable="true" ma:displayName="External Reference" ma:default="" ma:internalName="External_x0020_Reference" ma:readOnly="fals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176DDA-B9F2-4559-9CD9-A7AC3EDEDDBE}">
  <ds:schemaRefs>
    <ds:schemaRef ds:uri="http://schemas.openxmlformats.org/officeDocument/2006/bibliography"/>
  </ds:schemaRefs>
</ds:datastoreItem>
</file>

<file path=customXml/itemProps3.xml><?xml version="1.0" encoding="utf-8"?>
<ds:datastoreItem xmlns:ds="http://schemas.openxmlformats.org/officeDocument/2006/customXml" ds:itemID="{42FB632D-F4FB-40D8-9F18-53087D982261}">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4.xml><?xml version="1.0" encoding="utf-8"?>
<ds:datastoreItem xmlns:ds="http://schemas.openxmlformats.org/officeDocument/2006/customXml" ds:itemID="{57359C4D-9B40-422A-B38B-DF75C087C57E}">
  <ds:schemaRefs>
    <ds:schemaRef ds:uri="http://schemas.microsoft.com/sharepoint/v3/contenttype/forms"/>
  </ds:schemaRefs>
</ds:datastoreItem>
</file>

<file path=customXml/itemProps5.xml><?xml version="1.0" encoding="utf-8"?>
<ds:datastoreItem xmlns:ds="http://schemas.openxmlformats.org/officeDocument/2006/customXml" ds:itemID="{9C02A8E4-4742-4B90-BA28-2000116892E1}">
  <ds:schemaRefs>
    <ds:schemaRef ds:uri="http://schemas.microsoft.com/sharepoint/events"/>
  </ds:schemaRefs>
</ds:datastoreItem>
</file>

<file path=customXml/itemProps6.xml><?xml version="1.0" encoding="utf-8"?>
<ds:datastoreItem xmlns:ds="http://schemas.openxmlformats.org/officeDocument/2006/customXml" ds:itemID="{5E0F1C5A-0B4F-401A-91C8-5420817F5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20</TotalTime>
  <Pages>62</Pages>
  <Words>17356</Words>
  <Characters>98933</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Step 1 Summary</vt:lpstr>
    </vt:vector>
  </TitlesOfParts>
  <Manager>Office for Nuclear Regulation</Manager>
  <Company>Office for Nuclear Regulation</Company>
  <LinksUpToDate>false</LinksUpToDate>
  <CharactersWithSpaces>116057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1 summary</dc:title>
  <dc:subject>[Subtitle or description]</dc:subject>
  <cp:keywords>[Key words separated by commas]</cp:keywords>
  <dc:description/>
  <cp:revision>5</cp:revision>
  <cp:lastPrinted>2016-11-28T11:35:00Z</cp:lastPrinted>
  <dcterms:created xsi:type="dcterms:W3CDTF">2023-03-30T16:06:00Z</dcterms:created>
  <dcterms:modified xsi:type="dcterms:W3CDTF">2023-03-31T10:29:00Z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0x010100A13914FA0711CC4A961807421DD4EAE1</vt:lpwstr>
  </property>
  <property fmtid="{D5CDD505-2E9C-101B-9397-08002B2CF9AE}" pid="3" name="_dlc_DocIdItemGuid">
    <vt:lpwstr>a0626c2a-836c-439e-847b-4f35f15ef687</vt:lpwstr>
  </property>
  <property fmtid="{D5CDD505-2E9C-101B-9397-08002B2CF9AE}" pid="4" name="MediaServiceImageTags">
    <vt:lpwstr/>
  </property>
  <property fmtid="{D5CDD505-2E9C-101B-9397-08002B2CF9AE}" pid="5" name="MSIP_Label_9e5e003a-90eb-47c9-a506-ad47e7a0b281_Enabled">
    <vt:lpwstr>true</vt:lpwstr>
  </property>
  <property fmtid="{D5CDD505-2E9C-101B-9397-08002B2CF9AE}" pid="6" name="MSIP_Label_9e5e003a-90eb-47c9-a506-ad47e7a0b281_SetDate">
    <vt:lpwstr>2023-03-14T12:07:58Z</vt:lpwstr>
  </property>
  <property fmtid="{D5CDD505-2E9C-101B-9397-08002B2CF9AE}" pid="7" name="MSIP_Label_9e5e003a-90eb-47c9-a506-ad47e7a0b281_Method">
    <vt:lpwstr>Privileged</vt:lpwstr>
  </property>
  <property fmtid="{D5CDD505-2E9C-101B-9397-08002B2CF9AE}" pid="8" name="MSIP_Label_9e5e003a-90eb-47c9-a506-ad47e7a0b281_Name">
    <vt:lpwstr>OFFICIAL</vt:lpwstr>
  </property>
  <property fmtid="{D5CDD505-2E9C-101B-9397-08002B2CF9AE}" pid="9" name="MSIP_Label_9e5e003a-90eb-47c9-a506-ad47e7a0b281_SiteId">
    <vt:lpwstr>742775df-8077-48d6-81d0-1e82a1f52cb8</vt:lpwstr>
  </property>
  <property fmtid="{D5CDD505-2E9C-101B-9397-08002B2CF9AE}" pid="10" name="MSIP_Label_9e5e003a-90eb-47c9-a506-ad47e7a0b281_ActionId">
    <vt:lpwstr>e405d6d7-dbf9-490d-995a-b412230ec0e0</vt:lpwstr>
  </property>
  <property fmtid="{D5CDD505-2E9C-101B-9397-08002B2CF9AE}" pid="11" name="MSIP_Label_9e5e003a-90eb-47c9-a506-ad47e7a0b281_ContentBits">
    <vt:lpwstr>0</vt:lpwstr>
  </property>
</Properties>
</file>