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27536A">
        <w:trPr>
          <w:trHeight w:hRule="exact" w:val="275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2F7E059" w:rsidR="00D0226A" w:rsidRPr="001E03E1" w:rsidRDefault="0000000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468D5" w:rsidRPr="007E1540">
                      <w:rPr>
                        <w:sz w:val="72"/>
                        <w:szCs w:val="72"/>
                      </w:rPr>
                      <w:t>R</w:t>
                    </w:r>
                    <w:r w:rsidR="008B12DF" w:rsidRPr="007E1540">
                      <w:rPr>
                        <w:sz w:val="72"/>
                        <w:szCs w:val="72"/>
                      </w:rPr>
                      <w:t xml:space="preserve">egulating </w:t>
                    </w:r>
                    <w:r w:rsidR="008468D5" w:rsidRPr="007E1540">
                      <w:rPr>
                        <w:sz w:val="72"/>
                        <w:szCs w:val="72"/>
                      </w:rPr>
                      <w:t xml:space="preserve">duties to reduce risks to </w:t>
                    </w:r>
                    <w:r w:rsidR="008B12DF" w:rsidRPr="007E1540">
                      <w:rPr>
                        <w:sz w:val="72"/>
                        <w:szCs w:val="72"/>
                      </w:rPr>
                      <w:t>ALARP</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3214FDD" w14:textId="77777777" w:rsidR="007E1540" w:rsidRPr="00595C8C" w:rsidRDefault="007E1540" w:rsidP="007E1540">
      <w:pPr>
        <w:pStyle w:val="InnerCoverTitle"/>
        <w:rPr>
          <w:sz w:val="36"/>
          <w:szCs w:val="36"/>
        </w:rPr>
      </w:pPr>
      <w:r w:rsidRPr="00595C8C">
        <w:rPr>
          <w:sz w:val="36"/>
          <w:szCs w:val="36"/>
        </w:rPr>
        <w:lastRenderedPageBreak/>
        <w:t xml:space="preserve">ONR </w:t>
      </w:r>
      <w:r>
        <w:rPr>
          <w:sz w:val="36"/>
          <w:szCs w:val="36"/>
        </w:rPr>
        <w:t>Technical Assessment Guide</w:t>
      </w:r>
    </w:p>
    <w:p w14:paraId="297D790E" w14:textId="66DBF186" w:rsidR="00004C16" w:rsidRPr="00F63AA5" w:rsidRDefault="00000000" w:rsidP="00004C16">
      <w:pPr>
        <w:rPr>
          <w:sz w:val="18"/>
          <w:szCs w:val="16"/>
        </w:rPr>
      </w:pPr>
      <w:sdt>
        <w:sdtPr>
          <w:rPr>
            <w:rStyle w:val="Style2"/>
            <w:szCs w:val="3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8468D5" w:rsidRPr="007E1540">
            <w:rPr>
              <w:rStyle w:val="Style2"/>
              <w:szCs w:val="32"/>
            </w:rPr>
            <w:t>Regulating duties to reduce risks to ALARP</w:t>
          </w:r>
        </w:sdtContent>
      </w:sdt>
    </w:p>
    <w:p w14:paraId="61A25C0F" w14:textId="7F83DA8B" w:rsidR="00004C16" w:rsidRDefault="007E1540" w:rsidP="00004C16">
      <w:pPr>
        <w:rPr>
          <w:sz w:val="28"/>
          <w:szCs w:val="28"/>
        </w:rPr>
      </w:pPr>
      <w:r w:rsidRPr="007E1540">
        <w:rPr>
          <w:b/>
          <w:bCs/>
          <w:sz w:val="28"/>
          <w:szCs w:val="28"/>
        </w:rPr>
        <w:t>Professional Lead</w:t>
      </w:r>
      <w:r>
        <w:rPr>
          <w:sz w:val="28"/>
          <w:szCs w:val="28"/>
        </w:rPr>
        <w:t xml:space="preserve"> - </w:t>
      </w:r>
      <w:r w:rsidRPr="007E1540">
        <w:rPr>
          <w:sz w:val="28"/>
          <w:szCs w:val="28"/>
        </w:rPr>
        <w:t>ALARP Working Group Chair</w:t>
      </w:r>
    </w:p>
    <w:p w14:paraId="17950319" w14:textId="77777777" w:rsidR="007E1540" w:rsidRDefault="007E1540" w:rsidP="00245A0D">
      <w:pPr>
        <w:rPr>
          <w:szCs w:val="24"/>
        </w:rPr>
      </w:pPr>
    </w:p>
    <w:p w14:paraId="4C7A948F" w14:textId="525132B0" w:rsidR="00245A0D" w:rsidRPr="007E1540" w:rsidRDefault="00245A0D" w:rsidP="00245A0D">
      <w:pPr>
        <w:rPr>
          <w:szCs w:val="24"/>
        </w:rPr>
      </w:pPr>
      <w:r w:rsidRPr="007E1540">
        <w:rPr>
          <w:b/>
          <w:bCs/>
          <w:szCs w:val="24"/>
        </w:rPr>
        <w:t>Authored by</w:t>
      </w:r>
      <w:r w:rsidRPr="007E1540">
        <w:rPr>
          <w:szCs w:val="24"/>
        </w:rPr>
        <w:t xml:space="preserve"> – </w:t>
      </w:r>
      <w:r w:rsidR="007B2B43" w:rsidRPr="007E1540">
        <w:rPr>
          <w:szCs w:val="24"/>
        </w:rPr>
        <w:t>Inspector</w:t>
      </w:r>
    </w:p>
    <w:p w14:paraId="15A21CF3" w14:textId="30E9EC3E" w:rsidR="00245A0D" w:rsidRPr="007E1540" w:rsidRDefault="00245A0D" w:rsidP="00245A0D">
      <w:pPr>
        <w:rPr>
          <w:szCs w:val="24"/>
        </w:rPr>
      </w:pPr>
      <w:r w:rsidRPr="007E1540">
        <w:rPr>
          <w:b/>
          <w:bCs/>
          <w:szCs w:val="24"/>
        </w:rPr>
        <w:t>Approved by</w:t>
      </w:r>
      <w:r w:rsidRPr="007E1540">
        <w:rPr>
          <w:szCs w:val="24"/>
        </w:rPr>
        <w:t xml:space="preserve"> – </w:t>
      </w:r>
      <w:r w:rsidR="004E0DE4" w:rsidRPr="007E1540">
        <w:rPr>
          <w:szCs w:val="24"/>
        </w:rPr>
        <w:t xml:space="preserve">Superintending Inspector, </w:t>
      </w:r>
      <w:r w:rsidR="008468D5" w:rsidRPr="007E1540">
        <w:rPr>
          <w:szCs w:val="24"/>
        </w:rPr>
        <w:t>ALARP Working Group Chair</w:t>
      </w:r>
    </w:p>
    <w:p w14:paraId="247E3769" w14:textId="14602B09" w:rsidR="00004C16" w:rsidRPr="007E1540" w:rsidRDefault="00004C16" w:rsidP="00004C16">
      <w:pPr>
        <w:rPr>
          <w:szCs w:val="24"/>
        </w:rPr>
      </w:pPr>
      <w:r w:rsidRPr="007E1540">
        <w:rPr>
          <w:b/>
          <w:bCs/>
          <w:szCs w:val="24"/>
        </w:rPr>
        <w:t>Issue No</w:t>
      </w:r>
      <w:r w:rsidRPr="007E1540">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C592A" w:rsidRPr="007E1540">
            <w:rPr>
              <w:szCs w:val="24"/>
            </w:rPr>
            <w:t>12</w:t>
          </w:r>
        </w:sdtContent>
      </w:sdt>
    </w:p>
    <w:p w14:paraId="19206F45" w14:textId="1B3EBCB0" w:rsidR="00004C16" w:rsidRPr="007E1540" w:rsidRDefault="00004C16" w:rsidP="00004C16">
      <w:pPr>
        <w:rPr>
          <w:szCs w:val="24"/>
        </w:rPr>
      </w:pPr>
      <w:r w:rsidRPr="007E1540">
        <w:rPr>
          <w:b/>
          <w:bCs/>
          <w:szCs w:val="24"/>
        </w:rPr>
        <w:t>Publication Date</w:t>
      </w:r>
      <w:r w:rsidRPr="007E1540">
        <w:rPr>
          <w:szCs w:val="24"/>
        </w:rPr>
        <w:t xml:space="preserve">: </w:t>
      </w:r>
      <w:r w:rsidR="00D27128" w:rsidRPr="007E1540">
        <w:rPr>
          <w:szCs w:val="24"/>
        </w:rPr>
        <w:t>Jan</w:t>
      </w:r>
      <w:r w:rsidR="007E1540">
        <w:rPr>
          <w:szCs w:val="24"/>
        </w:rPr>
        <w:t xml:space="preserve">uary </w:t>
      </w:r>
      <w:r w:rsidR="00D27128" w:rsidRPr="007E1540">
        <w:rPr>
          <w:szCs w:val="24"/>
        </w:rPr>
        <w:t>2024</w:t>
      </w:r>
    </w:p>
    <w:p w14:paraId="06A6B3A5" w14:textId="637941EE" w:rsidR="00E57DB9" w:rsidRDefault="00E57DB9" w:rsidP="00E57DB9">
      <w:pPr>
        <w:rPr>
          <w:szCs w:val="24"/>
        </w:rPr>
      </w:pPr>
      <w:r w:rsidRPr="007E1540">
        <w:rPr>
          <w:b/>
          <w:bCs/>
          <w:szCs w:val="24"/>
        </w:rPr>
        <w:t>Next Major Review Date</w:t>
      </w:r>
      <w:r w:rsidRPr="007E1540">
        <w:rPr>
          <w:szCs w:val="24"/>
        </w:rPr>
        <w:t>:</w:t>
      </w:r>
      <w:r w:rsidR="00AE4F54" w:rsidRPr="007E1540">
        <w:rPr>
          <w:szCs w:val="24"/>
        </w:rPr>
        <w:t xml:space="preserve"> </w:t>
      </w:r>
      <w:r w:rsidR="00D27128" w:rsidRPr="007E1540">
        <w:rPr>
          <w:szCs w:val="24"/>
        </w:rPr>
        <w:t>Jan</w:t>
      </w:r>
      <w:r w:rsidR="007E1540">
        <w:rPr>
          <w:szCs w:val="24"/>
        </w:rPr>
        <w:t xml:space="preserve">uary </w:t>
      </w:r>
      <w:r w:rsidR="00674CCD" w:rsidRPr="007E1540">
        <w:rPr>
          <w:szCs w:val="24"/>
        </w:rPr>
        <w:t>202</w:t>
      </w:r>
      <w:r w:rsidR="00D27128" w:rsidRPr="007E1540">
        <w:rPr>
          <w:szCs w:val="24"/>
        </w:rPr>
        <w:t>9</w:t>
      </w:r>
    </w:p>
    <w:p w14:paraId="52EDBA2E" w14:textId="1D3810AA" w:rsidR="007E1540" w:rsidRPr="007E1540" w:rsidRDefault="007E1540" w:rsidP="00E57DB9">
      <w:pPr>
        <w:rPr>
          <w:szCs w:val="24"/>
        </w:rPr>
      </w:pPr>
      <w:r w:rsidRPr="007E1540">
        <w:rPr>
          <w:b/>
          <w:bCs/>
          <w:szCs w:val="24"/>
        </w:rPr>
        <w:t>Document Ref. No</w:t>
      </w:r>
      <w:r>
        <w:rPr>
          <w:szCs w:val="24"/>
        </w:rPr>
        <w:t>.: NS-TAST-GD-005</w:t>
      </w:r>
    </w:p>
    <w:p w14:paraId="55057C62" w14:textId="3694E51F" w:rsidR="00004C16" w:rsidRPr="007E1540" w:rsidRDefault="00004C16" w:rsidP="00004C16">
      <w:pPr>
        <w:rPr>
          <w:szCs w:val="24"/>
        </w:rPr>
      </w:pPr>
      <w:r w:rsidRPr="007E1540">
        <w:rPr>
          <w:b/>
          <w:bCs/>
          <w:szCs w:val="24"/>
        </w:rPr>
        <w:t>Record Ref. No</w:t>
      </w:r>
      <w:r w:rsidRPr="007E1540">
        <w:rPr>
          <w:szCs w:val="24"/>
        </w:rPr>
        <w:t xml:space="preserve">.: </w:t>
      </w:r>
      <w:r w:rsidR="002C283F">
        <w:rPr>
          <w:szCs w:val="24"/>
        </w:rPr>
        <w:t>2020/230789</w:t>
      </w:r>
    </w:p>
    <w:p w14:paraId="39BC0EA4" w14:textId="77777777" w:rsidR="00420A11" w:rsidRDefault="00420A11" w:rsidP="00323E71"/>
    <w:p w14:paraId="5798DFED" w14:textId="77777777" w:rsidR="001D0DE0" w:rsidRPr="00595C8C" w:rsidRDefault="00595C8C" w:rsidP="00DF5930">
      <w:pPr>
        <w:pStyle w:val="Caption"/>
      </w:pPr>
      <w:r w:rsidRPr="00595C8C">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DF5930" w14:paraId="116B87DF" w14:textId="77777777" w:rsidTr="00DF5930">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DF5930" w:rsidRDefault="00595C8C" w:rsidP="00FE072C">
            <w:pPr>
              <w:spacing w:before="60" w:after="60" w:line="240" w:lineRule="auto"/>
              <w:rPr>
                <w:b w:val="0"/>
                <w:bCs/>
              </w:rPr>
            </w:pPr>
            <w:r w:rsidRPr="00DF5930">
              <w:rPr>
                <w:b w:val="0"/>
                <w:bCs/>
              </w:rPr>
              <w:t>Issue</w:t>
            </w:r>
            <w:r w:rsidR="004E3932" w:rsidRPr="00DF5930">
              <w:rPr>
                <w:b w:val="0"/>
                <w:bCs/>
              </w:rPr>
              <w:t xml:space="preserve"> No.</w:t>
            </w:r>
          </w:p>
        </w:tc>
        <w:tc>
          <w:tcPr>
            <w:tcW w:w="7608" w:type="dxa"/>
          </w:tcPr>
          <w:p w14:paraId="2D00C3FD" w14:textId="26176D05" w:rsidR="00595C8C" w:rsidRPr="00DF5930" w:rsidRDefault="00595C8C" w:rsidP="00FE072C">
            <w:pPr>
              <w:spacing w:before="60" w:after="60" w:line="240" w:lineRule="auto"/>
              <w:rPr>
                <w:b w:val="0"/>
                <w:bCs/>
              </w:rPr>
            </w:pPr>
            <w:r w:rsidRPr="00DF5930">
              <w:rPr>
                <w:b w:val="0"/>
                <w:bCs/>
              </w:rPr>
              <w:t>Description of Update(s)</w:t>
            </w:r>
          </w:p>
        </w:tc>
      </w:tr>
      <w:tr w:rsidR="00595C8C" w14:paraId="0B4E4E42" w14:textId="77777777" w:rsidTr="00DF5930">
        <w:tc>
          <w:tcPr>
            <w:tcW w:w="1408" w:type="dxa"/>
          </w:tcPr>
          <w:p w14:paraId="65482A03" w14:textId="2BFAE036" w:rsidR="00595C8C" w:rsidRDefault="003C592A" w:rsidP="00FE072C">
            <w:pPr>
              <w:spacing w:before="60" w:after="60" w:line="240" w:lineRule="auto"/>
            </w:pPr>
            <w:r>
              <w:t>12</w:t>
            </w:r>
          </w:p>
        </w:tc>
        <w:tc>
          <w:tcPr>
            <w:tcW w:w="7608" w:type="dxa"/>
          </w:tcPr>
          <w:p w14:paraId="33DB2C0D" w14:textId="2C8AD419" w:rsidR="008C1A0C" w:rsidRPr="008C1A0C" w:rsidRDefault="008C1A0C" w:rsidP="00FE072C">
            <w:pPr>
              <w:spacing w:before="60" w:after="60" w:line="240" w:lineRule="auto"/>
            </w:pPr>
            <w:r>
              <w:t>Major revision:</w:t>
            </w:r>
          </w:p>
          <w:p w14:paraId="7FDB1601" w14:textId="4AD7ED7D" w:rsidR="00FB79AA" w:rsidRPr="005D17BB" w:rsidRDefault="007B2B43" w:rsidP="00FE072C">
            <w:pPr>
              <w:pStyle w:val="Bulletlist1"/>
              <w:spacing w:before="60" w:after="60"/>
              <w:ind w:left="600"/>
            </w:pPr>
            <w:r>
              <w:t>Change of title</w:t>
            </w:r>
            <w:r w:rsidR="00951A28">
              <w:t xml:space="preserve"> to </w:t>
            </w:r>
            <w:r w:rsidR="005D17BB">
              <w:t xml:space="preserve">better </w:t>
            </w:r>
            <w:r w:rsidR="00BA2189">
              <w:t xml:space="preserve">reflect the purpose and scope of the guidance </w:t>
            </w:r>
          </w:p>
          <w:p w14:paraId="620DDB34" w14:textId="65A05FBF" w:rsidR="00FB79AA" w:rsidRDefault="00FB79AA" w:rsidP="00FE072C">
            <w:pPr>
              <w:pStyle w:val="Bulletlist1"/>
              <w:spacing w:before="60" w:after="60"/>
              <w:ind w:left="600"/>
            </w:pPr>
            <w:r>
              <w:t xml:space="preserve">Consolidation of </w:t>
            </w:r>
            <w:r w:rsidR="005D17BB">
              <w:t>similar content and removed repetitive content</w:t>
            </w:r>
          </w:p>
          <w:p w14:paraId="46D40C5F" w14:textId="77777777" w:rsidR="00257077" w:rsidRDefault="005D17BB" w:rsidP="00FE072C">
            <w:pPr>
              <w:pStyle w:val="Bulletlist1"/>
              <w:spacing w:before="60" w:after="60"/>
              <w:ind w:left="600"/>
            </w:pPr>
            <w:r>
              <w:t>Improved presentation of a key concept – relevant good practice (RGP)</w:t>
            </w:r>
          </w:p>
          <w:p w14:paraId="1E53413B" w14:textId="77777777" w:rsidR="005D17BB" w:rsidRDefault="005D17BB" w:rsidP="00FE072C">
            <w:pPr>
              <w:pStyle w:val="Bulletlist1"/>
              <w:spacing w:before="60" w:after="60"/>
              <w:ind w:left="600"/>
            </w:pPr>
            <w:r>
              <w:t>Signposted information that are better hosted elsewhere</w:t>
            </w:r>
          </w:p>
          <w:p w14:paraId="2DA6483A" w14:textId="77777777" w:rsidR="005D17BB" w:rsidRDefault="005D17BB" w:rsidP="00FE072C">
            <w:pPr>
              <w:pStyle w:val="Bulletlist1"/>
              <w:spacing w:before="60" w:after="60"/>
              <w:ind w:left="600"/>
            </w:pPr>
            <w:r>
              <w:t xml:space="preserve">Updated relevant information and deleted those </w:t>
            </w:r>
            <w:r w:rsidR="00A51349">
              <w:t>no longer relevant</w:t>
            </w:r>
          </w:p>
          <w:p w14:paraId="66E89A13" w14:textId="77777777" w:rsidR="00A51349" w:rsidRDefault="00A51349" w:rsidP="00FE072C">
            <w:pPr>
              <w:pStyle w:val="Bulletlist1"/>
              <w:spacing w:before="60" w:after="60"/>
              <w:ind w:left="600"/>
            </w:pPr>
            <w:r>
              <w:t>Removed references to discipline-specific risks</w:t>
            </w:r>
          </w:p>
          <w:p w14:paraId="6B174D56" w14:textId="77777777" w:rsidR="00A51349" w:rsidRDefault="00B462C0" w:rsidP="00FE072C">
            <w:pPr>
              <w:pStyle w:val="Bulletlist1"/>
              <w:spacing w:before="60" w:after="60"/>
              <w:ind w:left="600"/>
            </w:pPr>
            <w:r>
              <w:t xml:space="preserve">Inclusion of key concepts that are relevant to making </w:t>
            </w:r>
            <w:r w:rsidR="00A05419">
              <w:t>a judgement on reducing risks to ALARP</w:t>
            </w:r>
          </w:p>
          <w:p w14:paraId="1C80912E" w14:textId="2D7B88F4" w:rsidR="00A05419" w:rsidRPr="00FB79AA" w:rsidRDefault="00A05419" w:rsidP="00FE072C">
            <w:pPr>
              <w:pStyle w:val="Bulletlist1"/>
              <w:spacing w:before="60" w:after="60"/>
              <w:ind w:left="600"/>
            </w:pPr>
            <w:r>
              <w:t>Clarification of concepts</w:t>
            </w:r>
          </w:p>
        </w:tc>
      </w:tr>
    </w:tbl>
    <w:p w14:paraId="1FDB4B56" w14:textId="6C10B266" w:rsidR="00595C8C" w:rsidRDefault="00595C8C" w:rsidP="00323E71">
      <w:pPr>
        <w:sectPr w:rsidR="00595C8C" w:rsidSect="007E1540">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6A2FD1A" w14:textId="706E8802" w:rsidR="00A05419" w:rsidRDefault="00404B0C">
      <w:pPr>
        <w:pStyle w:val="TOC1"/>
        <w:tabs>
          <w:tab w:val="left" w:pos="720"/>
        </w:tabs>
        <w:rPr>
          <w:rFonts w:asciiTheme="minorHAnsi" w:eastAsiaTheme="minorEastAsia" w:hAnsiTheme="minorHAnsi" w:cstheme="minorBidi"/>
          <w:sz w:val="22"/>
          <w:lang w:eastAsia="zh-CN" w:bidi="ar-SA"/>
        </w:rPr>
      </w:pPr>
      <w:r>
        <w:fldChar w:fldCharType="begin"/>
      </w:r>
      <w:r>
        <w:instrText xml:space="preserve"> TOC \o "1-1" \h \z \u </w:instrText>
      </w:r>
      <w:r>
        <w:fldChar w:fldCharType="separate"/>
      </w:r>
      <w:hyperlink w:anchor="_Toc146287629" w:history="1">
        <w:r w:rsidR="00A05419" w:rsidRPr="007E5468">
          <w:rPr>
            <w:rStyle w:val="Hyperlink"/>
          </w:rPr>
          <w:t>1.</w:t>
        </w:r>
        <w:r w:rsidR="00A05419">
          <w:rPr>
            <w:rFonts w:asciiTheme="minorHAnsi" w:eastAsiaTheme="minorEastAsia" w:hAnsiTheme="minorHAnsi" w:cstheme="minorBidi"/>
            <w:sz w:val="22"/>
            <w:lang w:eastAsia="zh-CN" w:bidi="ar-SA"/>
          </w:rPr>
          <w:tab/>
        </w:r>
        <w:r w:rsidR="00A05419" w:rsidRPr="007E5468">
          <w:rPr>
            <w:rStyle w:val="Hyperlink"/>
          </w:rPr>
          <w:t>Introduction</w:t>
        </w:r>
        <w:r w:rsidR="00A05419">
          <w:rPr>
            <w:webHidden/>
          </w:rPr>
          <w:tab/>
        </w:r>
        <w:r w:rsidR="00A05419">
          <w:rPr>
            <w:webHidden/>
          </w:rPr>
          <w:fldChar w:fldCharType="begin"/>
        </w:r>
        <w:r w:rsidR="00A05419">
          <w:rPr>
            <w:webHidden/>
          </w:rPr>
          <w:instrText xml:space="preserve"> PAGEREF _Toc146287629 \h </w:instrText>
        </w:r>
        <w:r w:rsidR="00A05419">
          <w:rPr>
            <w:webHidden/>
          </w:rPr>
        </w:r>
        <w:r w:rsidR="00A05419">
          <w:rPr>
            <w:webHidden/>
          </w:rPr>
          <w:fldChar w:fldCharType="separate"/>
        </w:r>
        <w:r w:rsidR="00FE072C">
          <w:rPr>
            <w:webHidden/>
          </w:rPr>
          <w:t>4</w:t>
        </w:r>
        <w:r w:rsidR="00A05419">
          <w:rPr>
            <w:webHidden/>
          </w:rPr>
          <w:fldChar w:fldCharType="end"/>
        </w:r>
      </w:hyperlink>
    </w:p>
    <w:p w14:paraId="75D4B398" w14:textId="7090E566" w:rsidR="00A05419" w:rsidRDefault="00000000">
      <w:pPr>
        <w:pStyle w:val="TOC1"/>
        <w:tabs>
          <w:tab w:val="left" w:pos="720"/>
        </w:tabs>
        <w:rPr>
          <w:rFonts w:asciiTheme="minorHAnsi" w:eastAsiaTheme="minorEastAsia" w:hAnsiTheme="minorHAnsi" w:cstheme="minorBidi"/>
          <w:sz w:val="22"/>
          <w:lang w:eastAsia="zh-CN" w:bidi="ar-SA"/>
        </w:rPr>
      </w:pPr>
      <w:hyperlink w:anchor="_Toc146287630" w:history="1">
        <w:r w:rsidR="00A05419" w:rsidRPr="007E5468">
          <w:rPr>
            <w:rStyle w:val="Hyperlink"/>
          </w:rPr>
          <w:t>2.</w:t>
        </w:r>
        <w:r w:rsidR="00A05419">
          <w:rPr>
            <w:rFonts w:asciiTheme="minorHAnsi" w:eastAsiaTheme="minorEastAsia" w:hAnsiTheme="minorHAnsi" w:cstheme="minorBidi"/>
            <w:sz w:val="22"/>
            <w:lang w:eastAsia="zh-CN" w:bidi="ar-SA"/>
          </w:rPr>
          <w:tab/>
        </w:r>
        <w:r w:rsidR="00A05419" w:rsidRPr="007E5468">
          <w:rPr>
            <w:rStyle w:val="Hyperlink"/>
          </w:rPr>
          <w:t>Purpose and Scope</w:t>
        </w:r>
        <w:r w:rsidR="00A05419">
          <w:rPr>
            <w:webHidden/>
          </w:rPr>
          <w:tab/>
        </w:r>
        <w:r w:rsidR="00A05419">
          <w:rPr>
            <w:webHidden/>
          </w:rPr>
          <w:fldChar w:fldCharType="begin"/>
        </w:r>
        <w:r w:rsidR="00A05419">
          <w:rPr>
            <w:webHidden/>
          </w:rPr>
          <w:instrText xml:space="preserve"> PAGEREF _Toc146287630 \h </w:instrText>
        </w:r>
        <w:r w:rsidR="00A05419">
          <w:rPr>
            <w:webHidden/>
          </w:rPr>
        </w:r>
        <w:r w:rsidR="00A05419">
          <w:rPr>
            <w:webHidden/>
          </w:rPr>
          <w:fldChar w:fldCharType="separate"/>
        </w:r>
        <w:r w:rsidR="00FE072C">
          <w:rPr>
            <w:webHidden/>
          </w:rPr>
          <w:t>5</w:t>
        </w:r>
        <w:r w:rsidR="00A05419">
          <w:rPr>
            <w:webHidden/>
          </w:rPr>
          <w:fldChar w:fldCharType="end"/>
        </w:r>
      </w:hyperlink>
    </w:p>
    <w:p w14:paraId="7BFAD6A9" w14:textId="1431B941" w:rsidR="00A05419" w:rsidRDefault="00000000">
      <w:pPr>
        <w:pStyle w:val="TOC1"/>
        <w:tabs>
          <w:tab w:val="left" w:pos="720"/>
        </w:tabs>
        <w:rPr>
          <w:rFonts w:asciiTheme="minorHAnsi" w:eastAsiaTheme="minorEastAsia" w:hAnsiTheme="minorHAnsi" w:cstheme="minorBidi"/>
          <w:sz w:val="22"/>
          <w:lang w:eastAsia="zh-CN" w:bidi="ar-SA"/>
        </w:rPr>
      </w:pPr>
      <w:hyperlink w:anchor="_Toc146287631" w:history="1">
        <w:r w:rsidR="00A05419" w:rsidRPr="007E5468">
          <w:rPr>
            <w:rStyle w:val="Hyperlink"/>
          </w:rPr>
          <w:t>3.</w:t>
        </w:r>
        <w:r w:rsidR="00A05419">
          <w:rPr>
            <w:rFonts w:asciiTheme="minorHAnsi" w:eastAsiaTheme="minorEastAsia" w:hAnsiTheme="minorHAnsi" w:cstheme="minorBidi"/>
            <w:sz w:val="22"/>
            <w:lang w:eastAsia="zh-CN" w:bidi="ar-SA"/>
          </w:rPr>
          <w:tab/>
        </w:r>
        <w:r w:rsidR="00A05419" w:rsidRPr="007E5468">
          <w:rPr>
            <w:rStyle w:val="Hyperlink"/>
          </w:rPr>
          <w:t>Relationship to Licence and other Relevant Legislation</w:t>
        </w:r>
        <w:r w:rsidR="00A05419">
          <w:rPr>
            <w:webHidden/>
          </w:rPr>
          <w:tab/>
        </w:r>
        <w:r w:rsidR="00A05419">
          <w:rPr>
            <w:webHidden/>
          </w:rPr>
          <w:fldChar w:fldCharType="begin"/>
        </w:r>
        <w:r w:rsidR="00A05419">
          <w:rPr>
            <w:webHidden/>
          </w:rPr>
          <w:instrText xml:space="preserve"> PAGEREF _Toc146287631 \h </w:instrText>
        </w:r>
        <w:r w:rsidR="00A05419">
          <w:rPr>
            <w:webHidden/>
          </w:rPr>
        </w:r>
        <w:r w:rsidR="00A05419">
          <w:rPr>
            <w:webHidden/>
          </w:rPr>
          <w:fldChar w:fldCharType="separate"/>
        </w:r>
        <w:r w:rsidR="00FE072C">
          <w:rPr>
            <w:webHidden/>
          </w:rPr>
          <w:t>6</w:t>
        </w:r>
        <w:r w:rsidR="00A05419">
          <w:rPr>
            <w:webHidden/>
          </w:rPr>
          <w:fldChar w:fldCharType="end"/>
        </w:r>
      </w:hyperlink>
    </w:p>
    <w:p w14:paraId="610A08C1" w14:textId="534BA2A3" w:rsidR="00A05419" w:rsidRDefault="00000000">
      <w:pPr>
        <w:pStyle w:val="TOC1"/>
        <w:tabs>
          <w:tab w:val="left" w:pos="720"/>
        </w:tabs>
        <w:rPr>
          <w:rFonts w:asciiTheme="minorHAnsi" w:eastAsiaTheme="minorEastAsia" w:hAnsiTheme="minorHAnsi" w:cstheme="minorBidi"/>
          <w:sz w:val="22"/>
          <w:lang w:eastAsia="zh-CN" w:bidi="ar-SA"/>
        </w:rPr>
      </w:pPr>
      <w:hyperlink w:anchor="_Toc146287632" w:history="1">
        <w:r w:rsidR="00A05419" w:rsidRPr="007E5468">
          <w:rPr>
            <w:rStyle w:val="Hyperlink"/>
          </w:rPr>
          <w:t>4.</w:t>
        </w:r>
        <w:r w:rsidR="00A05419">
          <w:rPr>
            <w:rFonts w:asciiTheme="minorHAnsi" w:eastAsiaTheme="minorEastAsia" w:hAnsiTheme="minorHAnsi" w:cstheme="minorBidi"/>
            <w:sz w:val="22"/>
            <w:lang w:eastAsia="zh-CN" w:bidi="ar-SA"/>
          </w:rPr>
          <w:tab/>
        </w:r>
        <w:r w:rsidR="00A05419" w:rsidRPr="007E5468">
          <w:rPr>
            <w:rStyle w:val="Hyperlink"/>
          </w:rPr>
          <w:t>Relationship to Safety Assessment Principles, WENRA Reference Levels, and IAEA Safety Standards and Guides</w:t>
        </w:r>
        <w:r w:rsidR="00A05419">
          <w:rPr>
            <w:webHidden/>
          </w:rPr>
          <w:tab/>
        </w:r>
        <w:r w:rsidR="00A05419">
          <w:rPr>
            <w:webHidden/>
          </w:rPr>
          <w:fldChar w:fldCharType="begin"/>
        </w:r>
        <w:r w:rsidR="00A05419">
          <w:rPr>
            <w:webHidden/>
          </w:rPr>
          <w:instrText xml:space="preserve"> PAGEREF _Toc146287632 \h </w:instrText>
        </w:r>
        <w:r w:rsidR="00A05419">
          <w:rPr>
            <w:webHidden/>
          </w:rPr>
        </w:r>
        <w:r w:rsidR="00A05419">
          <w:rPr>
            <w:webHidden/>
          </w:rPr>
          <w:fldChar w:fldCharType="separate"/>
        </w:r>
        <w:r w:rsidR="00FE072C">
          <w:rPr>
            <w:webHidden/>
          </w:rPr>
          <w:t>7</w:t>
        </w:r>
        <w:r w:rsidR="00A05419">
          <w:rPr>
            <w:webHidden/>
          </w:rPr>
          <w:fldChar w:fldCharType="end"/>
        </w:r>
      </w:hyperlink>
    </w:p>
    <w:p w14:paraId="58FEBB97" w14:textId="69E39022" w:rsidR="00A05419" w:rsidRDefault="00000000">
      <w:pPr>
        <w:pStyle w:val="TOC1"/>
        <w:tabs>
          <w:tab w:val="left" w:pos="720"/>
        </w:tabs>
        <w:rPr>
          <w:rFonts w:asciiTheme="minorHAnsi" w:eastAsiaTheme="minorEastAsia" w:hAnsiTheme="minorHAnsi" w:cstheme="minorBidi"/>
          <w:sz w:val="22"/>
          <w:lang w:eastAsia="zh-CN" w:bidi="ar-SA"/>
        </w:rPr>
      </w:pPr>
      <w:hyperlink w:anchor="_Toc146287633" w:history="1">
        <w:r w:rsidR="00A05419" w:rsidRPr="007E5468">
          <w:rPr>
            <w:rStyle w:val="Hyperlink"/>
          </w:rPr>
          <w:t>5.</w:t>
        </w:r>
        <w:r w:rsidR="00A05419">
          <w:rPr>
            <w:rFonts w:asciiTheme="minorHAnsi" w:eastAsiaTheme="minorEastAsia" w:hAnsiTheme="minorHAnsi" w:cstheme="minorBidi"/>
            <w:sz w:val="22"/>
            <w:lang w:eastAsia="zh-CN" w:bidi="ar-SA"/>
          </w:rPr>
          <w:tab/>
        </w:r>
        <w:r w:rsidR="00A05419" w:rsidRPr="007E5468">
          <w:rPr>
            <w:rStyle w:val="Hyperlink"/>
          </w:rPr>
          <w:t>Concepts supporting regulatory judgements on reducing risks to ALARP</w:t>
        </w:r>
        <w:r w:rsidR="00A05419">
          <w:rPr>
            <w:webHidden/>
          </w:rPr>
          <w:tab/>
        </w:r>
        <w:r w:rsidR="00A05419">
          <w:rPr>
            <w:webHidden/>
          </w:rPr>
          <w:fldChar w:fldCharType="begin"/>
        </w:r>
        <w:r w:rsidR="00A05419">
          <w:rPr>
            <w:webHidden/>
          </w:rPr>
          <w:instrText xml:space="preserve"> PAGEREF _Toc146287633 \h </w:instrText>
        </w:r>
        <w:r w:rsidR="00A05419">
          <w:rPr>
            <w:webHidden/>
          </w:rPr>
        </w:r>
        <w:r w:rsidR="00A05419">
          <w:rPr>
            <w:webHidden/>
          </w:rPr>
          <w:fldChar w:fldCharType="separate"/>
        </w:r>
        <w:r w:rsidR="00FE072C">
          <w:rPr>
            <w:webHidden/>
          </w:rPr>
          <w:t>8</w:t>
        </w:r>
        <w:r w:rsidR="00A05419">
          <w:rPr>
            <w:webHidden/>
          </w:rPr>
          <w:fldChar w:fldCharType="end"/>
        </w:r>
      </w:hyperlink>
    </w:p>
    <w:p w14:paraId="3F6F63C7" w14:textId="5A47F590" w:rsidR="00A05419" w:rsidRDefault="00000000">
      <w:pPr>
        <w:pStyle w:val="TOC1"/>
        <w:tabs>
          <w:tab w:val="left" w:pos="720"/>
        </w:tabs>
        <w:rPr>
          <w:rFonts w:asciiTheme="minorHAnsi" w:eastAsiaTheme="minorEastAsia" w:hAnsiTheme="minorHAnsi" w:cstheme="minorBidi"/>
          <w:sz w:val="22"/>
          <w:lang w:eastAsia="zh-CN" w:bidi="ar-SA"/>
        </w:rPr>
      </w:pPr>
      <w:hyperlink w:anchor="_Toc146287634" w:history="1">
        <w:r w:rsidR="00A05419" w:rsidRPr="007E5468">
          <w:rPr>
            <w:rStyle w:val="Hyperlink"/>
          </w:rPr>
          <w:t>6.</w:t>
        </w:r>
        <w:r w:rsidR="00A05419">
          <w:rPr>
            <w:rFonts w:asciiTheme="minorHAnsi" w:eastAsiaTheme="minorEastAsia" w:hAnsiTheme="minorHAnsi" w:cstheme="minorBidi"/>
            <w:sz w:val="22"/>
            <w:lang w:eastAsia="zh-CN" w:bidi="ar-SA"/>
          </w:rPr>
          <w:tab/>
        </w:r>
        <w:r w:rsidR="00A05419" w:rsidRPr="007E5468">
          <w:rPr>
            <w:rStyle w:val="Hyperlink"/>
          </w:rPr>
          <w:t>Advice to Inspectors</w:t>
        </w:r>
        <w:r w:rsidR="00A05419">
          <w:rPr>
            <w:webHidden/>
          </w:rPr>
          <w:tab/>
        </w:r>
        <w:r w:rsidR="00A05419">
          <w:rPr>
            <w:webHidden/>
          </w:rPr>
          <w:fldChar w:fldCharType="begin"/>
        </w:r>
        <w:r w:rsidR="00A05419">
          <w:rPr>
            <w:webHidden/>
          </w:rPr>
          <w:instrText xml:space="preserve"> PAGEREF _Toc146287634 \h </w:instrText>
        </w:r>
        <w:r w:rsidR="00A05419">
          <w:rPr>
            <w:webHidden/>
          </w:rPr>
        </w:r>
        <w:r w:rsidR="00A05419">
          <w:rPr>
            <w:webHidden/>
          </w:rPr>
          <w:fldChar w:fldCharType="separate"/>
        </w:r>
        <w:r w:rsidR="00FE072C">
          <w:rPr>
            <w:webHidden/>
          </w:rPr>
          <w:t>25</w:t>
        </w:r>
        <w:r w:rsidR="00A05419">
          <w:rPr>
            <w:webHidden/>
          </w:rPr>
          <w:fldChar w:fldCharType="end"/>
        </w:r>
      </w:hyperlink>
    </w:p>
    <w:p w14:paraId="2F538D8E" w14:textId="2A5EDF5D" w:rsidR="00A05419" w:rsidRDefault="00000000">
      <w:pPr>
        <w:pStyle w:val="TOC1"/>
        <w:rPr>
          <w:rFonts w:asciiTheme="minorHAnsi" w:eastAsiaTheme="minorEastAsia" w:hAnsiTheme="minorHAnsi" w:cstheme="minorBidi"/>
          <w:sz w:val="22"/>
          <w:lang w:eastAsia="zh-CN" w:bidi="ar-SA"/>
        </w:rPr>
      </w:pPr>
      <w:hyperlink w:anchor="_Toc146287635" w:history="1">
        <w:r w:rsidR="00A05419" w:rsidRPr="007E5468">
          <w:rPr>
            <w:rStyle w:val="Hyperlink"/>
          </w:rPr>
          <w:t>References</w:t>
        </w:r>
        <w:r w:rsidR="00A05419">
          <w:rPr>
            <w:webHidden/>
          </w:rPr>
          <w:tab/>
        </w:r>
        <w:r w:rsidR="00A05419">
          <w:rPr>
            <w:webHidden/>
          </w:rPr>
          <w:fldChar w:fldCharType="begin"/>
        </w:r>
        <w:r w:rsidR="00A05419">
          <w:rPr>
            <w:webHidden/>
          </w:rPr>
          <w:instrText xml:space="preserve"> PAGEREF _Toc146287635 \h </w:instrText>
        </w:r>
        <w:r w:rsidR="00A05419">
          <w:rPr>
            <w:webHidden/>
          </w:rPr>
        </w:r>
        <w:r w:rsidR="00A05419">
          <w:rPr>
            <w:webHidden/>
          </w:rPr>
          <w:fldChar w:fldCharType="separate"/>
        </w:r>
        <w:r w:rsidR="00FE072C">
          <w:rPr>
            <w:webHidden/>
          </w:rPr>
          <w:t>28</w:t>
        </w:r>
        <w:r w:rsidR="00A05419">
          <w:rPr>
            <w:webHidden/>
          </w:rPr>
          <w:fldChar w:fldCharType="end"/>
        </w:r>
      </w:hyperlink>
    </w:p>
    <w:p w14:paraId="336A4645" w14:textId="313A549B" w:rsidR="00A05419" w:rsidRDefault="00000000">
      <w:pPr>
        <w:pStyle w:val="TOC1"/>
        <w:rPr>
          <w:rFonts w:asciiTheme="minorHAnsi" w:eastAsiaTheme="minorEastAsia" w:hAnsiTheme="minorHAnsi" w:cstheme="minorBidi"/>
          <w:sz w:val="22"/>
          <w:lang w:eastAsia="zh-CN" w:bidi="ar-SA"/>
        </w:rPr>
      </w:pPr>
      <w:hyperlink w:anchor="_Toc146287636" w:history="1">
        <w:r w:rsidR="00A05419" w:rsidRPr="007E5468">
          <w:rPr>
            <w:rStyle w:val="Hyperlink"/>
          </w:rPr>
          <w:t>Glossary and Abbreviations</w:t>
        </w:r>
        <w:r w:rsidR="00A05419">
          <w:rPr>
            <w:webHidden/>
          </w:rPr>
          <w:tab/>
        </w:r>
        <w:r w:rsidR="00A05419">
          <w:rPr>
            <w:webHidden/>
          </w:rPr>
          <w:fldChar w:fldCharType="begin"/>
        </w:r>
        <w:r w:rsidR="00A05419">
          <w:rPr>
            <w:webHidden/>
          </w:rPr>
          <w:instrText xml:space="preserve"> PAGEREF _Toc146287636 \h </w:instrText>
        </w:r>
        <w:r w:rsidR="00A05419">
          <w:rPr>
            <w:webHidden/>
          </w:rPr>
        </w:r>
        <w:r w:rsidR="00A05419">
          <w:rPr>
            <w:webHidden/>
          </w:rPr>
          <w:fldChar w:fldCharType="separate"/>
        </w:r>
        <w:r w:rsidR="00FE072C">
          <w:rPr>
            <w:webHidden/>
          </w:rPr>
          <w:t>31</w:t>
        </w:r>
        <w:r w:rsidR="00A05419">
          <w:rPr>
            <w:webHidden/>
          </w:rPr>
          <w:fldChar w:fldCharType="end"/>
        </w:r>
      </w:hyperlink>
    </w:p>
    <w:p w14:paraId="0F169C10" w14:textId="60AA58FC" w:rsidR="00A05419" w:rsidRDefault="00000000">
      <w:pPr>
        <w:pStyle w:val="TOC1"/>
        <w:rPr>
          <w:rFonts w:asciiTheme="minorHAnsi" w:eastAsiaTheme="minorEastAsia" w:hAnsiTheme="minorHAnsi" w:cstheme="minorBidi"/>
          <w:sz w:val="22"/>
          <w:lang w:eastAsia="zh-CN" w:bidi="ar-SA"/>
        </w:rPr>
      </w:pPr>
      <w:hyperlink w:anchor="_Toc146287637" w:history="1">
        <w:r w:rsidR="00A05419" w:rsidRPr="007E5468">
          <w:rPr>
            <w:rStyle w:val="Hyperlink"/>
          </w:rPr>
          <w:t>Appendix 1: Cost Benefit Analysis (CBA)</w:t>
        </w:r>
        <w:r w:rsidR="00A05419">
          <w:rPr>
            <w:webHidden/>
          </w:rPr>
          <w:tab/>
        </w:r>
        <w:r w:rsidR="00A05419">
          <w:rPr>
            <w:webHidden/>
          </w:rPr>
          <w:fldChar w:fldCharType="begin"/>
        </w:r>
        <w:r w:rsidR="00A05419">
          <w:rPr>
            <w:webHidden/>
          </w:rPr>
          <w:instrText xml:space="preserve"> PAGEREF _Toc146287637 \h </w:instrText>
        </w:r>
        <w:r w:rsidR="00A05419">
          <w:rPr>
            <w:webHidden/>
          </w:rPr>
        </w:r>
        <w:r w:rsidR="00A05419">
          <w:rPr>
            <w:webHidden/>
          </w:rPr>
          <w:fldChar w:fldCharType="separate"/>
        </w:r>
        <w:r w:rsidR="00FE072C">
          <w:rPr>
            <w:webHidden/>
          </w:rPr>
          <w:t>32</w:t>
        </w:r>
        <w:r w:rsidR="00A05419">
          <w:rPr>
            <w:webHidden/>
          </w:rPr>
          <w:fldChar w:fldCharType="end"/>
        </w:r>
      </w:hyperlink>
    </w:p>
    <w:p w14:paraId="716DC0DD" w14:textId="543EA5D5" w:rsidR="00A05419" w:rsidRDefault="00000000">
      <w:pPr>
        <w:pStyle w:val="TOC1"/>
        <w:rPr>
          <w:rFonts w:asciiTheme="minorHAnsi" w:eastAsiaTheme="minorEastAsia" w:hAnsiTheme="minorHAnsi" w:cstheme="minorBidi"/>
          <w:sz w:val="22"/>
          <w:lang w:eastAsia="zh-CN" w:bidi="ar-SA"/>
        </w:rPr>
      </w:pPr>
      <w:hyperlink w:anchor="_Toc146287638" w:history="1">
        <w:r w:rsidR="00A05419" w:rsidRPr="007E5468">
          <w:rPr>
            <w:rStyle w:val="Hyperlink"/>
          </w:rPr>
          <w:t>Appendix 2: Time at risk situation specific considerations</w:t>
        </w:r>
        <w:r w:rsidR="00A05419">
          <w:rPr>
            <w:webHidden/>
          </w:rPr>
          <w:tab/>
        </w:r>
        <w:r w:rsidR="00A05419">
          <w:rPr>
            <w:webHidden/>
          </w:rPr>
          <w:fldChar w:fldCharType="begin"/>
        </w:r>
        <w:r w:rsidR="00A05419">
          <w:rPr>
            <w:webHidden/>
          </w:rPr>
          <w:instrText xml:space="preserve"> PAGEREF _Toc146287638 \h </w:instrText>
        </w:r>
        <w:r w:rsidR="00A05419">
          <w:rPr>
            <w:webHidden/>
          </w:rPr>
        </w:r>
        <w:r w:rsidR="00A05419">
          <w:rPr>
            <w:webHidden/>
          </w:rPr>
          <w:fldChar w:fldCharType="separate"/>
        </w:r>
        <w:r w:rsidR="00FE072C">
          <w:rPr>
            <w:webHidden/>
          </w:rPr>
          <w:t>33</w:t>
        </w:r>
        <w:r w:rsidR="00A05419">
          <w:rPr>
            <w:webHidden/>
          </w:rPr>
          <w:fldChar w:fldCharType="end"/>
        </w:r>
      </w:hyperlink>
    </w:p>
    <w:p w14:paraId="1A8CE130" w14:textId="6FF82690" w:rsidR="00A05419" w:rsidRDefault="00000000">
      <w:pPr>
        <w:pStyle w:val="TOC1"/>
        <w:rPr>
          <w:rFonts w:asciiTheme="minorHAnsi" w:eastAsiaTheme="minorEastAsia" w:hAnsiTheme="minorHAnsi" w:cstheme="minorBidi"/>
          <w:sz w:val="22"/>
          <w:lang w:eastAsia="zh-CN" w:bidi="ar-SA"/>
        </w:rPr>
      </w:pPr>
      <w:hyperlink w:anchor="_Toc146287639" w:history="1">
        <w:r w:rsidR="00A05419" w:rsidRPr="007E5468">
          <w:rPr>
            <w:rStyle w:val="Hyperlink"/>
          </w:rPr>
          <w:t>Appendix 3: Optioneering</w:t>
        </w:r>
        <w:r w:rsidR="00A05419">
          <w:rPr>
            <w:webHidden/>
          </w:rPr>
          <w:tab/>
        </w:r>
        <w:r w:rsidR="00A05419">
          <w:rPr>
            <w:webHidden/>
          </w:rPr>
          <w:fldChar w:fldCharType="begin"/>
        </w:r>
        <w:r w:rsidR="00A05419">
          <w:rPr>
            <w:webHidden/>
          </w:rPr>
          <w:instrText xml:space="preserve"> PAGEREF _Toc146287639 \h </w:instrText>
        </w:r>
        <w:r w:rsidR="00A05419">
          <w:rPr>
            <w:webHidden/>
          </w:rPr>
        </w:r>
        <w:r w:rsidR="00A05419">
          <w:rPr>
            <w:webHidden/>
          </w:rPr>
          <w:fldChar w:fldCharType="separate"/>
        </w:r>
        <w:r w:rsidR="00FE072C">
          <w:rPr>
            <w:webHidden/>
          </w:rPr>
          <w:t>36</w:t>
        </w:r>
        <w:r w:rsidR="00A05419">
          <w:rPr>
            <w:webHidden/>
          </w:rPr>
          <w:fldChar w:fldCharType="end"/>
        </w:r>
      </w:hyperlink>
    </w:p>
    <w:p w14:paraId="0CC4B54A" w14:textId="29A7AE81" w:rsidR="00267815" w:rsidRDefault="00404B0C" w:rsidP="00267815">
      <w:r>
        <w:fldChar w:fldCharType="end"/>
      </w:r>
    </w:p>
    <w:bookmarkEnd w:id="0"/>
    <w:p w14:paraId="3E742336" w14:textId="77777777" w:rsidR="00621BF6" w:rsidRDefault="00621BF6" w:rsidP="005754AE">
      <w:pPr>
        <w:sectPr w:rsidR="00621BF6" w:rsidSect="007E154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18F9331D" w:rsidR="008D49A5" w:rsidRPr="00E90780" w:rsidRDefault="008D49A5" w:rsidP="00E90780">
      <w:pPr>
        <w:pStyle w:val="Heading1"/>
        <w:numPr>
          <w:ilvl w:val="0"/>
          <w:numId w:val="25"/>
        </w:numPr>
        <w:ind w:left="851" w:hanging="851"/>
      </w:pPr>
      <w:bookmarkStart w:id="1" w:name="_Toc146287629"/>
      <w:r w:rsidRPr="00E90780">
        <w:lastRenderedPageBreak/>
        <w:t>Introduction</w:t>
      </w:r>
      <w:bookmarkEnd w:id="1"/>
    </w:p>
    <w:p w14:paraId="28172091" w14:textId="7ECBC754" w:rsidR="000B14FA" w:rsidRDefault="009D5D46" w:rsidP="000B14FA">
      <w:pPr>
        <w:pStyle w:val="F9-Paragraph"/>
        <w:numPr>
          <w:ilvl w:val="0"/>
          <w:numId w:val="29"/>
        </w:numPr>
        <w:ind w:left="851" w:hanging="851"/>
      </w:pPr>
      <w:bookmarkStart w:id="2" w:name="_Hlk64448648"/>
      <w:r>
        <w:t>The Office for Nuclear Regulation (</w:t>
      </w:r>
      <w:r w:rsidR="000950B3" w:rsidRPr="00712FD1">
        <w:t>ONR</w:t>
      </w:r>
      <w:r>
        <w:t>)</w:t>
      </w:r>
      <w:r w:rsidR="000950B3" w:rsidRPr="00712FD1">
        <w:t xml:space="preserve"> has established its </w:t>
      </w:r>
      <w:hyperlink r:id="rId17" w:history="1">
        <w:r w:rsidR="000950B3" w:rsidRPr="00F7687C">
          <w:rPr>
            <w:rStyle w:val="Hyperlink"/>
          </w:rPr>
          <w:t>Safety Assessment Principles</w:t>
        </w:r>
      </w:hyperlink>
      <w:r w:rsidR="000950B3" w:rsidRPr="00712FD1">
        <w:t xml:space="preserve"> (SAPs)</w:t>
      </w:r>
      <w:r w:rsidR="000950B3">
        <w:t xml:space="preserve"> </w:t>
      </w:r>
      <w:r w:rsidR="00F56152">
        <w:t>(</w:t>
      </w:r>
      <w:r w:rsidR="0045323D">
        <w:t xml:space="preserve">ref. </w:t>
      </w:r>
      <w:sdt>
        <w:sdtPr>
          <w:id w:val="-724824170"/>
          <w:citation/>
        </w:sdtPr>
        <w:sdtContent>
          <w:r w:rsidR="0045323D">
            <w:fldChar w:fldCharType="begin"/>
          </w:r>
          <w:r w:rsidR="00C67755">
            <w:instrText xml:space="preserve">CITATION Placeholder1 \l 2057 </w:instrText>
          </w:r>
          <w:r w:rsidR="0045323D">
            <w:fldChar w:fldCharType="separate"/>
          </w:r>
          <w:r w:rsidR="00C67755">
            <w:rPr>
              <w:noProof/>
            </w:rPr>
            <w:t>[1]</w:t>
          </w:r>
          <w:r w:rsidR="0045323D">
            <w:fldChar w:fldCharType="end"/>
          </w:r>
        </w:sdtContent>
      </w:sdt>
      <w:r w:rsidR="0045323D">
        <w:t xml:space="preserve">) </w:t>
      </w:r>
      <w:r w:rsidR="000950B3" w:rsidRPr="00712FD1">
        <w:t xml:space="preserve">which apply to the assessment by ONR specialist inspectors of safety cases for nuclear facilities that may be operated by </w:t>
      </w:r>
      <w:r w:rsidR="000950B3" w:rsidRPr="000B14FA">
        <w:t xml:space="preserve">potential licensees, existing licensees, or other dutyholders. </w:t>
      </w:r>
      <w:r w:rsidR="00DF5930">
        <w:br/>
      </w:r>
      <w:r w:rsidR="000950B3" w:rsidRPr="000B14FA">
        <w:t xml:space="preserve">The principles presented in the SAPs are supported by a suite of guides to further assist ONR’s inspectors in their technical assessment work in support of making regulatory judgements and decisions. </w:t>
      </w:r>
      <w:bookmarkEnd w:id="2"/>
      <w:r w:rsidR="000D4580" w:rsidRPr="000D4580">
        <w:t>This technical assessment guide (TAG) is one of these guides although the scope of this TAG extends beyond assessment (</w:t>
      </w:r>
      <w:r w:rsidR="00DF5930">
        <w:t>refer to</w:t>
      </w:r>
      <w:r w:rsidR="000D4580" w:rsidRPr="000D4580">
        <w:t xml:space="preserve"> Section 2)</w:t>
      </w:r>
      <w:r w:rsidR="00D409EE">
        <w:t xml:space="preserve"> of safety cases</w:t>
      </w:r>
      <w:r w:rsidR="000D4580" w:rsidRPr="000D4580">
        <w:t>.</w:t>
      </w:r>
    </w:p>
    <w:p w14:paraId="051A68F2" w14:textId="5FAF714B" w:rsidR="00481241" w:rsidRDefault="00481241" w:rsidP="00481241">
      <w:pPr>
        <w:pStyle w:val="F9-Paragraph"/>
        <w:numPr>
          <w:ilvl w:val="0"/>
          <w:numId w:val="29"/>
        </w:numPr>
        <w:ind w:left="851" w:hanging="851"/>
      </w:pPr>
      <w:r w:rsidRPr="000B14FA">
        <w:t xml:space="preserve">The </w:t>
      </w:r>
      <w:r>
        <w:t xml:space="preserve">concept of ‘reasonably practicable’ </w:t>
      </w:r>
      <w:r w:rsidR="000F6AC8">
        <w:t>sit</w:t>
      </w:r>
      <w:r>
        <w:t xml:space="preserve">s at the heart of the British health and safety system, it sets goals for </w:t>
      </w:r>
      <w:r w:rsidR="00B5369F">
        <w:t>dutyholder</w:t>
      </w:r>
      <w:r>
        <w:t>s, rather than being prescriptive. It is a key part of the general duties set out in the Health and Safety at Work etc. Act 1974 (HSWA) and many sets of health and safety regulation</w:t>
      </w:r>
      <w:r w:rsidR="004E7C4A">
        <w:t>s</w:t>
      </w:r>
      <w:r>
        <w:t xml:space="preserve"> that are enforced by ONR on </w:t>
      </w:r>
      <w:r w:rsidR="004E0AE3">
        <w:t>dutyholders it regulates</w:t>
      </w:r>
      <w:r>
        <w:t>. It is also a fundamental consideration for ONR during the Generic Design Assessment (GDA) for new nuclear installations.</w:t>
      </w:r>
    </w:p>
    <w:p w14:paraId="6138BA25" w14:textId="51884E25" w:rsidR="00481241" w:rsidRPr="000B14FA" w:rsidRDefault="00481241" w:rsidP="00481241">
      <w:pPr>
        <w:pStyle w:val="F9-Paragraph"/>
        <w:numPr>
          <w:ilvl w:val="0"/>
          <w:numId w:val="29"/>
        </w:numPr>
        <w:ind w:left="851" w:hanging="851"/>
      </w:pPr>
      <w:r>
        <w:t xml:space="preserve">There are two terms commonly used: ‘so far as is reasonably practicable’ (SFAIRP) or ‘as low as reasonably practicable’ (ALARP). They have </w:t>
      </w:r>
      <w:r w:rsidR="00965715">
        <w:t xml:space="preserve">a </w:t>
      </w:r>
      <w:r>
        <w:t xml:space="preserve">similar meaning, which involves weighing </w:t>
      </w:r>
      <w:r w:rsidR="00CF140D">
        <w:t>the</w:t>
      </w:r>
      <w:r>
        <w:t xml:space="preserve"> risk of a hazard causing harm to people against the </w:t>
      </w:r>
      <w:r w:rsidR="00E1367F" w:rsidRPr="00E1367F">
        <w:t>money, time or trouble</w:t>
      </w:r>
      <w:r>
        <w:t xml:space="preserve"> needed to control it</w:t>
      </w:r>
      <w:r w:rsidR="0056557D">
        <w:t xml:space="preserve">. </w:t>
      </w:r>
      <w:r>
        <w:t xml:space="preserve">As such, they are often used interchangeably and </w:t>
      </w:r>
      <w:r w:rsidR="004E0DE4">
        <w:t>health and safety</w:t>
      </w:r>
      <w:r>
        <w:t xml:space="preserve"> regulators</w:t>
      </w:r>
      <w:r w:rsidR="004E0DE4">
        <w:t xml:space="preserve"> in Great Britain (GB)</w:t>
      </w:r>
      <w:r>
        <w:t xml:space="preserve"> consider the same </w:t>
      </w:r>
      <w:r w:rsidR="002A28FB">
        <w:t xml:space="preserve">legal </w:t>
      </w:r>
      <w:r w:rsidR="00354261">
        <w:t>tests</w:t>
      </w:r>
      <w:r>
        <w:t xml:space="preserve"> to be applied during their judgements and decision</w:t>
      </w:r>
      <w:r w:rsidR="00341331">
        <w:t>-</w:t>
      </w:r>
      <w:r>
        <w:t>making, although legal proceedings will have stricter reference to the specific term used in the relevant legislation</w:t>
      </w:r>
      <w:r w:rsidR="00CC2FE9">
        <w:t>.</w:t>
      </w:r>
      <w:r w:rsidR="00924CBA">
        <w:t xml:space="preserve"> </w:t>
      </w:r>
      <w:r w:rsidR="00721891">
        <w:t>F</w:t>
      </w:r>
      <w:r w:rsidR="00721891" w:rsidRPr="00721891">
        <w:t>or the purpose of the TAG</w:t>
      </w:r>
      <w:r w:rsidR="00721891">
        <w:t>,</w:t>
      </w:r>
      <w:r w:rsidR="00721891" w:rsidRPr="00721891">
        <w:t xml:space="preserve"> the term </w:t>
      </w:r>
      <w:r w:rsidR="00721891">
        <w:t>‘</w:t>
      </w:r>
      <w:r w:rsidR="00721891" w:rsidRPr="00721891">
        <w:t>ALARP</w:t>
      </w:r>
      <w:r w:rsidR="00721891">
        <w:t>’</w:t>
      </w:r>
      <w:r w:rsidR="00721891" w:rsidRPr="00721891">
        <w:t xml:space="preserve"> </w:t>
      </w:r>
      <w:r w:rsidR="00721891">
        <w:t>is</w:t>
      </w:r>
      <w:r w:rsidR="00721891" w:rsidRPr="00721891">
        <w:t xml:space="preserve"> adopted unless referencing specific legal duties included in legislation</w:t>
      </w:r>
      <w:r w:rsidR="00721891">
        <w:t>.</w:t>
      </w:r>
    </w:p>
    <w:p w14:paraId="5849FA0D" w14:textId="1DEE95EA" w:rsidR="00481241" w:rsidRPr="000A51C3" w:rsidRDefault="004123C7" w:rsidP="00481241">
      <w:pPr>
        <w:pStyle w:val="F9-Paragraph"/>
        <w:numPr>
          <w:ilvl w:val="0"/>
          <w:numId w:val="29"/>
        </w:numPr>
        <w:ind w:left="851" w:hanging="851"/>
        <w:sectPr w:rsidR="00481241" w:rsidRPr="000A51C3" w:rsidSect="007E1540">
          <w:pgSz w:w="11906" w:h="16838" w:code="9"/>
          <w:pgMar w:top="1440" w:right="1440" w:bottom="1440" w:left="1440" w:header="397" w:footer="397" w:gutter="0"/>
          <w:cols w:space="312"/>
          <w:docGrid w:linePitch="360"/>
        </w:sectPr>
      </w:pPr>
      <w:r w:rsidRPr="00526DC9">
        <w:t xml:space="preserve">Industrial activities </w:t>
      </w:r>
      <w:r w:rsidR="006B6D8E">
        <w:t xml:space="preserve">are often associated with </w:t>
      </w:r>
      <w:r w:rsidRPr="00526DC9">
        <w:t xml:space="preserve">risks and </w:t>
      </w:r>
      <w:r w:rsidR="000B5AB0">
        <w:t>dutyholder</w:t>
      </w:r>
      <w:r w:rsidR="001F5319">
        <w:t>s</w:t>
      </w:r>
      <w:r w:rsidR="000B5AB0">
        <w:t xml:space="preserve"> have legal obligations</w:t>
      </w:r>
      <w:r w:rsidRPr="00526DC9">
        <w:t xml:space="preserve"> to reduce these risks </w:t>
      </w:r>
      <w:r>
        <w:t xml:space="preserve">to </w:t>
      </w:r>
      <w:r w:rsidRPr="00526DC9">
        <w:t>ALARP</w:t>
      </w:r>
      <w:r>
        <w:t xml:space="preserve">. </w:t>
      </w:r>
      <w:r w:rsidR="00481241">
        <w:t>In the nuclear industry where activities often involve high hazard</w:t>
      </w:r>
      <w:r w:rsidR="00BA71B3">
        <w:t>s</w:t>
      </w:r>
      <w:r w:rsidR="002B6B67">
        <w:t xml:space="preserve">, </w:t>
      </w:r>
      <w:r w:rsidR="00481241">
        <w:t xml:space="preserve">complex </w:t>
      </w:r>
      <w:r w:rsidR="002B6B67">
        <w:t>and/</w:t>
      </w:r>
      <w:r w:rsidR="00CB690D">
        <w:t>or</w:t>
      </w:r>
      <w:r w:rsidR="00481241">
        <w:t xml:space="preserve"> novel situations, making the appropriate ALARP judgement and associated decisions in accordance with the risk profile of those activities can be challenging</w:t>
      </w:r>
      <w:r w:rsidR="003A59AF">
        <w:t xml:space="preserve">, but it is an essential part of ONR’s regulatory decision-making </w:t>
      </w:r>
      <w:r w:rsidR="003A59AF" w:rsidRPr="000C3D45">
        <w:t>process</w:t>
      </w:r>
      <w:r w:rsidR="0015020C" w:rsidRPr="000C3D45">
        <w:t xml:space="preserve"> (</w:t>
      </w:r>
      <w:r w:rsidR="00DF5930">
        <w:t>refer to</w:t>
      </w:r>
      <w:r w:rsidR="002E7966" w:rsidRPr="000C3D45">
        <w:t xml:space="preserve"> Section 5.</w:t>
      </w:r>
      <w:r w:rsidR="00C42182" w:rsidRPr="000C3D45">
        <w:t>3</w:t>
      </w:r>
      <w:r w:rsidR="0015020C" w:rsidRPr="000C3D45">
        <w:t>)</w:t>
      </w:r>
      <w:r w:rsidR="003A59AF" w:rsidRPr="000C3D45">
        <w:t>.</w:t>
      </w:r>
      <w:r w:rsidR="00481241" w:rsidRPr="000C3D45">
        <w:t xml:space="preserve"> This</w:t>
      </w:r>
      <w:r w:rsidR="00481241" w:rsidRPr="000B14FA">
        <w:t xml:space="preserve"> </w:t>
      </w:r>
      <w:r w:rsidR="00481241">
        <w:t>guidance, alongside other ONR guidance as referenced and associated training, has been produced to support ONR staff in making such judgements.</w:t>
      </w:r>
    </w:p>
    <w:p w14:paraId="05AAE39A" w14:textId="6D4A609A" w:rsidR="008D49A5" w:rsidRDefault="000950B3" w:rsidP="000F2811">
      <w:pPr>
        <w:pStyle w:val="Heading1"/>
        <w:numPr>
          <w:ilvl w:val="0"/>
          <w:numId w:val="25"/>
        </w:numPr>
        <w:ind w:left="851" w:hanging="851"/>
      </w:pPr>
      <w:bookmarkStart w:id="3" w:name="_Toc146287630"/>
      <w:r>
        <w:lastRenderedPageBreak/>
        <w:t>Purpose and Scope</w:t>
      </w:r>
      <w:bookmarkEnd w:id="3"/>
    </w:p>
    <w:p w14:paraId="46AD3C85" w14:textId="7FC5AD16" w:rsidR="007D2F3D" w:rsidRDefault="003945FD" w:rsidP="007D2F3D">
      <w:pPr>
        <w:pStyle w:val="F9-Paragraph"/>
        <w:numPr>
          <w:ilvl w:val="0"/>
          <w:numId w:val="29"/>
        </w:numPr>
        <w:ind w:left="851" w:hanging="851"/>
      </w:pPr>
      <w:r>
        <w:t>Although the duty to control and reduce risks to ALARP lies with the dutyholders</w:t>
      </w:r>
      <w:r w:rsidR="00C230F3">
        <w:t>,</w:t>
      </w:r>
      <w:r>
        <w:t xml:space="preserve"> and</w:t>
      </w:r>
      <w:r w:rsidR="00576FF2">
        <w:t xml:space="preserve"> ultimately,</w:t>
      </w:r>
      <w:r>
        <w:t xml:space="preserve"> the courts decide whether dutyholders have complied with the law</w:t>
      </w:r>
      <w:r w:rsidR="00431864">
        <w:t>;</w:t>
      </w:r>
      <w:r>
        <w:t xml:space="preserve"> ONR as a regulator is responsible for making adequate arrangements for enforcement of the law</w:t>
      </w:r>
      <w:r w:rsidR="008B5BD9">
        <w:t xml:space="preserve"> where relevant and applicable</w:t>
      </w:r>
      <w:r>
        <w:t xml:space="preserve">. In </w:t>
      </w:r>
      <w:r w:rsidR="00AE1CB6">
        <w:t>fulfilling</w:t>
      </w:r>
      <w:r>
        <w:t xml:space="preserve"> its duty, ONR has produced this TAG </w:t>
      </w:r>
      <w:r w:rsidRPr="000803BF">
        <w:t xml:space="preserve">to provide </w:t>
      </w:r>
      <w:r>
        <w:t xml:space="preserve">guidance and </w:t>
      </w:r>
      <w:r w:rsidRPr="000803BF">
        <w:t xml:space="preserve">advice to </w:t>
      </w:r>
      <w:r>
        <w:t>its regulatory staff</w:t>
      </w:r>
      <w:r w:rsidRPr="000803BF">
        <w:t xml:space="preserve"> </w:t>
      </w:r>
      <w:r>
        <w:t>who have to judge whether the measures put in place or proposed by dutyholders to control and reduce risks to ALARP are adequate. It also applies to those ONR staff who are making policies and decisions that set out ONR’s regulatory expectations and regulatory outcomes, as well as those providing regulatory advice to colleagues within ONR and dutyholders</w:t>
      </w:r>
      <w:r w:rsidRPr="000803BF">
        <w:t>. As such, th</w:t>
      </w:r>
      <w:r>
        <w:t>is</w:t>
      </w:r>
      <w:r w:rsidRPr="000803BF">
        <w:t xml:space="preserve"> TAG is intended to be used </w:t>
      </w:r>
      <w:r>
        <w:t>by</w:t>
      </w:r>
      <w:r w:rsidRPr="000803BF">
        <w:t xml:space="preserve"> all </w:t>
      </w:r>
      <w:r>
        <w:t xml:space="preserve">relevant functions within ONR. </w:t>
      </w:r>
    </w:p>
    <w:p w14:paraId="7EF7A144" w14:textId="0366C8EA" w:rsidR="007D2F3D" w:rsidRPr="000803BF" w:rsidRDefault="003945FD" w:rsidP="007D2F3D">
      <w:pPr>
        <w:pStyle w:val="F9-Paragraph"/>
        <w:numPr>
          <w:ilvl w:val="0"/>
          <w:numId w:val="29"/>
        </w:numPr>
        <w:ind w:left="851" w:hanging="851"/>
      </w:pPr>
      <w:r w:rsidRPr="005E3060">
        <w:t xml:space="preserve">It is important to recognise that not all legal duties </w:t>
      </w:r>
      <w:r>
        <w:t>are qualified by the requirement to reduce risks to ALARP. There are duties set out in specific parts of law that are ‘absolute’, this means that the duty must be met, and it is not permissible to argue that it is impracticable, costly, or difficult to do. There are also specific legal duties required by law that</w:t>
      </w:r>
      <w:r w:rsidRPr="00AB7A74">
        <w:t xml:space="preserve"> must be carried out </w:t>
      </w:r>
      <w:r>
        <w:t>‘</w:t>
      </w:r>
      <w:r w:rsidRPr="00AB7A74">
        <w:t>so far as is practicable</w:t>
      </w:r>
      <w:r>
        <w:t>’</w:t>
      </w:r>
      <w:r w:rsidRPr="00AB7A74">
        <w:t xml:space="preserve">, </w:t>
      </w:r>
      <w:r>
        <w:t>which means</w:t>
      </w:r>
      <w:r w:rsidRPr="00AB7A74">
        <w:t xml:space="preserve"> it must be undertaken, if it is possible</w:t>
      </w:r>
      <w:r>
        <w:t xml:space="preserve">, regardless of </w:t>
      </w:r>
      <w:r w:rsidRPr="00870810">
        <w:t>money, time or trouble</w:t>
      </w:r>
      <w:r>
        <w:t>; t</w:t>
      </w:r>
      <w:r w:rsidRPr="00AB7A74">
        <w:t>he standard of practicability means it is within current knowledge and invention.</w:t>
      </w:r>
      <w:r>
        <w:t xml:space="preserve"> These duties often exist in the same legislation and should be distinguished carefully. Judgement</w:t>
      </w:r>
      <w:r w:rsidR="004701CB">
        <w:t>s</w:t>
      </w:r>
      <w:r>
        <w:t xml:space="preserve"> and decisions made against the non-ALARP duties are outside of the scope of this TAG.</w:t>
      </w:r>
    </w:p>
    <w:p w14:paraId="60D0F788" w14:textId="4F07E76F" w:rsidR="00A43C85" w:rsidRDefault="007D2F3D" w:rsidP="00A43C85">
      <w:pPr>
        <w:pStyle w:val="F9-Paragraph"/>
        <w:numPr>
          <w:ilvl w:val="0"/>
          <w:numId w:val="29"/>
        </w:numPr>
        <w:ind w:left="851" w:hanging="851"/>
      </w:pPr>
      <w:r>
        <w:t>This TAG is underpinned by several key ONR publications such as the</w:t>
      </w:r>
      <w:r w:rsidRPr="000803BF">
        <w:t xml:space="preserve"> </w:t>
      </w:r>
      <w:r w:rsidRPr="001B5E5E">
        <w:t xml:space="preserve">Risk Informed Regulatory Decision </w:t>
      </w:r>
      <w:r w:rsidRPr="0047508A">
        <w:t xml:space="preserve">Making (ref. </w:t>
      </w:r>
      <w:sdt>
        <w:sdtPr>
          <w:id w:val="-1944145205"/>
          <w:citation/>
        </w:sdtPr>
        <w:sdtContent>
          <w:r w:rsidRPr="0047508A">
            <w:fldChar w:fldCharType="begin"/>
          </w:r>
          <w:r w:rsidR="00C67755">
            <w:instrText xml:space="preserve">CITATION ONR17 \l 2057 </w:instrText>
          </w:r>
          <w:r w:rsidRPr="0047508A">
            <w:fldChar w:fldCharType="separate"/>
          </w:r>
          <w:r w:rsidR="00C67755">
            <w:rPr>
              <w:noProof/>
            </w:rPr>
            <w:t>[2]</w:t>
          </w:r>
          <w:r w:rsidRPr="0047508A">
            <w:fldChar w:fldCharType="end"/>
          </w:r>
        </w:sdtContent>
      </w:sdt>
      <w:r w:rsidRPr="0047508A">
        <w:t>), which explains</w:t>
      </w:r>
      <w:r w:rsidRPr="000803BF">
        <w:t xml:space="preserve"> the role of ALARP within the overall framework by which ONR makes regulatory decisions</w:t>
      </w:r>
      <w:r>
        <w:t xml:space="preserve">; and Licensing </w:t>
      </w:r>
      <w:r w:rsidRPr="0047508A">
        <w:t xml:space="preserve">Nuclear Installations (ref. </w:t>
      </w:r>
      <w:sdt>
        <w:sdtPr>
          <w:id w:val="-286358942"/>
          <w:citation/>
        </w:sdtPr>
        <w:sdtContent>
          <w:r>
            <w:fldChar w:fldCharType="begin"/>
          </w:r>
          <w:r>
            <w:instrText xml:space="preserve"> CITATION ONR21 \l 2057 </w:instrText>
          </w:r>
          <w:r>
            <w:fldChar w:fldCharType="separate"/>
          </w:r>
          <w:r w:rsidR="00576AF6">
            <w:rPr>
              <w:noProof/>
            </w:rPr>
            <w:t>[4]</w:t>
          </w:r>
          <w:r>
            <w:fldChar w:fldCharType="end"/>
          </w:r>
        </w:sdtContent>
      </w:sdt>
      <w:r w:rsidRPr="0047508A">
        <w:t>), which provides an overview of the nuclear regulatory regime and the processes for licensing and delicensing nuclear site</w:t>
      </w:r>
      <w:r>
        <w:t>s</w:t>
      </w:r>
      <w:r w:rsidR="0084639D" w:rsidRPr="0084639D">
        <w:t xml:space="preserve">. </w:t>
      </w:r>
    </w:p>
    <w:p w14:paraId="14DDDD70" w14:textId="2011C1B3" w:rsidR="00A43C85" w:rsidRDefault="00A43C85" w:rsidP="00A43C85">
      <w:pPr>
        <w:pStyle w:val="F9-Paragraph"/>
        <w:numPr>
          <w:ilvl w:val="0"/>
          <w:numId w:val="29"/>
        </w:numPr>
        <w:ind w:left="851" w:hanging="851"/>
      </w:pPr>
      <w:r>
        <w:t>It is important to note that this TAG is compl</w:t>
      </w:r>
      <w:r w:rsidR="006950AF">
        <w:t>e</w:t>
      </w:r>
      <w:r>
        <w:t xml:space="preserve">mentary to the existing ALARP suite of guidance produced by the Health and Safety </w:t>
      </w:r>
      <w:r w:rsidRPr="00B16302">
        <w:t xml:space="preserve">Executive (HSE) </w:t>
      </w:r>
      <w:r w:rsidR="00461C73">
        <w:br/>
      </w:r>
      <w:r w:rsidRPr="00B16302">
        <w:t xml:space="preserve">(ref. </w:t>
      </w:r>
      <w:sdt>
        <w:sdtPr>
          <w:id w:val="1495909800"/>
          <w:citation/>
        </w:sdtPr>
        <w:sdtContent>
          <w:r w:rsidRPr="00B16302">
            <w:fldChar w:fldCharType="begin"/>
          </w:r>
          <w:r w:rsidRPr="00B16302">
            <w:instrText xml:space="preserve"> CITATION Hea \l 2057 </w:instrText>
          </w:r>
          <w:r w:rsidRPr="00B16302">
            <w:fldChar w:fldCharType="separate"/>
          </w:r>
          <w:r w:rsidR="00576AF6">
            <w:rPr>
              <w:noProof/>
            </w:rPr>
            <w:t>[5]</w:t>
          </w:r>
          <w:r w:rsidRPr="00B16302">
            <w:fldChar w:fldCharType="end"/>
          </w:r>
        </w:sdtContent>
      </w:sdt>
      <w:r w:rsidRPr="00B16302">
        <w:t xml:space="preserve">) and </w:t>
      </w:r>
      <w:r w:rsidR="000614C3">
        <w:t xml:space="preserve">is </w:t>
      </w:r>
      <w:r w:rsidRPr="00B16302">
        <w:t>not</w:t>
      </w:r>
      <w:r>
        <w:t xml:space="preserve"> intended as a replacement.</w:t>
      </w:r>
    </w:p>
    <w:p w14:paraId="3A0A8599" w14:textId="1E84DD5E" w:rsidR="000A51C3" w:rsidRDefault="000A51C3" w:rsidP="007D2F3D">
      <w:pPr>
        <w:pStyle w:val="F9-Paragraph"/>
        <w:numPr>
          <w:ilvl w:val="0"/>
          <w:numId w:val="29"/>
        </w:numPr>
        <w:ind w:left="851" w:hanging="851"/>
        <w:sectPr w:rsidR="000A51C3" w:rsidSect="007E1540">
          <w:pgSz w:w="11906" w:h="16838" w:code="9"/>
          <w:pgMar w:top="1440" w:right="1440" w:bottom="1440" w:left="1440" w:header="397" w:footer="397" w:gutter="0"/>
          <w:cols w:space="312"/>
          <w:docGrid w:linePitch="360"/>
        </w:sectPr>
      </w:pPr>
    </w:p>
    <w:p w14:paraId="6E712D03" w14:textId="3C3DAE84" w:rsidR="009E0E52" w:rsidRDefault="000950B3" w:rsidP="000F2811">
      <w:pPr>
        <w:pStyle w:val="Heading1"/>
        <w:numPr>
          <w:ilvl w:val="0"/>
          <w:numId w:val="25"/>
        </w:numPr>
        <w:ind w:left="851" w:hanging="851"/>
      </w:pPr>
      <w:bookmarkStart w:id="4" w:name="_Toc146287631"/>
      <w:r>
        <w:lastRenderedPageBreak/>
        <w:t>Relationship to Licence and other Relevant Legislation</w:t>
      </w:r>
      <w:bookmarkEnd w:id="4"/>
      <w:r>
        <w:t xml:space="preserve"> </w:t>
      </w:r>
    </w:p>
    <w:p w14:paraId="76D302F9" w14:textId="7DC7FC73" w:rsidR="003A3035" w:rsidRDefault="003A3035" w:rsidP="003A3035">
      <w:pPr>
        <w:pStyle w:val="F9-Paragraph"/>
        <w:numPr>
          <w:ilvl w:val="0"/>
          <w:numId w:val="29"/>
        </w:numPr>
        <w:ind w:left="851" w:hanging="851"/>
      </w:pPr>
      <w:r>
        <w:t xml:space="preserve">Key pieces of law for </w:t>
      </w:r>
      <w:r w:rsidR="003E1584">
        <w:t>ONR’s</w:t>
      </w:r>
      <w:r>
        <w:t xml:space="preserve"> regulation of safety in GB are the Nuclear Installations Act 1965 (NIA 1965), HSWA and the fire safety </w:t>
      </w:r>
      <w:r w:rsidR="003E1584">
        <w:t>legislation</w:t>
      </w:r>
      <w:r>
        <w:t xml:space="preserve"> (</w:t>
      </w:r>
      <w:r w:rsidRPr="00686BC9">
        <w:t>Regulatory Reform (Fire Safety) Order 2005</w:t>
      </w:r>
      <w:r>
        <w:t xml:space="preserve"> (</w:t>
      </w:r>
      <w:r w:rsidR="00EF5395">
        <w:t xml:space="preserve">commonly </w:t>
      </w:r>
      <w:r w:rsidR="00671A14">
        <w:t xml:space="preserve">known as RR(FS)O or </w:t>
      </w:r>
      <w:r w:rsidR="006248C1">
        <w:t>FSO</w:t>
      </w:r>
      <w:r>
        <w:t>) as amended by the Fire Safety Bill 2021 in England and Wales</w:t>
      </w:r>
      <w:r w:rsidR="00AA4739">
        <w:t>,</w:t>
      </w:r>
      <w:r>
        <w:t xml:space="preserve"> and the Fire (Scotland) Act 2005 (F</w:t>
      </w:r>
      <w:r w:rsidR="00A23C0F">
        <w:t>(</w:t>
      </w:r>
      <w:r>
        <w:t>S</w:t>
      </w:r>
      <w:r w:rsidR="00A23C0F">
        <w:t>)</w:t>
      </w:r>
      <w:r>
        <w:t xml:space="preserve">A) in Scotland). For the nuclear installations that are within the scope of NIA 1965, ONR is the enforcing authority for HSWA, </w:t>
      </w:r>
      <w:r w:rsidR="006248C1">
        <w:t>FSO</w:t>
      </w:r>
      <w:r>
        <w:t>/F</w:t>
      </w:r>
      <w:r w:rsidR="00A23C0F">
        <w:t>(</w:t>
      </w:r>
      <w:r>
        <w:t>S</w:t>
      </w:r>
      <w:r w:rsidR="00A23C0F">
        <w:t>)</w:t>
      </w:r>
      <w:r>
        <w:t>A, and NIA 1965, the latter through provisions of the Energy Act 2013 (TEA).</w:t>
      </w:r>
    </w:p>
    <w:p w14:paraId="182612AE" w14:textId="445F5CAB" w:rsidR="003A3035" w:rsidRDefault="003A3035" w:rsidP="003A3035">
      <w:pPr>
        <w:pStyle w:val="F9-Paragraph"/>
        <w:numPr>
          <w:ilvl w:val="0"/>
          <w:numId w:val="29"/>
        </w:numPr>
        <w:ind w:left="851" w:hanging="851"/>
      </w:pPr>
      <w:r>
        <w:t>HSWA places duties on all employers to ensure</w:t>
      </w:r>
      <w:r w:rsidR="002D67F7">
        <w:t xml:space="preserve">, SFAIRP, the </w:t>
      </w:r>
      <w:r>
        <w:t>health</w:t>
      </w:r>
      <w:r w:rsidR="001C06EA">
        <w:t xml:space="preserve">, </w:t>
      </w:r>
      <w:r>
        <w:t xml:space="preserve">safety </w:t>
      </w:r>
      <w:r w:rsidR="001C06EA">
        <w:t xml:space="preserve">and welfare </w:t>
      </w:r>
      <w:r w:rsidR="002D67F7">
        <w:t xml:space="preserve">of persons </w:t>
      </w:r>
      <w:r>
        <w:t>by control</w:t>
      </w:r>
      <w:r w:rsidR="00132E64">
        <w:t>ling</w:t>
      </w:r>
      <w:r>
        <w:t xml:space="preserve"> and reduc</w:t>
      </w:r>
      <w:r w:rsidR="00132E64">
        <w:t>ing</w:t>
      </w:r>
      <w:r>
        <w:t xml:space="preserve"> risks in all workplaces, including nuclear installations. </w:t>
      </w:r>
      <w:r w:rsidR="00EF5395">
        <w:t>FSO</w:t>
      </w:r>
      <w:r>
        <w:t>/F</w:t>
      </w:r>
      <w:r w:rsidR="00274B84">
        <w:t>(</w:t>
      </w:r>
      <w:r>
        <w:t>S</w:t>
      </w:r>
      <w:r w:rsidR="00274B84">
        <w:t>)</w:t>
      </w:r>
      <w:r>
        <w:t>A place</w:t>
      </w:r>
      <w:r w:rsidR="00BF0E8A">
        <w:t>s</w:t>
      </w:r>
      <w:r>
        <w:t xml:space="preserve"> duties on the responsible person </w:t>
      </w:r>
      <w:r w:rsidR="002D67F7">
        <w:t>of a premises</w:t>
      </w:r>
      <w:r w:rsidR="00956071">
        <w:t>, including nuclear installations,</w:t>
      </w:r>
      <w:r w:rsidR="002D67F7">
        <w:t xml:space="preserve"> </w:t>
      </w:r>
      <w:r>
        <w:t>to take general fire precautions ensure</w:t>
      </w:r>
      <w:r w:rsidR="002D67F7">
        <w:t>,</w:t>
      </w:r>
      <w:r>
        <w:t xml:space="preserve"> </w:t>
      </w:r>
      <w:r w:rsidR="002D67F7">
        <w:t xml:space="preserve">SFAIRP, the </w:t>
      </w:r>
      <w:r>
        <w:t xml:space="preserve">safety </w:t>
      </w:r>
      <w:r w:rsidR="002D67F7">
        <w:t xml:space="preserve">of employees and relevant persons </w:t>
      </w:r>
      <w:r>
        <w:t xml:space="preserve">and reduce risks from dangerous substances. </w:t>
      </w:r>
      <w:r w:rsidR="0008246D">
        <w:t xml:space="preserve">NIA 1965 requires certain installations to have a nuclear site licence with a set of Licence Conditions (LCs) </w:t>
      </w:r>
      <w:r w:rsidR="00AA69ED">
        <w:t>attached</w:t>
      </w:r>
      <w:r w:rsidR="0008246D">
        <w:t xml:space="preserve"> by the regulator in the interests of safety and with respect to the handling, treatment, and disposal of nuclear matter</w:t>
      </w:r>
      <w:r w:rsidR="00D86597">
        <w:t xml:space="preserve">. </w:t>
      </w:r>
      <w:r w:rsidR="0008246D">
        <w:t>Fundamental to demonstrating that nuclear safety risks are reduced to ALARP for a nuclear installation, is the requirement on licensees to produce an ‘adequate safety case’ (LC 23).</w:t>
      </w:r>
      <w:r w:rsidR="00C23985">
        <w:t xml:space="preserve"> Failure to comply with the duties outline</w:t>
      </w:r>
      <w:r w:rsidR="000F31A8">
        <w:t>d</w:t>
      </w:r>
      <w:r w:rsidR="00C23985">
        <w:t xml:space="preserve"> in </w:t>
      </w:r>
      <w:r w:rsidR="001B69FF">
        <w:t xml:space="preserve">the </w:t>
      </w:r>
      <w:r w:rsidR="00C23985">
        <w:t xml:space="preserve">law or contravening the LCs </w:t>
      </w:r>
      <w:r w:rsidR="007A3C1F">
        <w:t>attached</w:t>
      </w:r>
      <w:r w:rsidR="00C23985">
        <w:t xml:space="preserve"> by the regulator is a criminal offence.</w:t>
      </w:r>
    </w:p>
    <w:p w14:paraId="07A75962" w14:textId="3E12AA37" w:rsidR="003A3035" w:rsidRDefault="003A3035" w:rsidP="003A3035">
      <w:pPr>
        <w:pStyle w:val="F9-Paragraph"/>
        <w:numPr>
          <w:ilvl w:val="0"/>
          <w:numId w:val="29"/>
        </w:numPr>
        <w:ind w:left="851" w:hanging="851"/>
      </w:pPr>
      <w:r w:rsidRPr="003264C3">
        <w:t xml:space="preserve">It is important to note that legal systems outside of the UK </w:t>
      </w:r>
      <w:r w:rsidR="00053004">
        <w:t xml:space="preserve">may </w:t>
      </w:r>
      <w:r w:rsidRPr="003264C3">
        <w:t xml:space="preserve">differ in their </w:t>
      </w:r>
      <w:r w:rsidR="006848AF" w:rsidRPr="003264C3">
        <w:t>approach</w:t>
      </w:r>
      <w:r w:rsidR="006848AF">
        <w:t xml:space="preserve">, </w:t>
      </w:r>
      <w:r w:rsidR="006848AF" w:rsidRPr="003264C3">
        <w:t>as</w:t>
      </w:r>
      <w:r w:rsidRPr="003264C3">
        <w:t xml:space="preserve"> non-UK legislation tends to set out absolute levels of safety to be met through </w:t>
      </w:r>
      <w:r w:rsidR="009C52D0">
        <w:t xml:space="preserve">prescriptive requirements on </w:t>
      </w:r>
      <w:r w:rsidR="00B5369F">
        <w:t>dutyholder</w:t>
      </w:r>
      <w:r w:rsidR="009C52D0">
        <w:t xml:space="preserve">s to </w:t>
      </w:r>
      <w:r w:rsidR="009C52D0" w:rsidRPr="003264C3">
        <w:t>adhere</w:t>
      </w:r>
      <w:r w:rsidRPr="003264C3">
        <w:t xml:space="preserve"> to </w:t>
      </w:r>
      <w:r w:rsidR="009C52D0">
        <w:t xml:space="preserve">specific </w:t>
      </w:r>
      <w:r w:rsidRPr="003264C3">
        <w:t xml:space="preserve">standards and ‘good engineering practice’, rather than applying the ALARP </w:t>
      </w:r>
      <w:r w:rsidR="00034D0E">
        <w:t>concepts</w:t>
      </w:r>
      <w:r w:rsidRPr="003264C3">
        <w:t xml:space="preserve">. This difference </w:t>
      </w:r>
      <w:r w:rsidR="00053004">
        <w:t xml:space="preserve">sometimes </w:t>
      </w:r>
      <w:r w:rsidRPr="003264C3">
        <w:t>presents</w:t>
      </w:r>
      <w:r>
        <w:t xml:space="preserve"> challenges to </w:t>
      </w:r>
      <w:r w:rsidR="00B5369F">
        <w:t>dutyholder</w:t>
      </w:r>
      <w:r>
        <w:t>s and regulators</w:t>
      </w:r>
      <w:r w:rsidR="00AC1214">
        <w:t>,</w:t>
      </w:r>
      <w:r>
        <w:t xml:space="preserve"> particularly </w:t>
      </w:r>
      <w:r w:rsidR="004E0DE4">
        <w:t xml:space="preserve">when deploying technology established under an alternative regulatory system outside of UK, </w:t>
      </w:r>
      <w:r w:rsidR="00461C73">
        <w:t>for example,</w:t>
      </w:r>
      <w:r w:rsidR="004E0DE4">
        <w:t xml:space="preserve"> the GDA process</w:t>
      </w:r>
      <w:r>
        <w:t xml:space="preserve">. </w:t>
      </w:r>
    </w:p>
    <w:p w14:paraId="3A1CB29C" w14:textId="656F554A" w:rsidR="003A3035" w:rsidRPr="003A563B" w:rsidRDefault="003A3035" w:rsidP="003A3035">
      <w:pPr>
        <w:pStyle w:val="F9-Paragraph"/>
        <w:numPr>
          <w:ilvl w:val="0"/>
          <w:numId w:val="29"/>
        </w:numPr>
        <w:ind w:left="851" w:hanging="851"/>
      </w:pPr>
      <w:r>
        <w:t xml:space="preserve">Internationally, the term ‘as low as reasonably achievable’ (ALARA) is used almost exclusively in relation to optimization of </w:t>
      </w:r>
      <w:r w:rsidR="00762EAB">
        <w:t xml:space="preserve">reducing </w:t>
      </w:r>
      <w:r>
        <w:t xml:space="preserve">ionising radiation exposure. </w:t>
      </w:r>
      <w:r w:rsidR="003A563B">
        <w:t xml:space="preserve">ONR considers this to have </w:t>
      </w:r>
      <w:r w:rsidR="003A563B" w:rsidRPr="003A563B">
        <w:t>equivalent meaning to ALARP in the context of ionising radiation exposure</w:t>
      </w:r>
      <w:r w:rsidRPr="003A563B">
        <w:t xml:space="preserve">. </w:t>
      </w:r>
    </w:p>
    <w:p w14:paraId="742A9437" w14:textId="6B7AAF34" w:rsidR="000950B3" w:rsidRPr="008D7110" w:rsidRDefault="003A3035" w:rsidP="003A3035">
      <w:pPr>
        <w:pStyle w:val="F9-Paragraph"/>
      </w:pPr>
      <w:r>
        <w:t>This TAG assist</w:t>
      </w:r>
      <w:r w:rsidR="004A766E">
        <w:t>s</w:t>
      </w:r>
      <w:r>
        <w:t xml:space="preserve"> ONR in demonstrating that the International Atomic Energy Agency (IAEA) </w:t>
      </w:r>
      <w:r w:rsidR="00A235C2">
        <w:t xml:space="preserve">Safety Standards </w:t>
      </w:r>
      <w:r>
        <w:t xml:space="preserve">and Western European Nuclear Regulators’ Association (WENRA) Safety Objectives and Safety Reference Levels (SRLs) </w:t>
      </w:r>
      <w:r w:rsidR="004A766E">
        <w:t>are</w:t>
      </w:r>
      <w:r w:rsidR="00F23050">
        <w:t xml:space="preserve"> part of</w:t>
      </w:r>
      <w:r>
        <w:t xml:space="preserve"> the UK’s regulatory oversight of nuclear safety </w:t>
      </w:r>
      <w:r w:rsidR="00D74605">
        <w:t>(refer to</w:t>
      </w:r>
      <w:r>
        <w:t xml:space="preserve"> next section)</w:t>
      </w:r>
      <w:r w:rsidR="00046936">
        <w:t>.</w:t>
      </w:r>
    </w:p>
    <w:p w14:paraId="61743AA0" w14:textId="77777777" w:rsidR="000950B3" w:rsidRDefault="000950B3" w:rsidP="00E90780">
      <w:pPr>
        <w:pStyle w:val="Heading3"/>
        <w:sectPr w:rsidR="000950B3" w:rsidSect="007E1540">
          <w:pgSz w:w="11906" w:h="16838" w:code="9"/>
          <w:pgMar w:top="1440" w:right="1440" w:bottom="1440" w:left="1440" w:header="397" w:footer="397" w:gutter="0"/>
          <w:cols w:space="312"/>
          <w:docGrid w:linePitch="360"/>
        </w:sectPr>
      </w:pPr>
    </w:p>
    <w:p w14:paraId="219A98D5" w14:textId="2B54B0D3" w:rsidR="00140E1C" w:rsidRDefault="000950B3" w:rsidP="000F2811">
      <w:pPr>
        <w:pStyle w:val="Heading1"/>
        <w:numPr>
          <w:ilvl w:val="0"/>
          <w:numId w:val="25"/>
        </w:numPr>
        <w:ind w:left="851" w:hanging="851"/>
      </w:pPr>
      <w:bookmarkStart w:id="5" w:name="_Toc14628763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70A274D3" w14:textId="7B27EC3E" w:rsidR="00673EB6" w:rsidRPr="00257852" w:rsidRDefault="00673EB6" w:rsidP="00673EB6">
      <w:pPr>
        <w:pStyle w:val="F9-Paragraph"/>
        <w:numPr>
          <w:ilvl w:val="0"/>
          <w:numId w:val="29"/>
        </w:numPr>
        <w:ind w:left="851" w:hanging="851"/>
      </w:pPr>
      <w:r>
        <w:t>IAEA</w:t>
      </w:r>
      <w:r w:rsidRPr="00ED2737">
        <w:t xml:space="preserve"> Safety </w:t>
      </w:r>
      <w:r w:rsidRPr="00257852">
        <w:t xml:space="preserve">Standards (ref. </w:t>
      </w:r>
      <w:sdt>
        <w:sdtPr>
          <w:id w:val="-84453811"/>
          <w:citation/>
        </w:sdtPr>
        <w:sdtContent>
          <w:r w:rsidRPr="00257852">
            <w:fldChar w:fldCharType="begin"/>
          </w:r>
          <w:r w:rsidRPr="00257852">
            <w:instrText xml:space="preserve"> CITATION IAE \l 2057 </w:instrText>
          </w:r>
          <w:r w:rsidRPr="00257852">
            <w:fldChar w:fldCharType="separate"/>
          </w:r>
          <w:r w:rsidR="00576AF6">
            <w:rPr>
              <w:noProof/>
            </w:rPr>
            <w:t>[6]</w:t>
          </w:r>
          <w:r w:rsidRPr="00257852">
            <w:fldChar w:fldCharType="end"/>
          </w:r>
        </w:sdtContent>
      </w:sdt>
      <w:r w:rsidRPr="00257852">
        <w:t xml:space="preserve">) are developed by international consensus. They provide fundamental principles, requirements and recommendations to ensure nuclear safety. They serve as a global reference for protecting people and the environment and contribute to a harmonized high level of safety worldwide. </w:t>
      </w:r>
    </w:p>
    <w:p w14:paraId="2368AABB" w14:textId="476B0EE8" w:rsidR="00673EB6" w:rsidRPr="00257852" w:rsidRDefault="00673EB6" w:rsidP="00673EB6">
      <w:pPr>
        <w:pStyle w:val="F9-Paragraph"/>
        <w:numPr>
          <w:ilvl w:val="0"/>
          <w:numId w:val="29"/>
        </w:numPr>
        <w:ind w:left="851" w:hanging="851"/>
      </w:pPr>
      <w:r w:rsidRPr="00257852">
        <w:t xml:space="preserve">The WENRA SRLs represent a consensus view from its member states of the main requirements to be applied to ensure nuclear safety of existing reactors (ref. </w:t>
      </w:r>
      <w:sdt>
        <w:sdtPr>
          <w:id w:val="603464404"/>
          <w:citation/>
        </w:sdtPr>
        <w:sdtContent>
          <w:r w:rsidRPr="00257852">
            <w:fldChar w:fldCharType="begin"/>
          </w:r>
          <w:r w:rsidRPr="00257852">
            <w:instrText xml:space="preserve"> CITATION WEN20 \l 2057 </w:instrText>
          </w:r>
          <w:r w:rsidRPr="00257852">
            <w:fldChar w:fldCharType="separate"/>
          </w:r>
          <w:r w:rsidR="00576AF6">
            <w:rPr>
              <w:noProof/>
            </w:rPr>
            <w:t>[7]</w:t>
          </w:r>
          <w:r w:rsidRPr="00257852">
            <w:fldChar w:fldCharType="end"/>
          </w:r>
        </w:sdtContent>
      </w:sdt>
      <w:r w:rsidRPr="00257852">
        <w:t xml:space="preserve">), waste and spent fuel storage (ref. </w:t>
      </w:r>
      <w:sdt>
        <w:sdtPr>
          <w:id w:val="-541990270"/>
          <w:citation/>
        </w:sdtPr>
        <w:sdtContent>
          <w:r w:rsidRPr="00257852">
            <w:fldChar w:fldCharType="begin"/>
          </w:r>
          <w:r w:rsidRPr="00257852">
            <w:instrText xml:space="preserve"> CITATION WEN14 \l 2057 </w:instrText>
          </w:r>
          <w:r w:rsidRPr="00257852">
            <w:fldChar w:fldCharType="separate"/>
          </w:r>
          <w:r w:rsidR="00576AF6">
            <w:rPr>
              <w:noProof/>
            </w:rPr>
            <w:t>[8]</w:t>
          </w:r>
          <w:r w:rsidRPr="00257852">
            <w:fldChar w:fldCharType="end"/>
          </w:r>
        </w:sdtContent>
      </w:sdt>
      <w:r w:rsidRPr="00257852">
        <w:t xml:space="preserve">), radioactive waste disposal facilities (ref. </w:t>
      </w:r>
      <w:sdt>
        <w:sdtPr>
          <w:id w:val="1849674399"/>
          <w:citation/>
        </w:sdtPr>
        <w:sdtContent>
          <w:r w:rsidRPr="00257852">
            <w:fldChar w:fldCharType="begin"/>
          </w:r>
          <w:r w:rsidRPr="00257852">
            <w:instrText xml:space="preserve"> CITATION WEN15 \l 2057 </w:instrText>
          </w:r>
          <w:r w:rsidRPr="00257852">
            <w:fldChar w:fldCharType="separate"/>
          </w:r>
          <w:r w:rsidR="00576AF6">
            <w:rPr>
              <w:noProof/>
            </w:rPr>
            <w:t>[9]</w:t>
          </w:r>
          <w:r w:rsidRPr="00257852">
            <w:fldChar w:fldCharType="end"/>
          </w:r>
        </w:sdtContent>
      </w:sdt>
      <w:r w:rsidRPr="00257852">
        <w:t xml:space="preserve">), decommissioning (ref. </w:t>
      </w:r>
      <w:sdt>
        <w:sdtPr>
          <w:id w:val="607479567"/>
          <w:citation/>
        </w:sdtPr>
        <w:sdtContent>
          <w:r w:rsidRPr="00257852">
            <w:fldChar w:fldCharType="begin"/>
          </w:r>
          <w:r w:rsidRPr="00257852">
            <w:instrText xml:space="preserve"> CITATION WEN151 \l 2057 </w:instrText>
          </w:r>
          <w:r w:rsidRPr="00257852">
            <w:fldChar w:fldCharType="separate"/>
          </w:r>
          <w:r w:rsidR="00576AF6">
            <w:rPr>
              <w:noProof/>
            </w:rPr>
            <w:t>[10]</w:t>
          </w:r>
          <w:r w:rsidRPr="00257852">
            <w:fldChar w:fldCharType="end"/>
          </w:r>
        </w:sdtContent>
      </w:sdt>
      <w:r w:rsidRPr="00257852">
        <w:t xml:space="preserve">), radioactive waste treatment and conditioning (ref. </w:t>
      </w:r>
      <w:sdt>
        <w:sdtPr>
          <w:id w:val="695115795"/>
          <w:citation/>
        </w:sdtPr>
        <w:sdtContent>
          <w:r w:rsidRPr="00257852">
            <w:fldChar w:fldCharType="begin"/>
          </w:r>
          <w:r w:rsidRPr="00257852">
            <w:instrText xml:space="preserve"> CITATION WEN201 \l 2057 </w:instrText>
          </w:r>
          <w:r w:rsidRPr="00257852">
            <w:fldChar w:fldCharType="separate"/>
          </w:r>
          <w:r w:rsidR="00576AF6">
            <w:rPr>
              <w:noProof/>
            </w:rPr>
            <w:t>[11]</w:t>
          </w:r>
          <w:r w:rsidRPr="00257852">
            <w:fldChar w:fldCharType="end"/>
          </w:r>
        </w:sdtContent>
      </w:sdt>
      <w:r w:rsidRPr="00257852">
        <w:t xml:space="preserve">) and research reactors (ref. </w:t>
      </w:r>
      <w:sdt>
        <w:sdtPr>
          <w:id w:val="-882096562"/>
          <w:citation/>
        </w:sdtPr>
        <w:sdtContent>
          <w:r w:rsidRPr="00257852">
            <w:fldChar w:fldCharType="begin"/>
          </w:r>
          <w:r w:rsidRPr="00257852">
            <w:instrText xml:space="preserve"> CITATION WEN202 \l 2057 </w:instrText>
          </w:r>
          <w:r w:rsidRPr="00257852">
            <w:fldChar w:fldCharType="separate"/>
          </w:r>
          <w:r w:rsidR="00576AF6">
            <w:rPr>
              <w:noProof/>
            </w:rPr>
            <w:t>[12]</w:t>
          </w:r>
          <w:r w:rsidRPr="00257852">
            <w:fldChar w:fldCharType="end"/>
          </w:r>
        </w:sdtContent>
      </w:sdt>
      <w:r w:rsidRPr="00257852">
        <w:t xml:space="preserve">). </w:t>
      </w:r>
      <w:r w:rsidR="00461C73">
        <w:br/>
      </w:r>
      <w:r w:rsidRPr="00257852">
        <w:t xml:space="preserve">In addition to the SRLs, WENRA also published Safety Objectives for new nuclear power plants (ref. </w:t>
      </w:r>
      <w:sdt>
        <w:sdtPr>
          <w:id w:val="-2137720536"/>
          <w:citation/>
        </w:sdtPr>
        <w:sdtContent>
          <w:r w:rsidRPr="00257852">
            <w:fldChar w:fldCharType="begin"/>
          </w:r>
          <w:r w:rsidRPr="00257852">
            <w:instrText xml:space="preserve"> CITATION WEN09 \l 2057 </w:instrText>
          </w:r>
          <w:r w:rsidRPr="00257852">
            <w:fldChar w:fldCharType="separate"/>
          </w:r>
          <w:r w:rsidR="00576AF6">
            <w:rPr>
              <w:noProof/>
            </w:rPr>
            <w:t>[13]</w:t>
          </w:r>
          <w:r w:rsidRPr="00257852">
            <w:fldChar w:fldCharType="end"/>
          </w:r>
        </w:sdtContent>
      </w:sdt>
      <w:r w:rsidRPr="00257852">
        <w:t xml:space="preserve">). </w:t>
      </w:r>
    </w:p>
    <w:p w14:paraId="016A86F4" w14:textId="20074BD5" w:rsidR="00673EB6" w:rsidRPr="00257852" w:rsidRDefault="00673EB6" w:rsidP="00673EB6">
      <w:pPr>
        <w:pStyle w:val="F9-Paragraph"/>
        <w:numPr>
          <w:ilvl w:val="0"/>
          <w:numId w:val="29"/>
        </w:numPr>
        <w:ind w:left="851" w:hanging="851"/>
      </w:pPr>
      <w:r w:rsidRPr="00257852">
        <w:t>The ONR SAPs (</w:t>
      </w:r>
      <w:r w:rsidR="00630AED">
        <w:t xml:space="preserve">ref. </w:t>
      </w:r>
      <w:sdt>
        <w:sdtPr>
          <w:id w:val="-115370335"/>
          <w:citation/>
        </w:sdtPr>
        <w:sdtContent>
          <w:r w:rsidR="00630AED">
            <w:fldChar w:fldCharType="begin"/>
          </w:r>
          <w:r w:rsidR="00C67755">
            <w:instrText xml:space="preserve">CITATION Placeholder1 \l 2057 </w:instrText>
          </w:r>
          <w:r w:rsidR="00630AED">
            <w:fldChar w:fldCharType="separate"/>
          </w:r>
          <w:r w:rsidR="00C67755">
            <w:rPr>
              <w:noProof/>
            </w:rPr>
            <w:t>[1]</w:t>
          </w:r>
          <w:r w:rsidR="00630AED">
            <w:fldChar w:fldCharType="end"/>
          </w:r>
        </w:sdtContent>
      </w:sdt>
      <w:r w:rsidRPr="00257852">
        <w:t xml:space="preserve">), herewith referred </w:t>
      </w:r>
      <w:r w:rsidR="00E30C84">
        <w:t xml:space="preserve">to </w:t>
      </w:r>
      <w:r w:rsidRPr="00257852">
        <w:t xml:space="preserve">as ‘SAPs’, were developed against the background of the UK legal requirements and have been benchmarked against the IAEA Safety Standards and WENRA SRLs and Safety Objectives. </w:t>
      </w:r>
      <w:r w:rsidR="00762EAB">
        <w:t>This</w:t>
      </w:r>
      <w:r w:rsidRPr="00257852">
        <w:t xml:space="preserve"> benchmarking </w:t>
      </w:r>
      <w:r w:rsidR="00762EAB">
        <w:t>is</w:t>
      </w:r>
      <w:r w:rsidRPr="00257852">
        <w:t xml:space="preserve"> outlined within each of ONR’s TAGs.</w:t>
      </w:r>
    </w:p>
    <w:p w14:paraId="513CEA75" w14:textId="16E28A9B" w:rsidR="00241690" w:rsidRDefault="00673EB6" w:rsidP="00673EB6">
      <w:pPr>
        <w:pStyle w:val="F9-Paragraph"/>
        <w:numPr>
          <w:ilvl w:val="0"/>
          <w:numId w:val="29"/>
        </w:numPr>
        <w:ind w:left="851" w:hanging="851"/>
      </w:pPr>
      <w:r>
        <w:t xml:space="preserve">The SAPs </w:t>
      </w:r>
      <w:r w:rsidR="00E70192">
        <w:t xml:space="preserve">set </w:t>
      </w:r>
      <w:r w:rsidR="007E101A">
        <w:t xml:space="preserve">out ONR’s regulatory expectations that </w:t>
      </w:r>
      <w:r w:rsidR="00762EAB">
        <w:t>i</w:t>
      </w:r>
      <w:r w:rsidR="00654A3D">
        <w:t xml:space="preserve">nspectors use to guide their judgements. </w:t>
      </w:r>
      <w:r>
        <w:t xml:space="preserve">The </w:t>
      </w:r>
      <w:r w:rsidR="00C420D7">
        <w:t>legal requirement for dutyholders to</w:t>
      </w:r>
      <w:r>
        <w:t xml:space="preserve"> </w:t>
      </w:r>
      <w:r w:rsidR="005E0C02">
        <w:t xml:space="preserve">reduce risks to ALARP and </w:t>
      </w:r>
      <w:r w:rsidR="001B4397">
        <w:t>demonstrate they have done so</w:t>
      </w:r>
      <w:r>
        <w:t xml:space="preserve"> is an overriding and all-embracing </w:t>
      </w:r>
      <w:r w:rsidR="00E70192">
        <w:t xml:space="preserve">principle that informs </w:t>
      </w:r>
      <w:r w:rsidR="00762EAB">
        <w:t>an inspector</w:t>
      </w:r>
      <w:r w:rsidR="00E70192">
        <w:t xml:space="preserve">’s use of </w:t>
      </w:r>
      <w:r>
        <w:t>the SAPs. Paragraph 16 of the SAPs emphasises that</w:t>
      </w:r>
      <w:r w:rsidR="00DF4DA5">
        <w:t>:</w:t>
      </w:r>
    </w:p>
    <w:p w14:paraId="4EE959C7" w14:textId="19143D49" w:rsidR="00241690" w:rsidRPr="00461C73" w:rsidRDefault="00673EB6" w:rsidP="00461C73">
      <w:pPr>
        <w:pStyle w:val="QuoteText"/>
      </w:pPr>
      <w:r w:rsidRPr="00461C73">
        <w:t xml:space="preserve"> “</w:t>
      </w:r>
      <w:r w:rsidR="0073125A" w:rsidRPr="00461C73">
        <w:t>The</w:t>
      </w:r>
      <w:r w:rsidRPr="00461C73">
        <w:t xml:space="preserve"> principles are used in helping to judge whether reducing risks to ALARP is achieved ... </w:t>
      </w:r>
      <w:r w:rsidR="00EF1E16" w:rsidRPr="00461C73">
        <w:t>priority should be given to achieving an overall balance of safety rather than satisfying each principle or making an ALARP judgement against each principle. The principles themselves should be met so far as is reasonably practicable.</w:t>
      </w:r>
      <w:r w:rsidRPr="00461C73">
        <w:t xml:space="preserve">” </w:t>
      </w:r>
    </w:p>
    <w:p w14:paraId="063EAA7B" w14:textId="41B0C706" w:rsidR="00673EB6" w:rsidRDefault="00673EB6" w:rsidP="00673EB6">
      <w:pPr>
        <w:pStyle w:val="F9-Paragraph"/>
        <w:numPr>
          <w:ilvl w:val="0"/>
          <w:numId w:val="29"/>
        </w:numPr>
        <w:ind w:left="851" w:hanging="851"/>
      </w:pPr>
      <w:r w:rsidRPr="00CD7882">
        <w:t xml:space="preserve">It </w:t>
      </w:r>
      <w:r>
        <w:t>is important to</w:t>
      </w:r>
      <w:r w:rsidRPr="00CD7882">
        <w:t xml:space="preserve"> note that </w:t>
      </w:r>
      <w:r>
        <w:t>the</w:t>
      </w:r>
      <w:r w:rsidRPr="00CD7882">
        <w:t xml:space="preserve"> SAPs </w:t>
      </w:r>
      <w:r w:rsidR="001E088C">
        <w:t>are</w:t>
      </w:r>
      <w:r>
        <w:t xml:space="preserve"> considered broader in scope than</w:t>
      </w:r>
      <w:r w:rsidRPr="00CD7882">
        <w:t xml:space="preserve"> the </w:t>
      </w:r>
      <w:r>
        <w:t>IAEA Safety Standards and WENRA SRLs</w:t>
      </w:r>
      <w:r w:rsidRPr="00CD7882">
        <w:t xml:space="preserve"> </w:t>
      </w:r>
      <w:r>
        <w:t>and Safety Objectives.</w:t>
      </w:r>
      <w:r w:rsidRPr="00CD7882">
        <w:t xml:space="preserve"> </w:t>
      </w:r>
    </w:p>
    <w:p w14:paraId="5C9FA9A4" w14:textId="0DFEB606" w:rsidR="00F7687C" w:rsidRDefault="00673EB6" w:rsidP="00673EB6">
      <w:pPr>
        <w:pStyle w:val="F9-Paragraph"/>
        <w:sectPr w:rsidR="00F7687C" w:rsidSect="007E1540">
          <w:pgSz w:w="11906" w:h="16838" w:code="9"/>
          <w:pgMar w:top="1440" w:right="1440" w:bottom="1440" w:left="1440" w:header="397" w:footer="397" w:gutter="0"/>
          <w:cols w:space="312"/>
          <w:docGrid w:linePitch="360"/>
        </w:sectPr>
      </w:pPr>
      <w:r w:rsidRPr="00B004A0">
        <w:t xml:space="preserve">In addition to SAPs, the IAEA Safety Standards and the </w:t>
      </w:r>
      <w:r>
        <w:t>WENRA SRLs</w:t>
      </w:r>
      <w:r w:rsidRPr="00B004A0">
        <w:t xml:space="preserve"> </w:t>
      </w:r>
      <w:r>
        <w:t>and Safety Objectives are</w:t>
      </w:r>
      <w:r w:rsidRPr="00B004A0">
        <w:t xml:space="preserve"> considered </w:t>
      </w:r>
      <w:r>
        <w:t xml:space="preserve">by ONR </w:t>
      </w:r>
      <w:r w:rsidRPr="00B004A0">
        <w:t>to</w:t>
      </w:r>
      <w:r w:rsidR="002E6242">
        <w:t xml:space="preserve"> represent </w:t>
      </w:r>
      <w:r>
        <w:t>relevant good practice (</w:t>
      </w:r>
      <w:r w:rsidRPr="00B004A0">
        <w:t>RGP</w:t>
      </w:r>
      <w:r>
        <w:t>)</w:t>
      </w:r>
      <w:r w:rsidRPr="00B004A0">
        <w:t xml:space="preserve"> for nuclear </w:t>
      </w:r>
      <w:r w:rsidRPr="00C46F2A">
        <w:t>safety.</w:t>
      </w:r>
      <w:r>
        <w:t xml:space="preserve"> RGP is an important </w:t>
      </w:r>
      <w:r w:rsidRPr="005710AF">
        <w:t xml:space="preserve">concept in ONR’s judgements and decisions regarding ALARP </w:t>
      </w:r>
      <w:r w:rsidRPr="00B547F6">
        <w:t>(</w:t>
      </w:r>
      <w:r w:rsidR="00461C73">
        <w:t>refer to</w:t>
      </w:r>
      <w:r w:rsidRPr="00B547F6">
        <w:t xml:space="preserve"> </w:t>
      </w:r>
      <w:r w:rsidR="00D817BA" w:rsidRPr="00B547F6">
        <w:t>S</w:t>
      </w:r>
      <w:r w:rsidR="00ED60F7" w:rsidRPr="00B547F6">
        <w:t xml:space="preserve">ection 5.1.6 and </w:t>
      </w:r>
      <w:r w:rsidR="00D817BA" w:rsidRPr="00B547F6">
        <w:t xml:space="preserve">Section </w:t>
      </w:r>
      <w:r w:rsidR="00ED60F7" w:rsidRPr="00B547F6">
        <w:t>5.2.</w:t>
      </w:r>
      <w:r w:rsidR="00B547F6" w:rsidRPr="00B547F6">
        <w:t>4</w:t>
      </w:r>
      <w:r w:rsidRPr="00B547F6">
        <w:t>)</w:t>
      </w:r>
      <w:r w:rsidR="00046936" w:rsidRPr="00B547F6">
        <w:t>.</w:t>
      </w:r>
    </w:p>
    <w:p w14:paraId="5255232C" w14:textId="78179620" w:rsidR="00F7687C" w:rsidRDefault="00BC7D78" w:rsidP="000F2811">
      <w:pPr>
        <w:pStyle w:val="Heading1"/>
        <w:numPr>
          <w:ilvl w:val="0"/>
          <w:numId w:val="25"/>
        </w:numPr>
        <w:ind w:left="851" w:hanging="851"/>
      </w:pPr>
      <w:bookmarkStart w:id="6" w:name="_Toc146287633"/>
      <w:r>
        <w:lastRenderedPageBreak/>
        <w:t>C</w:t>
      </w:r>
      <w:r w:rsidR="00DA5B67">
        <w:t xml:space="preserve">oncepts </w:t>
      </w:r>
      <w:r w:rsidR="00F92602">
        <w:t>supporting regulatory judgements on</w:t>
      </w:r>
      <w:r w:rsidR="00947755">
        <w:t xml:space="preserve"> </w:t>
      </w:r>
      <w:r w:rsidR="00C375A4">
        <w:t>reducing risks to ALARP</w:t>
      </w:r>
      <w:bookmarkEnd w:id="6"/>
    </w:p>
    <w:p w14:paraId="63CA516B" w14:textId="064AEC7D" w:rsidR="004836D9" w:rsidRPr="004C30A9" w:rsidRDefault="00C375A4" w:rsidP="004C40C4">
      <w:pPr>
        <w:pStyle w:val="Heading2"/>
        <w:numPr>
          <w:ilvl w:val="1"/>
          <w:numId w:val="22"/>
        </w:numPr>
        <w:ind w:left="851" w:hanging="851"/>
      </w:pPr>
      <w:r>
        <w:t>Core concepts</w:t>
      </w:r>
    </w:p>
    <w:p w14:paraId="5E7166AC" w14:textId="014E9CD4" w:rsidR="004C30A9" w:rsidRPr="00950888" w:rsidRDefault="009D3A36" w:rsidP="009D3A36">
      <w:pPr>
        <w:pStyle w:val="Heading3"/>
      </w:pPr>
      <w:r>
        <w:t>5.1.1.</w:t>
      </w:r>
      <w:r>
        <w:tab/>
      </w:r>
      <w:r w:rsidR="00790155" w:rsidRPr="00950888">
        <w:t>Hazard</w:t>
      </w:r>
    </w:p>
    <w:p w14:paraId="0050A483" w14:textId="4035BB7D" w:rsidR="00790155" w:rsidRDefault="00BF3671" w:rsidP="000A51C3">
      <w:pPr>
        <w:pStyle w:val="F9-Paragraph"/>
      </w:pPr>
      <w:r>
        <w:t>A hazard is something that can cause harm</w:t>
      </w:r>
      <w:r w:rsidR="00B93101">
        <w:t xml:space="preserve">, otherwise known as adverse effects, to people. </w:t>
      </w:r>
      <w:r w:rsidR="003C0FCF">
        <w:t xml:space="preserve">It can be an object, a property of a substance, a </w:t>
      </w:r>
      <w:r w:rsidR="00D60561">
        <w:t>phenomenon,</w:t>
      </w:r>
      <w:r w:rsidR="003C0FCF">
        <w:t xml:space="preserve"> or an activity</w:t>
      </w:r>
      <w:r w:rsidR="00D60561">
        <w:t>.</w:t>
      </w:r>
      <w:r w:rsidR="003C0FCF">
        <w:t xml:space="preserve"> </w:t>
      </w:r>
      <w:r w:rsidR="00D60561">
        <w:t>E</w:t>
      </w:r>
      <w:r w:rsidR="003C0FCF">
        <w:t xml:space="preserve">xamples </w:t>
      </w:r>
      <w:r w:rsidR="003C0FCF" w:rsidRPr="008C54E2">
        <w:t>include water on a staircase that could result in slippage and fall, loud noise</w:t>
      </w:r>
      <w:r w:rsidR="00F059E3" w:rsidRPr="008C54E2">
        <w:t xml:space="preserve"> that could cause hearing loss, </w:t>
      </w:r>
      <w:r w:rsidR="00ED60F7" w:rsidRPr="008C54E2">
        <w:t xml:space="preserve">or </w:t>
      </w:r>
      <w:r w:rsidR="00F059E3" w:rsidRPr="008C54E2">
        <w:t xml:space="preserve">breathing in harmful substances that could cause </w:t>
      </w:r>
      <w:r w:rsidR="00D60561" w:rsidRPr="008C54E2">
        <w:t>cancer</w:t>
      </w:r>
      <w:r w:rsidR="00020DFE" w:rsidRPr="008C54E2">
        <w:t>, radioactive waste in a drum etc</w:t>
      </w:r>
      <w:r w:rsidR="00D60561" w:rsidRPr="008C54E2">
        <w:t>.</w:t>
      </w:r>
      <w:r w:rsidR="00D60561">
        <w:t xml:space="preserve"> </w:t>
      </w:r>
    </w:p>
    <w:p w14:paraId="73DAC2AE" w14:textId="0CCBCB9A" w:rsidR="00790155" w:rsidRDefault="009D3A36" w:rsidP="009D3A36">
      <w:pPr>
        <w:pStyle w:val="Heading3"/>
      </w:pPr>
      <w:r>
        <w:t>5.1.2.</w:t>
      </w:r>
      <w:r>
        <w:tab/>
      </w:r>
      <w:r w:rsidR="00790155">
        <w:t>Risk</w:t>
      </w:r>
    </w:p>
    <w:p w14:paraId="0A728D16" w14:textId="5FB8824D" w:rsidR="005116DC" w:rsidRPr="008C54E2" w:rsidRDefault="00995EB9" w:rsidP="001360CF">
      <w:pPr>
        <w:pStyle w:val="F9-Paragraph"/>
      </w:pPr>
      <w:r w:rsidRPr="008C54E2">
        <w:t>Risk</w:t>
      </w:r>
      <w:r w:rsidR="007B385D" w:rsidRPr="008C54E2">
        <w:t xml:space="preserve"> is a two-part concept</w:t>
      </w:r>
      <w:r w:rsidR="00020DFE" w:rsidRPr="008C54E2">
        <w:t xml:space="preserve"> comprising</w:t>
      </w:r>
      <w:r w:rsidRPr="008C54E2">
        <w:t xml:space="preserve"> t</w:t>
      </w:r>
      <w:r w:rsidR="000B47EA" w:rsidRPr="008C54E2">
        <w:t>he likelihood</w:t>
      </w:r>
      <w:r w:rsidR="000119C9">
        <w:rPr>
          <w:rStyle w:val="FootnoteReference"/>
        </w:rPr>
        <w:footnoteReference w:id="2"/>
      </w:r>
      <w:r w:rsidR="000B47EA" w:rsidRPr="008C54E2">
        <w:t xml:space="preserve"> and severity</w:t>
      </w:r>
      <w:r w:rsidR="00020DFE" w:rsidRPr="008C54E2">
        <w:t xml:space="preserve">, </w:t>
      </w:r>
      <w:r w:rsidR="000B47EA" w:rsidRPr="008C54E2">
        <w:t>and both should be used in</w:t>
      </w:r>
      <w:r w:rsidR="0091658D" w:rsidRPr="008C54E2">
        <w:t xml:space="preserve"> describing a risk</w:t>
      </w:r>
      <w:r w:rsidR="000B47EA" w:rsidRPr="008C54E2">
        <w:t xml:space="preserve"> accurately</w:t>
      </w:r>
      <w:r w:rsidR="00C12610" w:rsidRPr="008C54E2">
        <w:t xml:space="preserve">. </w:t>
      </w:r>
      <w:r w:rsidR="00935155">
        <w:t>Risk</w:t>
      </w:r>
      <w:r w:rsidR="00B03530">
        <w:t xml:space="preserve"> </w:t>
      </w:r>
      <w:r w:rsidR="00484471" w:rsidRPr="008C54E2">
        <w:t xml:space="preserve">can be expressed qualitatively </w:t>
      </w:r>
      <w:r w:rsidR="002B2FF9" w:rsidRPr="008C54E2">
        <w:t>or</w:t>
      </w:r>
      <w:r w:rsidR="00484471" w:rsidRPr="008C54E2">
        <w:t xml:space="preserve"> quantitatively. </w:t>
      </w:r>
    </w:p>
    <w:p w14:paraId="5F8E6423" w14:textId="05FDD9B9" w:rsidR="000F2145" w:rsidRDefault="00086CCF" w:rsidP="001360CF">
      <w:pPr>
        <w:pStyle w:val="F9-Paragraph"/>
      </w:pPr>
      <w:r w:rsidRPr="00020DFE">
        <w:t xml:space="preserve">In any given workplace there are a wide range of </w:t>
      </w:r>
      <w:r w:rsidR="00A45957" w:rsidRPr="00020DFE">
        <w:t xml:space="preserve">hazards and a large number of risks which dutyholders </w:t>
      </w:r>
      <w:r w:rsidR="00762EAB">
        <w:t>must</w:t>
      </w:r>
      <w:r w:rsidR="00A45957" w:rsidRPr="00020DFE">
        <w:t xml:space="preserve"> consider</w:t>
      </w:r>
      <w:r w:rsidR="00780D1A" w:rsidRPr="00020DFE">
        <w:t xml:space="preserve">. </w:t>
      </w:r>
      <w:r w:rsidR="0071630E" w:rsidRPr="00020DFE">
        <w:t xml:space="preserve">The scope of those risks are limited to those </w:t>
      </w:r>
      <w:r w:rsidR="009E3C45">
        <w:t xml:space="preserve">the </w:t>
      </w:r>
      <w:r w:rsidR="00B5369F">
        <w:t>dutyholder</w:t>
      </w:r>
      <w:r w:rsidR="001C33B6">
        <w:t>s</w:t>
      </w:r>
      <w:r w:rsidR="0071630E" w:rsidRPr="00020DFE">
        <w:t xml:space="preserve"> can exercise</w:t>
      </w:r>
      <w:r w:rsidR="0071630E">
        <w:t xml:space="preserve"> control or mitigate the consequences through the conduct of their undertaking</w:t>
      </w:r>
      <w:r w:rsidR="00CE7365">
        <w:t>, including risks aris</w:t>
      </w:r>
      <w:r w:rsidR="00AF7489">
        <w:t>ing</w:t>
      </w:r>
      <w:r w:rsidR="00CE7365">
        <w:t xml:space="preserve"> from external events o</w:t>
      </w:r>
      <w:r w:rsidR="001C33B6">
        <w:t xml:space="preserve">r </w:t>
      </w:r>
      <w:r w:rsidR="00CE7365">
        <w:t xml:space="preserve">circumstances </w:t>
      </w:r>
      <w:r w:rsidR="00735C4E">
        <w:t xml:space="preserve">over which the </w:t>
      </w:r>
      <w:r w:rsidR="00B5369F">
        <w:t>dutyholder</w:t>
      </w:r>
      <w:r w:rsidR="00735C4E">
        <w:t xml:space="preserve"> has no control</w:t>
      </w:r>
      <w:r w:rsidR="009006B6">
        <w:t>,</w:t>
      </w:r>
      <w:r w:rsidR="00735C4E">
        <w:t xml:space="preserve"> but can mitigate the consequences. </w:t>
      </w:r>
    </w:p>
    <w:p w14:paraId="1CCE6361" w14:textId="366BFB3E" w:rsidR="0009661B" w:rsidRDefault="00465D69" w:rsidP="001360CF">
      <w:pPr>
        <w:pStyle w:val="F9-Paragraph"/>
      </w:pPr>
      <w:r>
        <w:t>R</w:t>
      </w:r>
      <w:r w:rsidR="00780D1A" w:rsidRPr="00780D1A">
        <w:t xml:space="preserve">equiring </w:t>
      </w:r>
      <w:r w:rsidR="00B5369F">
        <w:t>dutyholder</w:t>
      </w:r>
      <w:r w:rsidR="00780D1A" w:rsidRPr="00780D1A">
        <w:t xml:space="preserve">s to address </w:t>
      </w:r>
      <w:r w:rsidR="00780D1A">
        <w:t xml:space="preserve">all </w:t>
      </w:r>
      <w:r w:rsidR="00735C4E">
        <w:t>risks</w:t>
      </w:r>
      <w:r w:rsidR="00780D1A" w:rsidRPr="00780D1A">
        <w:t xml:space="preserve"> would </w:t>
      </w:r>
      <w:r w:rsidR="00534626">
        <w:t xml:space="preserve">be </w:t>
      </w:r>
      <w:r w:rsidR="00762DA0">
        <w:t>unrealistic</w:t>
      </w:r>
      <w:r w:rsidR="00C8260B">
        <w:t xml:space="preserve"> and </w:t>
      </w:r>
      <w:r w:rsidR="00762DA0">
        <w:t>impose</w:t>
      </w:r>
      <w:r w:rsidR="002112BC">
        <w:t xml:space="preserve"> a</w:t>
      </w:r>
      <w:r w:rsidR="00762DA0">
        <w:t xml:space="preserve"> </w:t>
      </w:r>
      <w:r w:rsidR="00BB4954">
        <w:t>disproportionate</w:t>
      </w:r>
      <w:r w:rsidR="00780D1A" w:rsidRPr="00780D1A">
        <w:t xml:space="preserve"> burden</w:t>
      </w:r>
      <w:r w:rsidR="00410EAB">
        <w:t xml:space="preserve"> </w:t>
      </w:r>
      <w:r w:rsidR="002112BC">
        <w:t>on</w:t>
      </w:r>
      <w:r w:rsidR="00410EAB">
        <w:t xml:space="preserve"> the dutyholders</w:t>
      </w:r>
      <w:r w:rsidR="00762DA0">
        <w:t>.</w:t>
      </w:r>
      <w:r w:rsidR="00780D1A" w:rsidRPr="00780D1A">
        <w:t xml:space="preserve"> </w:t>
      </w:r>
      <w:r w:rsidR="00762DA0">
        <w:t>Thus, the regulators</w:t>
      </w:r>
      <w:r w:rsidR="00780D1A" w:rsidRPr="00780D1A">
        <w:t xml:space="preserve"> expect </w:t>
      </w:r>
      <w:r w:rsidR="00B5369F">
        <w:t>dutyholder</w:t>
      </w:r>
      <w:r w:rsidR="00A511AC">
        <w:t>s</w:t>
      </w:r>
      <w:r w:rsidR="00780D1A" w:rsidRPr="00780D1A">
        <w:t xml:space="preserve"> to </w:t>
      </w:r>
      <w:r w:rsidR="00410EAB">
        <w:t xml:space="preserve">only </w:t>
      </w:r>
      <w:r w:rsidR="00780D1A" w:rsidRPr="00780D1A">
        <w:t xml:space="preserve">take account of </w:t>
      </w:r>
      <w:r w:rsidR="00410EAB">
        <w:t xml:space="preserve">the </w:t>
      </w:r>
      <w:r w:rsidR="000F2145">
        <w:t xml:space="preserve">circumstances where the </w:t>
      </w:r>
      <w:r w:rsidR="00780D1A" w:rsidRPr="00780D1A">
        <w:t xml:space="preserve">hazards </w:t>
      </w:r>
      <w:r w:rsidR="00504F63">
        <w:t>that</w:t>
      </w:r>
      <w:r w:rsidR="00780D1A" w:rsidRPr="00780D1A">
        <w:t xml:space="preserve"> are reasonably foreseeable </w:t>
      </w:r>
      <w:r w:rsidR="00504F63">
        <w:t>to cause</w:t>
      </w:r>
      <w:r w:rsidR="00780D1A" w:rsidRPr="00780D1A">
        <w:t xml:space="preserve"> harm, </w:t>
      </w:r>
      <w:r w:rsidR="00504F63">
        <w:t>known as the ‘foreseeable risk’</w:t>
      </w:r>
      <w:r w:rsidR="00762EAB">
        <w:rPr>
          <w:rStyle w:val="FootnoteReference"/>
        </w:rPr>
        <w:footnoteReference w:id="3"/>
      </w:r>
      <w:r w:rsidR="0009661B">
        <w:t>.</w:t>
      </w:r>
      <w:r w:rsidR="00791463">
        <w:t xml:space="preserve"> </w:t>
      </w:r>
    </w:p>
    <w:p w14:paraId="31A20106" w14:textId="77777777" w:rsidR="00D74605" w:rsidRDefault="00D74605" w:rsidP="00277835">
      <w:pPr>
        <w:pStyle w:val="Heading3"/>
        <w:sectPr w:rsidR="00D74605" w:rsidSect="007E1540">
          <w:pgSz w:w="11906" w:h="16838" w:code="9"/>
          <w:pgMar w:top="1440" w:right="1440" w:bottom="1440" w:left="1440" w:header="397" w:footer="397" w:gutter="0"/>
          <w:cols w:space="312"/>
          <w:docGrid w:linePitch="360"/>
        </w:sectPr>
      </w:pPr>
    </w:p>
    <w:p w14:paraId="6E2F4017" w14:textId="1ECBD58A" w:rsidR="00ED55E2" w:rsidRPr="00C007AB" w:rsidRDefault="009D3A36" w:rsidP="00277835">
      <w:pPr>
        <w:pStyle w:val="Heading3"/>
      </w:pPr>
      <w:r>
        <w:lastRenderedPageBreak/>
        <w:t>5.1.3.</w:t>
      </w:r>
      <w:r>
        <w:tab/>
      </w:r>
      <w:r w:rsidR="00277835" w:rsidRPr="00C007AB">
        <w:t>Sacrifice</w:t>
      </w:r>
    </w:p>
    <w:p w14:paraId="1E1CEF14" w14:textId="587FD514" w:rsidR="00C007AB" w:rsidRPr="00C007AB" w:rsidRDefault="008053FD" w:rsidP="00F92B64">
      <w:pPr>
        <w:pStyle w:val="F9-Paragraph"/>
      </w:pPr>
      <w:r w:rsidRPr="00C007AB">
        <w:t xml:space="preserve">The sacrifice </w:t>
      </w:r>
      <w:r w:rsidR="00C83AB4" w:rsidRPr="00C007AB">
        <w:t>is the</w:t>
      </w:r>
      <w:r w:rsidR="00FB2C11" w:rsidRPr="00C007AB">
        <w:t xml:space="preserve"> </w:t>
      </w:r>
      <w:r w:rsidR="00001B3D" w:rsidRPr="00C007AB">
        <w:t xml:space="preserve">cost </w:t>
      </w:r>
      <w:r w:rsidR="00C83AB4" w:rsidRPr="00C007AB">
        <w:t xml:space="preserve">incurred </w:t>
      </w:r>
      <w:r w:rsidR="00001B3D" w:rsidRPr="00C007AB">
        <w:t xml:space="preserve">to </w:t>
      </w:r>
      <w:r w:rsidR="00D26077" w:rsidRPr="00C007AB">
        <w:t xml:space="preserve">a </w:t>
      </w:r>
      <w:r w:rsidR="00001B3D" w:rsidRPr="00C007AB">
        <w:t>dutyholder</w:t>
      </w:r>
      <w:r w:rsidR="00D26077" w:rsidRPr="00C007AB">
        <w:t xml:space="preserve"> as a consequence </w:t>
      </w:r>
      <w:r w:rsidR="002D66AC" w:rsidRPr="00C007AB">
        <w:t xml:space="preserve">of </w:t>
      </w:r>
      <w:r w:rsidR="00FB2C11" w:rsidRPr="00C007AB">
        <w:t xml:space="preserve">the measures </w:t>
      </w:r>
      <w:r w:rsidR="00D26077" w:rsidRPr="00C007AB">
        <w:t xml:space="preserve">they have taken </w:t>
      </w:r>
      <w:r w:rsidR="00FB2C11" w:rsidRPr="00C007AB">
        <w:t>to avert or reduce the risks</w:t>
      </w:r>
      <w:r w:rsidR="009F5D9C" w:rsidRPr="00C007AB">
        <w:t xml:space="preserve"> identified</w:t>
      </w:r>
      <w:r w:rsidR="00F41EA7">
        <w:t xml:space="preserve"> within their undertaking</w:t>
      </w:r>
      <w:r w:rsidR="00F31C9E">
        <w:t>. The sacrifice is</w:t>
      </w:r>
      <w:r w:rsidR="00D075F1">
        <w:t xml:space="preserve"> defined to be</w:t>
      </w:r>
      <w:r w:rsidR="009F5D9C" w:rsidRPr="00C007AB">
        <w:t xml:space="preserve"> money, time or trouble</w:t>
      </w:r>
      <w:r w:rsidR="00F2493D">
        <w:rPr>
          <w:rStyle w:val="FootnoteReference"/>
        </w:rPr>
        <w:footnoteReference w:id="4"/>
      </w:r>
      <w:r w:rsidR="009F5D9C" w:rsidRPr="008A64CF">
        <w:t>.</w:t>
      </w:r>
      <w:r w:rsidR="00536F91" w:rsidRPr="00C007AB">
        <w:t xml:space="preserve"> </w:t>
      </w:r>
      <w:r w:rsidR="00AB4EB6">
        <w:t>Benefits gained by dutyholders as a result of their instituting a health and safety measure should be offset against the costs they incur.</w:t>
      </w:r>
    </w:p>
    <w:p w14:paraId="2FC11A6E" w14:textId="5FDFE97F" w:rsidR="00277835" w:rsidRPr="00C007AB" w:rsidRDefault="00726142" w:rsidP="00F92B64">
      <w:pPr>
        <w:pStyle w:val="F9-Paragraph"/>
      </w:pPr>
      <w:r w:rsidRPr="00B547F6">
        <w:t>Individual dutyholder</w:t>
      </w:r>
      <w:r w:rsidR="00AB4EB6">
        <w:t>’s</w:t>
      </w:r>
      <w:r w:rsidRPr="00B547F6">
        <w:t xml:space="preserve"> ability to afford a control measure or the financial viability of a particular project is not a legitimate factor in the assessment of its costs</w:t>
      </w:r>
      <w:r w:rsidR="00AB4EB6">
        <w:t>. ONR must present dutyholders with a level playing field</w:t>
      </w:r>
      <w:r w:rsidR="002D2E61">
        <w:t>. T</w:t>
      </w:r>
      <w:r w:rsidR="00AB4EB6">
        <w:t xml:space="preserve">hus </w:t>
      </w:r>
      <w:r w:rsidR="002D2E61">
        <w:t>ONR</w:t>
      </w:r>
      <w:r w:rsidR="00AB4EB6">
        <w:t xml:space="preserve"> cannot take into account the size and financial position of the dutyholder when making judgements on whether risks have been reduced to ALARP.</w:t>
      </w:r>
      <w:r w:rsidR="008A692F" w:rsidRPr="00C007AB">
        <w:t xml:space="preserve"> </w:t>
      </w:r>
    </w:p>
    <w:p w14:paraId="368ED4AF" w14:textId="57061120" w:rsidR="00514751" w:rsidRDefault="009D3A36" w:rsidP="0051517D">
      <w:pPr>
        <w:pStyle w:val="Heading3"/>
      </w:pPr>
      <w:r>
        <w:t>5.1.4.</w:t>
      </w:r>
      <w:r>
        <w:tab/>
      </w:r>
      <w:r w:rsidR="00514751">
        <w:t>Gross</w:t>
      </w:r>
      <w:r w:rsidR="00056108">
        <w:t>ly</w:t>
      </w:r>
      <w:r w:rsidR="00514751">
        <w:t xml:space="preserve"> </w:t>
      </w:r>
      <w:r w:rsidR="0051517D">
        <w:t>disproportion</w:t>
      </w:r>
      <w:r w:rsidR="00056108">
        <w:t>ate</w:t>
      </w:r>
    </w:p>
    <w:p w14:paraId="7C1AE416" w14:textId="58657E88" w:rsidR="0051517D" w:rsidRPr="006D3727" w:rsidRDefault="002C349B" w:rsidP="00290F0B">
      <w:pPr>
        <w:pStyle w:val="F9-Paragraph"/>
      </w:pPr>
      <w:r w:rsidRPr="006D3727">
        <w:t xml:space="preserve">Determining whether a risk has been reduced to ALARP involves an assessment of the risk to be avoided or reduced, of the sacrifice involved in </w:t>
      </w:r>
      <w:r w:rsidR="009C3D04">
        <w:t>implement</w:t>
      </w:r>
      <w:r w:rsidR="009E3C45">
        <w:t>ing</w:t>
      </w:r>
      <w:r w:rsidR="009C3D04">
        <w:t xml:space="preserve"> the</w:t>
      </w:r>
      <w:r w:rsidRPr="006D3727">
        <w:t xml:space="preserve"> measures </w:t>
      </w:r>
      <w:r w:rsidR="00762778">
        <w:t>to do so</w:t>
      </w:r>
      <w:r w:rsidRPr="006D3727">
        <w:t>, and a comparison of the two</w:t>
      </w:r>
      <w:r w:rsidR="00ED5DC5" w:rsidRPr="006D3727">
        <w:t xml:space="preserve">, </w:t>
      </w:r>
      <w:r w:rsidR="003014D8" w:rsidRPr="006D3727">
        <w:t>also known as</w:t>
      </w:r>
      <w:r w:rsidR="00ED5DC5" w:rsidRPr="006D3727">
        <w:t xml:space="preserve"> the test of ‘gross disproportion’</w:t>
      </w:r>
      <w:r w:rsidR="008B6F8C" w:rsidRPr="006D3727">
        <w:t xml:space="preserve">. </w:t>
      </w:r>
      <w:r w:rsidR="009B0D74" w:rsidRPr="006D3727">
        <w:t xml:space="preserve">In any </w:t>
      </w:r>
      <w:r w:rsidR="00AC2580" w:rsidRPr="006D3727">
        <w:t>such</w:t>
      </w:r>
      <w:r w:rsidR="001F50F7" w:rsidRPr="006D3727">
        <w:t xml:space="preserve"> assessment</w:t>
      </w:r>
      <w:r w:rsidR="004640E7" w:rsidRPr="006D3727">
        <w:t xml:space="preserve">, measures to reduce </w:t>
      </w:r>
      <w:r w:rsidR="00FA0D86" w:rsidRPr="006D3727">
        <w:t xml:space="preserve">or avoid the </w:t>
      </w:r>
      <w:r w:rsidR="004640E7" w:rsidRPr="006D3727">
        <w:t xml:space="preserve">risk can </w:t>
      </w:r>
      <w:r w:rsidR="00FA0D86" w:rsidRPr="006D3727">
        <w:t xml:space="preserve">only </w:t>
      </w:r>
      <w:r w:rsidR="004640E7" w:rsidRPr="006D3727">
        <w:t xml:space="preserve">be ruled out if the sacrifice involved in taking them is </w:t>
      </w:r>
      <w:r w:rsidR="00AB4EB6">
        <w:t>judged</w:t>
      </w:r>
      <w:r w:rsidR="00FA0D86" w:rsidRPr="006D3727">
        <w:t xml:space="preserve"> </w:t>
      </w:r>
      <w:r w:rsidR="004640E7" w:rsidRPr="006D3727">
        <w:t>grossly disproportionate to the benefits of the risk reduction</w:t>
      </w:r>
      <w:r w:rsidR="00FA0D86" w:rsidRPr="006D3727">
        <w:t xml:space="preserve">, i.e. </w:t>
      </w:r>
      <w:r w:rsidR="001B16F8" w:rsidRPr="006D3727">
        <w:t xml:space="preserve">it is not about balancing the costs </w:t>
      </w:r>
      <w:r w:rsidR="007939F0">
        <w:t xml:space="preserve">(money, time or trouble, </w:t>
      </w:r>
      <w:r w:rsidR="009B0959">
        <w:t>refer to</w:t>
      </w:r>
      <w:r w:rsidR="007939F0">
        <w:t xml:space="preserve"> 5.1.3) </w:t>
      </w:r>
      <w:r w:rsidR="001B16F8" w:rsidRPr="006D3727">
        <w:t>and benefits of the measures</w:t>
      </w:r>
      <w:r w:rsidR="00E00A5F" w:rsidRPr="006D3727">
        <w:t xml:space="preserve">. </w:t>
      </w:r>
      <w:r w:rsidR="00F376C9" w:rsidRPr="006D3727">
        <w:t xml:space="preserve">The </w:t>
      </w:r>
      <w:r w:rsidR="00EE42D5" w:rsidRPr="006D3727">
        <w:t>judgement</w:t>
      </w:r>
      <w:r w:rsidR="00F376C9" w:rsidRPr="006D3727">
        <w:t xml:space="preserve"> is weighted in favour of health and safety because the </w:t>
      </w:r>
      <w:r w:rsidR="007274A5" w:rsidRPr="006D3727">
        <w:t xml:space="preserve">regulatory </w:t>
      </w:r>
      <w:r w:rsidR="00F376C9" w:rsidRPr="006D3727">
        <w:t xml:space="preserve">presumption is that the dutyholder should implement the risk reduction measure. </w:t>
      </w:r>
    </w:p>
    <w:p w14:paraId="6FD2C2B0" w14:textId="252B83E5" w:rsidR="006B3157" w:rsidRDefault="00C63C7E" w:rsidP="008C3882">
      <w:pPr>
        <w:pStyle w:val="F9-Paragraph"/>
      </w:pPr>
      <w:r>
        <w:t xml:space="preserve">There is no </w:t>
      </w:r>
      <w:r w:rsidR="004F6522">
        <w:t xml:space="preserve">authoritative guidance from the </w:t>
      </w:r>
      <w:r w:rsidR="00C41E7C">
        <w:t>c</w:t>
      </w:r>
      <w:r w:rsidR="004F6522">
        <w:t xml:space="preserve">ourts as to what factors should be </w:t>
      </w:r>
      <w:r w:rsidR="006B7F2C">
        <w:t>considered</w:t>
      </w:r>
      <w:r w:rsidR="004F6522">
        <w:t xml:space="preserve"> in determining whether</w:t>
      </w:r>
      <w:r w:rsidR="0012626C">
        <w:t xml:space="preserve"> the</w:t>
      </w:r>
      <w:r w:rsidR="004F6522">
        <w:t xml:space="preserve"> cost is grossly disproportionate to the risk. </w:t>
      </w:r>
      <w:r w:rsidR="006B3157">
        <w:t xml:space="preserve">There is no </w:t>
      </w:r>
      <w:r>
        <w:t xml:space="preserve">algorithm </w:t>
      </w:r>
      <w:r w:rsidR="00457B39">
        <w:t>that can be used to determine, in any case</w:t>
      </w:r>
      <w:r w:rsidR="006B3157">
        <w:t>,</w:t>
      </w:r>
      <w:r w:rsidR="00457B39">
        <w:t xml:space="preserve"> when the degree of disproportion can be judged as ‘gross’, the judgement </w:t>
      </w:r>
      <w:r w:rsidR="004650CE">
        <w:t>is</w:t>
      </w:r>
      <w:r w:rsidR="00457B39">
        <w:t xml:space="preserve"> made on a </w:t>
      </w:r>
      <w:r w:rsidR="00375245">
        <w:t>case-by-case</w:t>
      </w:r>
      <w:r w:rsidR="00457B39">
        <w:t xml:space="preserve"> basis</w:t>
      </w:r>
      <w:r w:rsidR="0012764A">
        <w:t>, and</w:t>
      </w:r>
      <w:r w:rsidR="0049690E">
        <w:t xml:space="preserve"> in most cases</w:t>
      </w:r>
      <w:r w:rsidR="0012764A">
        <w:t xml:space="preserve"> it</w:t>
      </w:r>
      <w:r w:rsidR="0049690E">
        <w:t xml:space="preserve"> </w:t>
      </w:r>
      <w:r w:rsidR="008902E6">
        <w:t>is</w:t>
      </w:r>
      <w:r w:rsidR="0049690E">
        <w:t xml:space="preserve"> qualitative</w:t>
      </w:r>
      <w:r w:rsidR="0012764A">
        <w:t>,</w:t>
      </w:r>
      <w:r w:rsidR="0049690E">
        <w:t xml:space="preserve"> rather than </w:t>
      </w:r>
      <w:r w:rsidR="008902E6">
        <w:t xml:space="preserve">quantitative. </w:t>
      </w:r>
    </w:p>
    <w:p w14:paraId="669773B3" w14:textId="5B3E96EE" w:rsidR="008E699C" w:rsidRPr="001B5A09" w:rsidRDefault="008E699C" w:rsidP="008C3882">
      <w:pPr>
        <w:pStyle w:val="F9-Paragraph"/>
      </w:pPr>
      <w:r>
        <w:t xml:space="preserve">For the purposes of this TAG, it is suggested that the evidence given by John Locke, then Director General of HSE, at the Sizewell B Public Inquiry provides a starting point. Although this evidence was produced some time ago, no subsequent legal proceedings or public inquiries have countered these views or provided alternatives. In his evidence, Locke suggested a gross disproportion factor of up to 3 for workers. For risks to the public, he added that the factor would depend on the level of risk, and where </w:t>
      </w:r>
      <w:r w:rsidRPr="001B5A09">
        <w:t>the risks were low (consequence and likelihood) a factor of about 2 was suggested, whereas for higher risks the factor should be about 10.</w:t>
      </w:r>
    </w:p>
    <w:p w14:paraId="5D150BF4" w14:textId="40C78163" w:rsidR="00CF6744" w:rsidRPr="001B5A09" w:rsidRDefault="00CF6744" w:rsidP="008C3882">
      <w:pPr>
        <w:pStyle w:val="F9-Paragraph"/>
      </w:pPr>
      <w:r w:rsidRPr="001B5A09">
        <w:lastRenderedPageBreak/>
        <w:t>Gross disproportiona</w:t>
      </w:r>
      <w:r w:rsidR="00DA38C8" w:rsidRPr="001B5A09">
        <w:t>lity</w:t>
      </w:r>
      <w:r w:rsidRPr="001B5A09">
        <w:t xml:space="preserve"> is an important </w:t>
      </w:r>
      <w:r w:rsidR="003D7D0C" w:rsidRPr="001B5A09">
        <w:t>concept</w:t>
      </w:r>
      <w:r w:rsidRPr="001B5A09">
        <w:t xml:space="preserve"> relevant to ALARP </w:t>
      </w:r>
      <w:r w:rsidR="003016C1" w:rsidRPr="001B5A09">
        <w:t>judgement</w:t>
      </w:r>
      <w:r w:rsidRPr="001B5A09">
        <w:t xml:space="preserve">s </w:t>
      </w:r>
      <w:r w:rsidR="00FF2E0E" w:rsidRPr="001B5A09">
        <w:t xml:space="preserve">including less commonly applied </w:t>
      </w:r>
      <w:r w:rsidRPr="001B5A09">
        <w:t>cost benefit analysis</w:t>
      </w:r>
      <w:r w:rsidR="00FF2E0E" w:rsidRPr="001B5A09">
        <w:t xml:space="preserve"> </w:t>
      </w:r>
      <w:r w:rsidRPr="001B5A09">
        <w:t xml:space="preserve">(CBA, </w:t>
      </w:r>
      <w:r w:rsidR="00D74605">
        <w:t>refer to</w:t>
      </w:r>
      <w:r w:rsidRPr="001B5A09">
        <w:t xml:space="preserve"> Appendix 1).</w:t>
      </w:r>
    </w:p>
    <w:p w14:paraId="6C89265C" w14:textId="66F819E3" w:rsidR="00BC08DA" w:rsidRPr="001B5A09" w:rsidRDefault="009D3A36" w:rsidP="00BC08DA">
      <w:pPr>
        <w:pStyle w:val="Heading3"/>
      </w:pPr>
      <w:r>
        <w:t>5.1.5.</w:t>
      </w:r>
      <w:r>
        <w:tab/>
      </w:r>
      <w:r w:rsidR="00AF4984">
        <w:t>Assessment of foreseeable risks</w:t>
      </w:r>
      <w:r w:rsidR="00BC08DA" w:rsidRPr="001B5A09">
        <w:t xml:space="preserve"> </w:t>
      </w:r>
    </w:p>
    <w:p w14:paraId="1A795768" w14:textId="3510D849" w:rsidR="00C0411E" w:rsidRDefault="008055A1" w:rsidP="00870A8C">
      <w:pPr>
        <w:pStyle w:val="F9-Paragraph"/>
      </w:pPr>
      <w:r>
        <w:t>For a dutyholder t</w:t>
      </w:r>
      <w:r w:rsidR="00BC08DA" w:rsidRPr="001B5A09">
        <w:t xml:space="preserve">o demonstrate </w:t>
      </w:r>
      <w:r w:rsidR="00C41E7C" w:rsidRPr="001B5A09">
        <w:t xml:space="preserve">whether </w:t>
      </w:r>
      <w:r w:rsidR="00BC08DA" w:rsidRPr="001B5A09">
        <w:t>a risk has been reduced to ALARP</w:t>
      </w:r>
      <w:r>
        <w:t xml:space="preserve">, </w:t>
      </w:r>
      <w:r w:rsidR="006E4BAC">
        <w:t>they</w:t>
      </w:r>
      <w:r>
        <w:t xml:space="preserve"> </w:t>
      </w:r>
      <w:r w:rsidR="00103249">
        <w:t xml:space="preserve">need </w:t>
      </w:r>
      <w:r>
        <w:t xml:space="preserve">to have </w:t>
      </w:r>
      <w:r w:rsidR="001B5A09">
        <w:t>an adequate level of</w:t>
      </w:r>
      <w:r w:rsidR="00BC08DA" w:rsidRPr="001B5A09">
        <w:t xml:space="preserve"> understanding of the risk</w:t>
      </w:r>
      <w:r w:rsidR="003C4E11">
        <w:t xml:space="preserve"> first</w:t>
      </w:r>
      <w:r w:rsidR="003B14A8">
        <w:t>.</w:t>
      </w:r>
      <w:r w:rsidR="001B5A09">
        <w:t xml:space="preserve"> </w:t>
      </w:r>
      <w:r w:rsidR="003B14A8">
        <w:t xml:space="preserve">This </w:t>
      </w:r>
      <w:r w:rsidR="00213B77">
        <w:t>can be achieved</w:t>
      </w:r>
      <w:r w:rsidR="008862DE">
        <w:t xml:space="preserve"> through</w:t>
      </w:r>
      <w:r w:rsidR="001B5A09">
        <w:t xml:space="preserve"> a</w:t>
      </w:r>
      <w:r w:rsidR="00BC08DA" w:rsidRPr="001B5A09">
        <w:t xml:space="preserve"> decision</w:t>
      </w:r>
      <w:r w:rsidR="003164A3">
        <w:t>-</w:t>
      </w:r>
      <w:r w:rsidR="00BC08DA" w:rsidRPr="001B5A09">
        <w:t>process called risk assessment</w:t>
      </w:r>
      <w:r w:rsidR="00AA0B34">
        <w:t>.</w:t>
      </w:r>
      <w:r w:rsidR="00213B77">
        <w:t xml:space="preserve"> </w:t>
      </w:r>
    </w:p>
    <w:p w14:paraId="7CE7D697" w14:textId="451B3F64" w:rsidR="00EA08DA" w:rsidRDefault="002C0443" w:rsidP="00BC08DA">
      <w:pPr>
        <w:pStyle w:val="F9-Paragraph"/>
      </w:pPr>
      <w:r>
        <w:t>Much</w:t>
      </w:r>
      <w:r w:rsidR="00CD6BD9">
        <w:t xml:space="preserve"> </w:t>
      </w:r>
      <w:r w:rsidR="00BC08DA">
        <w:t>health and safety legislation require</w:t>
      </w:r>
      <w:r>
        <w:t>s</w:t>
      </w:r>
      <w:r w:rsidR="00BC08DA">
        <w:t xml:space="preserve"> employers (or responsible person</w:t>
      </w:r>
      <w:r w:rsidR="00CD6BD9">
        <w:t>s</w:t>
      </w:r>
      <w:r w:rsidR="00BC08DA">
        <w:t xml:space="preserve">) to carry out ‘suitable and sufficient’ risk assessments for specific hazards. </w:t>
      </w:r>
      <w:r w:rsidR="00DD5FF6">
        <w:t>Such assessments involve</w:t>
      </w:r>
      <w:r w:rsidR="00EA08DA">
        <w:t xml:space="preserve"> dutyholders </w:t>
      </w:r>
      <w:r w:rsidR="00EA08DA" w:rsidRPr="00EA08DA">
        <w:t>identifying the hazards in their workplace, determining who might be harmed and how; evaluating the risk from the hazards and deciding whether the existing control measures are sufficient or whether more should be done</w:t>
      </w:r>
      <w:r w:rsidR="009F66A3">
        <w:t xml:space="preserve"> to reduce the risks</w:t>
      </w:r>
      <w:r w:rsidR="00EA08DA" w:rsidRPr="00EA08DA">
        <w:t xml:space="preserve">. </w:t>
      </w:r>
    </w:p>
    <w:p w14:paraId="69EB1458" w14:textId="46A95D7E" w:rsidR="004C61F0" w:rsidRPr="00C95D4C" w:rsidRDefault="004C61F0" w:rsidP="004C61F0">
      <w:pPr>
        <w:pStyle w:val="F9-Paragraph"/>
      </w:pPr>
      <w:r w:rsidRPr="00C95D4C">
        <w:t>The determination of control measures to reduce risk</w:t>
      </w:r>
      <w:r w:rsidR="0031160C">
        <w:t>s</w:t>
      </w:r>
      <w:r w:rsidRPr="00C95D4C">
        <w:t xml:space="preserve"> to ALARP </w:t>
      </w:r>
      <w:r>
        <w:t>is</w:t>
      </w:r>
      <w:r w:rsidRPr="00C95D4C">
        <w:t xml:space="preserve"> part of </w:t>
      </w:r>
      <w:r w:rsidR="00E8614B">
        <w:t xml:space="preserve">a </w:t>
      </w:r>
      <w:r w:rsidR="0074378E">
        <w:t>dutyholder’s</w:t>
      </w:r>
      <w:r w:rsidRPr="00C95D4C">
        <w:t xml:space="preserve"> risk assessment. </w:t>
      </w:r>
      <w:r w:rsidR="00990065">
        <w:t>For those risks that are well</w:t>
      </w:r>
      <w:r w:rsidR="001C44F1">
        <w:t xml:space="preserve">-known and well-understood, there </w:t>
      </w:r>
      <w:r w:rsidR="002C0443">
        <w:t>are</w:t>
      </w:r>
      <w:r w:rsidR="001C44F1">
        <w:t xml:space="preserve"> often </w:t>
      </w:r>
      <w:r w:rsidR="00836ED5">
        <w:t>well-</w:t>
      </w:r>
      <w:r w:rsidR="002D3AA8">
        <w:t xml:space="preserve">established </w:t>
      </w:r>
      <w:r w:rsidR="0090161E">
        <w:t xml:space="preserve">standards for </w:t>
      </w:r>
      <w:r w:rsidR="002D3AA8">
        <w:t>control measures in the for</w:t>
      </w:r>
      <w:r w:rsidR="0073646D">
        <w:t xml:space="preserve">m of relevant good practice (RGP, </w:t>
      </w:r>
      <w:r w:rsidR="009B0959">
        <w:t>refer to</w:t>
      </w:r>
      <w:r w:rsidR="0073646D">
        <w:t xml:space="preserve"> section 5.1.6)</w:t>
      </w:r>
      <w:r w:rsidR="00AB4151">
        <w:t xml:space="preserve"> that the dutyholder may choose to follow</w:t>
      </w:r>
      <w:r w:rsidR="00261886">
        <w:t xml:space="preserve">. </w:t>
      </w:r>
      <w:r w:rsidR="0030013E" w:rsidRPr="0030013E">
        <w:t>For less well-understood and novel hazards/risks (where greater inherent uncertainty is present), and complex high hazard situations</w:t>
      </w:r>
      <w:r w:rsidR="00546108">
        <w:t xml:space="preserve"> that often involve </w:t>
      </w:r>
      <w:r w:rsidR="00B97503">
        <w:t>many</w:t>
      </w:r>
      <w:r w:rsidR="004F2B47">
        <w:t xml:space="preserve"> risks at different stage, often competing </w:t>
      </w:r>
      <w:r w:rsidR="00E40450">
        <w:t xml:space="preserve">and associated </w:t>
      </w:r>
      <w:r w:rsidR="0099240D">
        <w:t>with</w:t>
      </w:r>
      <w:r w:rsidR="009C4EAE">
        <w:t xml:space="preserve"> each other,</w:t>
      </w:r>
      <w:r w:rsidR="004F2B47">
        <w:t xml:space="preserve"> </w:t>
      </w:r>
      <w:r w:rsidR="00732833">
        <w:t xml:space="preserve">the determination of control measures </w:t>
      </w:r>
      <w:r w:rsidR="00C6734E">
        <w:t>should include more thorough and careful</w:t>
      </w:r>
      <w:r w:rsidR="00F412AE">
        <w:t xml:space="preserve"> </w:t>
      </w:r>
      <w:r w:rsidR="00F412AE" w:rsidRPr="00E47259">
        <w:t>consideration</w:t>
      </w:r>
      <w:r w:rsidR="00C6734E" w:rsidRPr="00E47259">
        <w:t>s</w:t>
      </w:r>
      <w:r w:rsidR="00F412AE" w:rsidRPr="00E47259">
        <w:t xml:space="preserve"> </w:t>
      </w:r>
      <w:r w:rsidR="00AB4151">
        <w:t>by</w:t>
      </w:r>
      <w:r w:rsidR="005B5AA1">
        <w:t xml:space="preserve"> </w:t>
      </w:r>
      <w:r w:rsidR="00742867">
        <w:t xml:space="preserve">the </w:t>
      </w:r>
      <w:r w:rsidR="005B5AA1">
        <w:t xml:space="preserve">dutyholder </w:t>
      </w:r>
      <w:r w:rsidR="00F412AE" w:rsidRPr="00E47259">
        <w:t>to ensure</w:t>
      </w:r>
      <w:r w:rsidR="00546108" w:rsidRPr="00E47259">
        <w:t xml:space="preserve"> a balanced approach</w:t>
      </w:r>
      <w:r w:rsidR="007F70BA" w:rsidRPr="00E47259">
        <w:t xml:space="preserve"> </w:t>
      </w:r>
      <w:r w:rsidR="00C6734E" w:rsidRPr="00E47259">
        <w:t xml:space="preserve">to reducing risks to ALARP is achieved </w:t>
      </w:r>
      <w:r w:rsidR="00D74605">
        <w:t>(refer to</w:t>
      </w:r>
      <w:r w:rsidR="007F70BA" w:rsidRPr="00351CA3">
        <w:t xml:space="preserve"> </w:t>
      </w:r>
      <w:r w:rsidR="0009500B" w:rsidRPr="00351CA3">
        <w:t>S</w:t>
      </w:r>
      <w:r w:rsidR="007F70BA" w:rsidRPr="00351CA3">
        <w:t>ection 5.2.</w:t>
      </w:r>
      <w:r w:rsidR="00351CA3" w:rsidRPr="00351CA3">
        <w:t>1</w:t>
      </w:r>
      <w:r w:rsidR="007F70BA" w:rsidRPr="00351CA3">
        <w:t>)</w:t>
      </w:r>
      <w:r w:rsidR="00546108" w:rsidRPr="00351CA3">
        <w:t>.</w:t>
      </w:r>
      <w:r w:rsidR="00FA638A" w:rsidRPr="00FA638A">
        <w:t xml:space="preserve"> </w:t>
      </w:r>
    </w:p>
    <w:p w14:paraId="3083B69E" w14:textId="35DE38E8" w:rsidR="004134AA" w:rsidRDefault="00BC08DA" w:rsidP="004134AA">
      <w:pPr>
        <w:pStyle w:val="F9-Paragraph"/>
      </w:pPr>
      <w:r w:rsidRPr="000A7490">
        <w:t xml:space="preserve">The </w:t>
      </w:r>
      <w:r>
        <w:t xml:space="preserve">legal </w:t>
      </w:r>
      <w:r w:rsidRPr="000A7490">
        <w:t xml:space="preserve">requirement </w:t>
      </w:r>
      <w:r w:rsidR="00742867">
        <w:t xml:space="preserve">for a dutyholder </w:t>
      </w:r>
      <w:r w:rsidRPr="000A7490">
        <w:t xml:space="preserve">to carry out a </w:t>
      </w:r>
      <w:r w:rsidR="00332C4F">
        <w:t xml:space="preserve">suitable and sufficient </w:t>
      </w:r>
      <w:r w:rsidRPr="000A7490">
        <w:t xml:space="preserve">risk assessment is </w:t>
      </w:r>
      <w:r>
        <w:t xml:space="preserve">an </w:t>
      </w:r>
      <w:r w:rsidRPr="000A7490">
        <w:t xml:space="preserve">absolute </w:t>
      </w:r>
      <w:r>
        <w:t xml:space="preserve">duty </w:t>
      </w:r>
      <w:r w:rsidRPr="000A7490">
        <w:t xml:space="preserve">and cannot be argued against on the grounds that the costs </w:t>
      </w:r>
      <w:r>
        <w:t xml:space="preserve">involved </w:t>
      </w:r>
      <w:r w:rsidRPr="000A7490">
        <w:t>are grossly disproportionate</w:t>
      </w:r>
      <w:r w:rsidR="00AB4EB6">
        <w:t>. Nevertheless,</w:t>
      </w:r>
      <w:r w:rsidRPr="000A7490">
        <w:t xml:space="preserve"> the scope, depth and effort put into the risk assessment </w:t>
      </w:r>
      <w:r w:rsidRPr="00C95D4C">
        <w:t>should be proportionate to the level of the intrinsic hazards</w:t>
      </w:r>
      <w:r w:rsidR="00471BAB" w:rsidRPr="00C95D4C">
        <w:t>.</w:t>
      </w:r>
      <w:r w:rsidR="00FA638A" w:rsidRPr="00FA638A">
        <w:t xml:space="preserve"> </w:t>
      </w:r>
      <w:r w:rsidR="00FA638A">
        <w:t xml:space="preserve">Risk assessments </w:t>
      </w:r>
      <w:r w:rsidR="002B7815">
        <w:t>var</w:t>
      </w:r>
      <w:r w:rsidR="00092086">
        <w:t>y</w:t>
      </w:r>
      <w:r w:rsidR="002B7815">
        <w:t xml:space="preserve"> in</w:t>
      </w:r>
      <w:r w:rsidR="00FA638A">
        <w:t xml:space="preserve"> </w:t>
      </w:r>
      <w:r w:rsidR="00243DF3">
        <w:t xml:space="preserve">form, </w:t>
      </w:r>
      <w:r w:rsidR="00FA638A">
        <w:t>size</w:t>
      </w:r>
      <w:r w:rsidR="00243DF3">
        <w:t>,</w:t>
      </w:r>
      <w:r w:rsidR="00FA638A">
        <w:t xml:space="preserve"> and complexity</w:t>
      </w:r>
      <w:r w:rsidR="00D87DAB">
        <w:t>. T</w:t>
      </w:r>
      <w:r w:rsidR="00FA638A">
        <w:t xml:space="preserve">hey can be carried out by individuals as well as </w:t>
      </w:r>
      <w:r w:rsidR="00C321F3">
        <w:t>teams and</w:t>
      </w:r>
      <w:r w:rsidR="00FA638A">
        <w:t xml:space="preserve"> range from qualitative to quantitative. </w:t>
      </w:r>
      <w:r w:rsidR="00FA638A" w:rsidRPr="00FD7A46">
        <w:t xml:space="preserve">There is no </w:t>
      </w:r>
      <w:r w:rsidR="000F17BB">
        <w:t>“</w:t>
      </w:r>
      <w:r w:rsidR="006D30F3">
        <w:t>one-size-fits-all</w:t>
      </w:r>
      <w:r w:rsidR="000F17BB">
        <w:t>”</w:t>
      </w:r>
      <w:r w:rsidR="00FA638A">
        <w:t xml:space="preserve"> approach to risk assessment</w:t>
      </w:r>
      <w:r w:rsidR="00FA638A" w:rsidRPr="00FD7A46">
        <w:t>.</w:t>
      </w:r>
      <w:r w:rsidR="00FA638A">
        <w:t xml:space="preserve"> </w:t>
      </w:r>
      <w:r w:rsidR="009A4538">
        <w:t xml:space="preserve">It is important to note that </w:t>
      </w:r>
      <w:r w:rsidR="0084045D">
        <w:t xml:space="preserve">a </w:t>
      </w:r>
      <w:r w:rsidR="00AE4D93">
        <w:t xml:space="preserve">written </w:t>
      </w:r>
      <w:r w:rsidR="0084045D">
        <w:t xml:space="preserve">risk assessment </w:t>
      </w:r>
      <w:r w:rsidR="00742867">
        <w:t xml:space="preserve">by a dutyholder </w:t>
      </w:r>
      <w:r w:rsidR="0084045D">
        <w:t>in itself does not necessar</w:t>
      </w:r>
      <w:r w:rsidR="00332C4F">
        <w:t xml:space="preserve">ily </w:t>
      </w:r>
      <w:r w:rsidR="00703FEF">
        <w:t>mean it is suitable and sufficient</w:t>
      </w:r>
      <w:r w:rsidR="00AE4D93">
        <w:t>,</w:t>
      </w:r>
      <w:r w:rsidR="006B6E65">
        <w:t xml:space="preserve"> as it was only used to</w:t>
      </w:r>
      <w:r w:rsidR="00AE4D93">
        <w:t xml:space="preserve"> record and eviden</w:t>
      </w:r>
      <w:r w:rsidR="00C55F83">
        <w:t>ce</w:t>
      </w:r>
      <w:r w:rsidR="00AE4D93">
        <w:t xml:space="preserve"> the decision-making process</w:t>
      </w:r>
      <w:r w:rsidR="007D7134">
        <w:t xml:space="preserve"> to understand the risks</w:t>
      </w:r>
      <w:r w:rsidR="00703FEF">
        <w:t xml:space="preserve">. </w:t>
      </w:r>
    </w:p>
    <w:p w14:paraId="59723CAA" w14:textId="082C35D5" w:rsidR="00EA0F4F" w:rsidRDefault="00703FEF" w:rsidP="004134AA">
      <w:pPr>
        <w:pStyle w:val="F9-Paragraph"/>
      </w:pPr>
      <w:r>
        <w:t>R</w:t>
      </w:r>
      <w:r w:rsidR="007F70BA">
        <w:t>isks</w:t>
      </w:r>
      <w:r w:rsidR="003D399F">
        <w:t xml:space="preserve"> </w:t>
      </w:r>
      <w:r w:rsidR="009A4538">
        <w:t>should be</w:t>
      </w:r>
      <w:r w:rsidR="003D399F">
        <w:t xml:space="preserve"> kept under review and reduced further if </w:t>
      </w:r>
      <w:r w:rsidR="002266D7" w:rsidRPr="002266D7">
        <w:t>it is reasonably practicable for the dutyholder to do so</w:t>
      </w:r>
      <w:r w:rsidR="00194624">
        <w:t>, because t</w:t>
      </w:r>
      <w:r w:rsidR="00EA0F4F">
        <w:t xml:space="preserve">he duties to carry out risk assessment and reduce risk to ALARP are </w:t>
      </w:r>
      <w:r w:rsidR="00913064">
        <w:t>ongoing</w:t>
      </w:r>
      <w:r w:rsidR="00EA0F4F">
        <w:t xml:space="preserve"> duties. This means that over a period of time, changes in circumstances may have led to change</w:t>
      </w:r>
      <w:r w:rsidR="0084671B">
        <w:t>s</w:t>
      </w:r>
      <w:r w:rsidR="00EA0F4F">
        <w:t xml:space="preserve"> to risks, </w:t>
      </w:r>
      <w:r w:rsidR="0013509A">
        <w:t xml:space="preserve">their </w:t>
      </w:r>
      <w:r w:rsidR="00EA0F4F">
        <w:t xml:space="preserve">tolerability, as well as </w:t>
      </w:r>
      <w:r w:rsidR="0013509A">
        <w:t xml:space="preserve">the </w:t>
      </w:r>
      <w:r w:rsidR="00EA0F4F">
        <w:t>measures taken to reduce the risk</w:t>
      </w:r>
      <w:r w:rsidR="0013509A">
        <w:t>s</w:t>
      </w:r>
      <w:r w:rsidR="00EA0F4F">
        <w:t xml:space="preserve"> to ALARP. It is </w:t>
      </w:r>
      <w:r w:rsidR="001244E0">
        <w:t xml:space="preserve">therefore </w:t>
      </w:r>
      <w:r w:rsidR="00EA0F4F">
        <w:t xml:space="preserve">prudent </w:t>
      </w:r>
      <w:r w:rsidR="0057566C">
        <w:t xml:space="preserve">for the dutyholder </w:t>
      </w:r>
      <w:r w:rsidR="00EA0F4F">
        <w:t>to revisit the risk assessment and</w:t>
      </w:r>
      <w:r w:rsidR="002C6D7D">
        <w:t xml:space="preserve"> </w:t>
      </w:r>
      <w:r w:rsidR="00E4636E">
        <w:t>control</w:t>
      </w:r>
      <w:r w:rsidR="002C6D7D">
        <w:t xml:space="preserve"> measures </w:t>
      </w:r>
      <w:r w:rsidR="00EA0F4F">
        <w:t>periodically</w:t>
      </w:r>
      <w:r w:rsidR="00DC26D9">
        <w:t>,</w:t>
      </w:r>
      <w:r w:rsidR="00EA0F4F">
        <w:t xml:space="preserve"> to ensure they are still suitable and sufficient</w:t>
      </w:r>
      <w:r w:rsidR="00284B03">
        <w:t xml:space="preserve">. </w:t>
      </w:r>
    </w:p>
    <w:p w14:paraId="64DB9D22" w14:textId="7A99806D" w:rsidR="00790155" w:rsidRDefault="009D3A36" w:rsidP="00D86D52">
      <w:pPr>
        <w:pStyle w:val="Heading3"/>
      </w:pPr>
      <w:r>
        <w:lastRenderedPageBreak/>
        <w:t>5.1.6.</w:t>
      </w:r>
      <w:r>
        <w:tab/>
      </w:r>
      <w:r w:rsidR="0027536A">
        <w:t>R</w:t>
      </w:r>
      <w:r w:rsidR="00DF1291">
        <w:t>elevant good practice (</w:t>
      </w:r>
      <w:r w:rsidR="00962D37">
        <w:t>RGP</w:t>
      </w:r>
      <w:r w:rsidR="00DF1291">
        <w:t>)</w:t>
      </w:r>
    </w:p>
    <w:p w14:paraId="343694D0" w14:textId="6DE0DFD6" w:rsidR="009A434C" w:rsidRDefault="009D3A36" w:rsidP="009A434C">
      <w:pPr>
        <w:pStyle w:val="Heading4"/>
      </w:pPr>
      <w:r>
        <w:t>5.1.6.1.</w:t>
      </w:r>
      <w:r>
        <w:tab/>
      </w:r>
      <w:r w:rsidR="009A434C">
        <w:t>The concept of RGP</w:t>
      </w:r>
    </w:p>
    <w:p w14:paraId="513D7E7F" w14:textId="35FCCDCA" w:rsidR="00DD3989" w:rsidRDefault="00DD3989" w:rsidP="00DD3989">
      <w:pPr>
        <w:pStyle w:val="F9-Paragraph"/>
      </w:pPr>
      <w:r>
        <w:t>In many commonly-encountered situations it is well understood what measures are needed to reduce a risk to ALARP and it is unnecessary to revert to a detailed, first-principles analysis. This is where the concept of RGP is useful. In short</w:t>
      </w:r>
      <w:r w:rsidR="00F6015C">
        <w:t>,</w:t>
      </w:r>
      <w:r>
        <w:t xml:space="preserve"> the RGP in a particular situation is the collection of controls that, if implemented, would usually lead to the risk being </w:t>
      </w:r>
      <w:r w:rsidR="006C44E4">
        <w:t>reduced to</w:t>
      </w:r>
      <w:r>
        <w:t xml:space="preserve"> ALARP based on the experience of similar circumstances.</w:t>
      </w:r>
    </w:p>
    <w:p w14:paraId="0AC54B1D" w14:textId="70ED1B61" w:rsidR="00F46E3F" w:rsidRDefault="00DD3989" w:rsidP="00DD3989">
      <w:pPr>
        <w:pStyle w:val="F9-Paragraph"/>
      </w:pPr>
      <w:r>
        <w:t xml:space="preserve">For the purposes of this TAG, the legal standard is the requirement to reduce the risk </w:t>
      </w:r>
      <w:r w:rsidR="00004D99">
        <w:t xml:space="preserve">to </w:t>
      </w:r>
      <w:r>
        <w:t>ALARP</w:t>
      </w:r>
      <w:r w:rsidR="00004D99">
        <w:t>.</w:t>
      </w:r>
      <w:r>
        <w:t xml:space="preserve"> </w:t>
      </w:r>
      <w:r w:rsidR="00004D99">
        <w:t>I</w:t>
      </w:r>
      <w:r>
        <w:t xml:space="preserve">t is worth noting that the concept of RGP is also used to refer to other goal-setting requirements such as ‘suitable and sufficient’ and ‘adequate’ as used in </w:t>
      </w:r>
      <w:r w:rsidR="00682F44">
        <w:t xml:space="preserve">relevant health and safety law and </w:t>
      </w:r>
      <w:r>
        <w:t>nuclear site licence conditions</w:t>
      </w:r>
      <w:r w:rsidR="00004D99">
        <w:t xml:space="preserve">. RGP is also applied within </w:t>
      </w:r>
      <w:r>
        <w:t xml:space="preserve">other safety and non-safety </w:t>
      </w:r>
      <w:r w:rsidR="00264349">
        <w:t xml:space="preserve">legal </w:t>
      </w:r>
      <w:r>
        <w:t>obligations such as goal-setting</w:t>
      </w:r>
      <w:r w:rsidR="00BB769F">
        <w:t xml:space="preserve"> safeguards and</w:t>
      </w:r>
      <w:r>
        <w:t xml:space="preserve"> security requirements. </w:t>
      </w:r>
    </w:p>
    <w:p w14:paraId="7A7A4068" w14:textId="2181119D" w:rsidR="006617E8" w:rsidRDefault="00DD3989" w:rsidP="00DD3989">
      <w:pPr>
        <w:pStyle w:val="F9-Paragraph"/>
      </w:pPr>
      <w:r>
        <w:t>Whenever RGP is being used</w:t>
      </w:r>
      <w:r w:rsidR="004F38E9">
        <w:t>,</w:t>
      </w:r>
      <w:r>
        <w:t xml:space="preserve"> it must be clear what the underlying goal-setting requirement is to which the RGP is being applied. The rest of this section focuses on the use of RGP for </w:t>
      </w:r>
      <w:r w:rsidR="004830CE">
        <w:t xml:space="preserve">demonstration risks are reduced to </w:t>
      </w:r>
      <w:r>
        <w:t xml:space="preserve">ALARP. </w:t>
      </w:r>
      <w:r w:rsidR="00254067">
        <w:t xml:space="preserve"> </w:t>
      </w:r>
    </w:p>
    <w:p w14:paraId="482D01F1" w14:textId="69366C57" w:rsidR="00C91701" w:rsidRDefault="009D3A36" w:rsidP="00C91701">
      <w:pPr>
        <w:pStyle w:val="Heading4"/>
      </w:pPr>
      <w:r>
        <w:t>5.1.6.2.</w:t>
      </w:r>
      <w:r>
        <w:tab/>
      </w:r>
      <w:r w:rsidR="00C91701">
        <w:t>Relevant and good-enough</w:t>
      </w:r>
    </w:p>
    <w:p w14:paraId="21E115BE" w14:textId="420D1B50" w:rsidR="007939E4" w:rsidRDefault="007939E4" w:rsidP="007939E4">
      <w:pPr>
        <w:pStyle w:val="F9-Paragraph"/>
      </w:pPr>
      <w:r>
        <w:t xml:space="preserve">RGP </w:t>
      </w:r>
      <w:r w:rsidR="00651859">
        <w:t>refers</w:t>
      </w:r>
      <w:r>
        <w:t xml:space="preserve"> to the body of ‘practice’ that is ‘good’ and ‘relevant’. </w:t>
      </w:r>
      <w:r w:rsidR="009B0959">
        <w:br/>
      </w:r>
      <w:r>
        <w:t>The meaning of each of these three words is important:</w:t>
      </w:r>
    </w:p>
    <w:p w14:paraId="1A47128C" w14:textId="7F4AB206" w:rsidR="00534F84" w:rsidRDefault="007939E4" w:rsidP="007146B9">
      <w:pPr>
        <w:pStyle w:val="Bulletlist1"/>
      </w:pPr>
      <w:r>
        <w:t xml:space="preserve">A ‘practice’ can refer to a wide range of safety measures, controls and activities relating to </w:t>
      </w:r>
      <w:r w:rsidR="00FF52DF">
        <w:t xml:space="preserve">reducing risks to </w:t>
      </w:r>
      <w:r>
        <w:t>health and safety. This can include</w:t>
      </w:r>
      <w:r w:rsidR="00C6617F">
        <w:t>:</w:t>
      </w:r>
      <w:r>
        <w:t xml:space="preserve"> </w:t>
      </w:r>
    </w:p>
    <w:p w14:paraId="3579D0A0" w14:textId="67626F3A" w:rsidR="00534F84" w:rsidRDefault="007939E4" w:rsidP="00534F84">
      <w:pPr>
        <w:pStyle w:val="Bulletlist2"/>
        <w:ind w:left="1843"/>
      </w:pPr>
      <w:r>
        <w:t>physical measures</w:t>
      </w:r>
      <w:r w:rsidR="00534F84">
        <w:t>,</w:t>
      </w:r>
      <w:r>
        <w:t xml:space="preserve"> </w:t>
      </w:r>
      <w:r w:rsidR="00C47BDD">
        <w:t xml:space="preserve">for example </w:t>
      </w:r>
      <w:r>
        <w:t xml:space="preserve">the design of plant and equipment, the type and number safety mechanisms, </w:t>
      </w:r>
      <w:r w:rsidR="00144B2A">
        <w:t>the</w:t>
      </w:r>
      <w:r>
        <w:t xml:space="preserve"> mitigating and emergency measures</w:t>
      </w:r>
      <w:r w:rsidR="00C47BDD">
        <w:t>,</w:t>
      </w:r>
      <w:r>
        <w:t xml:space="preserve"> </w:t>
      </w:r>
      <w:r w:rsidR="00DB16CB">
        <w:t>and</w:t>
      </w:r>
      <w:r w:rsidR="00534F84">
        <w:t xml:space="preserve"> </w:t>
      </w:r>
      <w:r>
        <w:t>the use of particular items of personal protective equipment</w:t>
      </w:r>
      <w:r w:rsidR="00004D99">
        <w:t>;</w:t>
      </w:r>
      <w:r>
        <w:t xml:space="preserve"> </w:t>
      </w:r>
    </w:p>
    <w:p w14:paraId="19E3669D" w14:textId="4EFFD6B4" w:rsidR="00534F84" w:rsidRDefault="007939E4" w:rsidP="00534F84">
      <w:pPr>
        <w:pStyle w:val="Bulletlist2"/>
        <w:ind w:left="1843"/>
      </w:pPr>
      <w:r>
        <w:t>administrative aspects, such as</w:t>
      </w:r>
      <w:r w:rsidR="005A2B8A">
        <w:t xml:space="preserve"> </w:t>
      </w:r>
      <w:r>
        <w:t>training practices,</w:t>
      </w:r>
      <w:r w:rsidR="005A2B8A">
        <w:t xml:space="preserve"> </w:t>
      </w:r>
      <w:r>
        <w:t>maintenance</w:t>
      </w:r>
      <w:r w:rsidR="00EF07E0">
        <w:t>/</w:t>
      </w:r>
      <w:r>
        <w:t>inspection</w:t>
      </w:r>
      <w:r w:rsidR="00EF07E0">
        <w:t>/</w:t>
      </w:r>
      <w:r>
        <w:t>testing</w:t>
      </w:r>
      <w:r w:rsidR="00EF07E0">
        <w:t xml:space="preserve"> schedules</w:t>
      </w:r>
      <w:r>
        <w:t>, decision-making processes</w:t>
      </w:r>
      <w:r w:rsidR="00F4453B">
        <w:t>,</w:t>
      </w:r>
      <w:r>
        <w:t xml:space="preserve"> operating instructions</w:t>
      </w:r>
      <w:r w:rsidR="00004D99">
        <w:t>;</w:t>
      </w:r>
    </w:p>
    <w:p w14:paraId="530BDB36" w14:textId="6D5C043E" w:rsidR="007939E4" w:rsidRDefault="00C6617F" w:rsidP="00534F84">
      <w:pPr>
        <w:pStyle w:val="Bulletlist2"/>
        <w:ind w:left="1843"/>
      </w:pPr>
      <w:r>
        <w:t xml:space="preserve">any other concept such as </w:t>
      </w:r>
      <w:r w:rsidR="007939E4">
        <w:t>fault, hazard or risk analysis methodologies, design principles, safety policies, risk targets</w:t>
      </w:r>
      <w:r>
        <w:t xml:space="preserve"> etc., </w:t>
      </w:r>
      <w:r w:rsidR="007939E4">
        <w:t xml:space="preserve">providing they are relevant to </w:t>
      </w:r>
      <w:r w:rsidR="00FF52DF">
        <w:t xml:space="preserve">reducing </w:t>
      </w:r>
      <w:r>
        <w:t xml:space="preserve">risks to </w:t>
      </w:r>
      <w:r w:rsidR="007939E4">
        <w:t>health and safety.</w:t>
      </w:r>
    </w:p>
    <w:p w14:paraId="458CB51E" w14:textId="77777777" w:rsidR="009B0959" w:rsidRDefault="009B0959" w:rsidP="0025188F">
      <w:pPr>
        <w:pStyle w:val="Bulletlist1"/>
        <w:sectPr w:rsidR="009B0959" w:rsidSect="007E1540">
          <w:pgSz w:w="11906" w:h="16838" w:code="9"/>
          <w:pgMar w:top="1440" w:right="1440" w:bottom="1440" w:left="1440" w:header="397" w:footer="397" w:gutter="0"/>
          <w:cols w:space="312"/>
          <w:docGrid w:linePitch="360"/>
        </w:sectPr>
      </w:pPr>
    </w:p>
    <w:p w14:paraId="08E58182" w14:textId="7F3F5F94" w:rsidR="007939E4" w:rsidRDefault="007939E4" w:rsidP="0025188F">
      <w:pPr>
        <w:pStyle w:val="Bulletlist1"/>
      </w:pPr>
      <w:r>
        <w:lastRenderedPageBreak/>
        <w:t xml:space="preserve">The word ‘good’ </w:t>
      </w:r>
      <w:r w:rsidR="00CB0B83">
        <w:t>refers</w:t>
      </w:r>
      <w:r>
        <w:t xml:space="preserve"> to the need for the practice to be </w:t>
      </w:r>
      <w:r w:rsidR="00174CE7">
        <w:t>‘</w:t>
      </w:r>
      <w:r>
        <w:t>good</w:t>
      </w:r>
      <w:r w:rsidR="00174CE7">
        <w:t>-</w:t>
      </w:r>
      <w:r>
        <w:t>enough</w:t>
      </w:r>
      <w:r w:rsidR="00174CE7">
        <w:t>’</w:t>
      </w:r>
      <w:r>
        <w:t xml:space="preserve"> such that, if used, </w:t>
      </w:r>
      <w:r w:rsidR="00174CE7">
        <w:t>the risk will be reduced to</w:t>
      </w:r>
      <w:r>
        <w:t xml:space="preserve"> ALARP. It is important to note that ‘good’ is not the same as ‘best’. Best practice </w:t>
      </w:r>
      <w:r w:rsidR="0025188F">
        <w:t>may</w:t>
      </w:r>
      <w:r>
        <w:t xml:space="preserve"> represent the very highest standard of control, but is beyond what the law requires and is not something that </w:t>
      </w:r>
      <w:r w:rsidR="00346D02">
        <w:t>regulators</w:t>
      </w:r>
      <w:r w:rsidR="00885F6B">
        <w:t xml:space="preserve"> would normally consider in their judgements</w:t>
      </w:r>
      <w:r>
        <w:t xml:space="preserve">. </w:t>
      </w:r>
    </w:p>
    <w:p w14:paraId="61CBAE89" w14:textId="7C10693C" w:rsidR="00D14E8D" w:rsidRDefault="007939E4" w:rsidP="00294B42">
      <w:pPr>
        <w:pStyle w:val="Bulletlist1"/>
      </w:pPr>
      <w:r>
        <w:t xml:space="preserve">The word ‘relevant’ is crucial. There are a </w:t>
      </w:r>
      <w:r w:rsidR="00184E7D">
        <w:t>large</w:t>
      </w:r>
      <w:r>
        <w:t xml:space="preserve"> number of potential practices</w:t>
      </w:r>
      <w:r w:rsidR="00303F1A">
        <w:t>,</w:t>
      </w:r>
      <w:r>
        <w:t xml:space="preserve"> but it is only those good practices that are relevant to the circumstances that matter when </w:t>
      </w:r>
      <w:r w:rsidR="00A75B53">
        <w:t>applied</w:t>
      </w:r>
      <w:r>
        <w:t xml:space="preserve"> to a specific situation. This requires careful consideration of the source of the good practice</w:t>
      </w:r>
      <w:r w:rsidR="0097668C">
        <w:t xml:space="preserve"> </w:t>
      </w:r>
      <w:r w:rsidR="00D74605">
        <w:t>(refer to</w:t>
      </w:r>
      <w:r w:rsidR="0097668C">
        <w:t xml:space="preserve"> Section 5.1.6.5)</w:t>
      </w:r>
      <w:r>
        <w:t xml:space="preserve">, the underlying legal requirement to reduce risk </w:t>
      </w:r>
      <w:r w:rsidR="00A75B53">
        <w:t xml:space="preserve">to </w:t>
      </w:r>
      <w:r>
        <w:t>ALARP, the specific circumstances, any constraints (including those coming from the need to meet other legal requirements), cross-discipline considerations and the overall outcome.</w:t>
      </w:r>
      <w:r w:rsidR="00A75B53">
        <w:t xml:space="preserve"> </w:t>
      </w:r>
    </w:p>
    <w:p w14:paraId="41320A46" w14:textId="6C7088E7" w:rsidR="00D14E8D" w:rsidRDefault="009D3A36" w:rsidP="00294B42">
      <w:pPr>
        <w:pStyle w:val="Heading4"/>
      </w:pPr>
      <w:r>
        <w:t>5.1.6.3.</w:t>
      </w:r>
      <w:r>
        <w:tab/>
      </w:r>
      <w:r w:rsidR="00D14E8D">
        <w:t xml:space="preserve">How and where </w:t>
      </w:r>
      <w:r w:rsidR="00294B42">
        <w:t xml:space="preserve">a </w:t>
      </w:r>
      <w:r w:rsidR="00D14E8D">
        <w:t>RGP is used</w:t>
      </w:r>
    </w:p>
    <w:p w14:paraId="01BD1704" w14:textId="47DC8B76" w:rsidR="00D14E8D" w:rsidRDefault="00EF3EE3" w:rsidP="002648CE">
      <w:pPr>
        <w:pStyle w:val="F9-Paragraph"/>
      </w:pPr>
      <w:r w:rsidRPr="00EF3EE3">
        <w:t xml:space="preserve">RGP is a regulatory concept </w:t>
      </w:r>
      <w:r>
        <w:t>used</w:t>
      </w:r>
      <w:r w:rsidRPr="00EF3EE3">
        <w:t xml:space="preserve"> to reduce the time and effort in commonly-encountered circumstances where there is well-established good practice and where a detailed, first-principles analysis of ALARP is not needed. This </w:t>
      </w:r>
      <w:r w:rsidR="00E36ECC">
        <w:t>includes</w:t>
      </w:r>
      <w:r w:rsidRPr="00EF3EE3">
        <w:t xml:space="preserve"> many aspects of site health and safety, fire safety, and </w:t>
      </w:r>
      <w:r w:rsidR="00E36ECC">
        <w:t>the</w:t>
      </w:r>
      <w:r w:rsidRPr="00EF3EE3">
        <w:t xml:space="preserve"> common aspects of nuclear and radiological safety</w:t>
      </w:r>
      <w:r>
        <w:t>.</w:t>
      </w:r>
      <w:r w:rsidR="009F50E5">
        <w:t xml:space="preserve"> </w:t>
      </w:r>
      <w:r w:rsidR="00D14E8D">
        <w:t xml:space="preserve">RGP has no legal basis and is not </w:t>
      </w:r>
      <w:r w:rsidR="007A5591">
        <w:t>referenced</w:t>
      </w:r>
      <w:r w:rsidR="00D14E8D">
        <w:t xml:space="preserve"> in legislation. Therefore, although the regulator’s view of what constitutes RGP is likely to be persuasive in </w:t>
      </w:r>
      <w:r w:rsidR="00D76391">
        <w:t xml:space="preserve">a </w:t>
      </w:r>
      <w:r w:rsidR="00D14E8D">
        <w:t xml:space="preserve">court </w:t>
      </w:r>
      <w:r w:rsidR="00D76391">
        <w:t>case,</w:t>
      </w:r>
      <w:r w:rsidR="00D14E8D">
        <w:t xml:space="preserve"> there is no requirement in law for a dutyholder to apply RGP</w:t>
      </w:r>
      <w:r w:rsidR="002648CE">
        <w:t xml:space="preserve"> </w:t>
      </w:r>
      <w:r w:rsidR="00F06A67">
        <w:t>to a particular situation</w:t>
      </w:r>
      <w:r w:rsidR="003E4064">
        <w:t>. D</w:t>
      </w:r>
      <w:r w:rsidR="002648CE">
        <w:t xml:space="preserve">utyholders </w:t>
      </w:r>
      <w:r w:rsidR="0062642C">
        <w:t>are free to choose</w:t>
      </w:r>
      <w:r w:rsidR="00D14E8D">
        <w:t xml:space="preserve"> an alternative approach </w:t>
      </w:r>
      <w:r w:rsidR="0062642C">
        <w:t xml:space="preserve">to RGP, </w:t>
      </w:r>
      <w:r w:rsidR="00D14E8D">
        <w:t xml:space="preserve">providing </w:t>
      </w:r>
      <w:r w:rsidR="000202D5">
        <w:t>they have satisfied the legal requirement</w:t>
      </w:r>
      <w:r w:rsidR="00F06A67">
        <w:t xml:space="preserve"> of reducing the risk to ALARP</w:t>
      </w:r>
      <w:r w:rsidR="002648CE">
        <w:t>.</w:t>
      </w:r>
    </w:p>
    <w:p w14:paraId="0B0F4C7F" w14:textId="11178057" w:rsidR="00D14E8D" w:rsidRDefault="00D14E8D" w:rsidP="00FE73FC">
      <w:pPr>
        <w:pStyle w:val="F9-Paragraph"/>
      </w:pPr>
      <w:r>
        <w:t>The concept of RGP is less helpful for novel or unusual circumstances</w:t>
      </w:r>
      <w:r w:rsidR="005A40AF">
        <w:t>,</w:t>
      </w:r>
      <w:r>
        <w:t xml:space="preserve"> because typical standards and practices are often not fully relevant to the situation and there may</w:t>
      </w:r>
      <w:r w:rsidR="00934B61">
        <w:t xml:space="preserve"> be</w:t>
      </w:r>
      <w:r>
        <w:t xml:space="preserve"> little to no experience from other similar situations. In these cases, RGP is only a starting point for a more detailed demonstration </w:t>
      </w:r>
      <w:r w:rsidR="00A83557">
        <w:t xml:space="preserve">by the dutyholder </w:t>
      </w:r>
      <w:r>
        <w:t xml:space="preserve">against the legal requirement to </w:t>
      </w:r>
      <w:r w:rsidR="00161FCA">
        <w:t>reduce risks to</w:t>
      </w:r>
      <w:r>
        <w:t xml:space="preserve"> ALARP. Whilst any available RGP should still be used as a starting point, the dutyholder may be able to demonstrate an ALARP approach that does not meet all aspects of the usual </w:t>
      </w:r>
      <w:r w:rsidR="0094362A">
        <w:t xml:space="preserve">RGP </w:t>
      </w:r>
      <w:r>
        <w:t xml:space="preserve">standard in the specific circumstances. ONR’s Tolerability of Risk </w:t>
      </w:r>
      <w:r w:rsidR="00C60EDE">
        <w:t xml:space="preserve">(TOR) </w:t>
      </w:r>
      <w:r>
        <w:t xml:space="preserve">policy </w:t>
      </w:r>
      <w:r w:rsidR="00D74605">
        <w:t>(refer to</w:t>
      </w:r>
      <w:r>
        <w:t xml:space="preserve"> Section</w:t>
      </w:r>
      <w:r w:rsidR="00A12E1A">
        <w:t xml:space="preserve"> 5.3.1</w:t>
      </w:r>
      <w:r>
        <w:t>) also expect</w:t>
      </w:r>
      <w:r w:rsidR="0094362A">
        <w:t>s</w:t>
      </w:r>
      <w:r>
        <w:t xml:space="preserve"> </w:t>
      </w:r>
      <w:r w:rsidR="000B4DD2">
        <w:t xml:space="preserve">dutyholders to undertake </w:t>
      </w:r>
      <w:r w:rsidR="0094362A">
        <w:t xml:space="preserve">a </w:t>
      </w:r>
      <w:r>
        <w:t>more detailed exploration of ALARP</w:t>
      </w:r>
      <w:r w:rsidR="008169B9">
        <w:t xml:space="preserve"> justifications</w:t>
      </w:r>
      <w:r>
        <w:t>, beyond RGP, in situations</w:t>
      </w:r>
      <w:r w:rsidR="00BF3268">
        <w:t xml:space="preserve"> that ONR </w:t>
      </w:r>
      <w:r w:rsidR="00004D99">
        <w:t>judge to be</w:t>
      </w:r>
      <w:r w:rsidR="00BF3268">
        <w:t xml:space="preserve"> higher in risk, </w:t>
      </w:r>
      <w:r>
        <w:t xml:space="preserve">especially where the underlying risks are </w:t>
      </w:r>
      <w:r w:rsidR="00BF3268">
        <w:t>at the ‘</w:t>
      </w:r>
      <w:r>
        <w:t>intolerable</w:t>
      </w:r>
      <w:r w:rsidR="00BF3268">
        <w:t xml:space="preserve">’ region </w:t>
      </w:r>
      <w:r w:rsidR="00A82166">
        <w:t>in</w:t>
      </w:r>
      <w:r w:rsidR="00BF3268">
        <w:t xml:space="preserve"> </w:t>
      </w:r>
      <w:r w:rsidR="00A82166">
        <w:t xml:space="preserve">the </w:t>
      </w:r>
      <w:r w:rsidR="00BF3268">
        <w:t>TOR</w:t>
      </w:r>
      <w:r w:rsidR="00A82166">
        <w:t xml:space="preserve"> framework</w:t>
      </w:r>
      <w:r>
        <w:t>.</w:t>
      </w:r>
    </w:p>
    <w:p w14:paraId="1AFA9D9F" w14:textId="77777777" w:rsidR="009B0959" w:rsidRDefault="009B0959" w:rsidP="00BF3268">
      <w:pPr>
        <w:pStyle w:val="Heading4"/>
        <w:sectPr w:rsidR="009B0959" w:rsidSect="007E1540">
          <w:pgSz w:w="11906" w:h="16838" w:code="9"/>
          <w:pgMar w:top="1440" w:right="1440" w:bottom="1440" w:left="1440" w:header="397" w:footer="397" w:gutter="0"/>
          <w:cols w:space="312"/>
          <w:docGrid w:linePitch="360"/>
        </w:sectPr>
      </w:pPr>
    </w:p>
    <w:p w14:paraId="5C2F7550" w14:textId="1DF3E7F0" w:rsidR="00D14E8D" w:rsidRDefault="009D3A36" w:rsidP="00BF3268">
      <w:pPr>
        <w:pStyle w:val="Heading4"/>
      </w:pPr>
      <w:r>
        <w:lastRenderedPageBreak/>
        <w:t>5.1.6.4.</w:t>
      </w:r>
      <w:r>
        <w:tab/>
      </w:r>
      <w:r w:rsidR="00D14E8D">
        <w:t>Determining RGP</w:t>
      </w:r>
    </w:p>
    <w:p w14:paraId="5CE43951" w14:textId="03B147E2" w:rsidR="00D14E8D" w:rsidRDefault="00FA4FE3" w:rsidP="00FA4FE3">
      <w:pPr>
        <w:pStyle w:val="F9-Paragraph"/>
      </w:pPr>
      <w:r w:rsidRPr="0031797C">
        <w:t xml:space="preserve">It is usually </w:t>
      </w:r>
      <w:r w:rsidR="00004D99">
        <w:t>the role of</w:t>
      </w:r>
      <w:r w:rsidRPr="0031797C">
        <w:t xml:space="preserve"> ONR, or other relevant regulator</w:t>
      </w:r>
      <w:r w:rsidR="00282C72">
        <w:t>s</w:t>
      </w:r>
      <w:r w:rsidRPr="0031797C">
        <w:t xml:space="preserve">, to determine what is considered </w:t>
      </w:r>
      <w:r w:rsidR="00994012">
        <w:t>as</w:t>
      </w:r>
      <w:r w:rsidRPr="0031797C">
        <w:t xml:space="preserve"> RGP </w:t>
      </w:r>
      <w:r w:rsidR="00994012">
        <w:t>in</w:t>
      </w:r>
      <w:r w:rsidRPr="0031797C">
        <w:t xml:space="preserve"> a particular situation</w:t>
      </w:r>
      <w:r w:rsidR="009D5173">
        <w:t>,</w:t>
      </w:r>
      <w:r w:rsidRPr="0031797C">
        <w:t xml:space="preserve"> and this will inform the regulatory decision. In the event that a case is taken to court</w:t>
      </w:r>
      <w:r w:rsidR="00222044">
        <w:t>,</w:t>
      </w:r>
      <w:r w:rsidRPr="0031797C">
        <w:t xml:space="preserve"> or subject to </w:t>
      </w:r>
      <w:r>
        <w:t xml:space="preserve">a </w:t>
      </w:r>
      <w:r w:rsidRPr="0031797C">
        <w:t>judicial review, the</w:t>
      </w:r>
      <w:r w:rsidR="0083607C">
        <w:t xml:space="preserve"> decision on</w:t>
      </w:r>
      <w:r w:rsidRPr="0031797C">
        <w:t xml:space="preserve"> whether or not the dutyholder had reduced a risk to ALARP would be determined, conclusively, by the court. This decision would either underpin the RGP or show that it hadn’t aligned to the legal standard and therefore had not been correctly determined. </w:t>
      </w:r>
    </w:p>
    <w:p w14:paraId="1D57C85E" w14:textId="683ADC7D" w:rsidR="00D14E8D" w:rsidRDefault="00D14E8D" w:rsidP="00E46D01">
      <w:pPr>
        <w:pStyle w:val="F9-Paragraph"/>
      </w:pPr>
      <w:r>
        <w:t xml:space="preserve">In practice, </w:t>
      </w:r>
      <w:r w:rsidR="00F60CA8">
        <w:t xml:space="preserve">as </w:t>
      </w:r>
      <w:r>
        <w:t xml:space="preserve">part of demonstrating </w:t>
      </w:r>
      <w:r w:rsidR="00A324D2">
        <w:t xml:space="preserve">a risk has been reduced to </w:t>
      </w:r>
      <w:r>
        <w:t>ALARP, a</w:t>
      </w:r>
      <w:r w:rsidR="00AB18DA">
        <w:t xml:space="preserve"> </w:t>
      </w:r>
      <w:r>
        <w:t xml:space="preserve">dutyholder </w:t>
      </w:r>
      <w:r w:rsidR="00A324D2">
        <w:t>may</w:t>
      </w:r>
      <w:r>
        <w:t xml:space="preserve"> wish to consider and judge what itself considers to be RGP in order to be able to make an argument for the reasonable practicability of the approach it has taken. </w:t>
      </w:r>
      <w:r w:rsidR="00BC4F72">
        <w:t>ONR expects t</w:t>
      </w:r>
      <w:r>
        <w:t xml:space="preserve">he arguments and evidence supporting </w:t>
      </w:r>
      <w:r w:rsidR="00A324D2">
        <w:t xml:space="preserve">such </w:t>
      </w:r>
      <w:r>
        <w:t xml:space="preserve">ALARP justifications </w:t>
      </w:r>
      <w:r w:rsidR="00C61BB8">
        <w:t>to</w:t>
      </w:r>
      <w:r>
        <w:t xml:space="preserve"> be included within the </w:t>
      </w:r>
      <w:r w:rsidR="00E22363">
        <w:t xml:space="preserve">relevant </w:t>
      </w:r>
      <w:r>
        <w:t>safety case</w:t>
      </w:r>
      <w:r w:rsidR="00A324D2">
        <w:t xml:space="preserve"> or safety report</w:t>
      </w:r>
      <w:r>
        <w:t>.</w:t>
      </w:r>
    </w:p>
    <w:p w14:paraId="3C0A1C1B" w14:textId="2B83BDA2" w:rsidR="00A8569B" w:rsidRDefault="00A8569B" w:rsidP="00A8569B">
      <w:pPr>
        <w:pStyle w:val="F9-Paragraph"/>
      </w:pPr>
      <w:r>
        <w:t xml:space="preserve">What is accepted as RGP </w:t>
      </w:r>
      <w:r w:rsidR="00541F78">
        <w:t xml:space="preserve">by a regulator </w:t>
      </w:r>
      <w:r w:rsidRPr="007145C7">
        <w:t>may change over time because there may be increased knowledge about the hazard and/or change in the acceptability of the level of risk control achieved by existing good practice, or new legislation may change the level of acceptance, or technological innovation may reduce the cost of implementing a higher standard. For th</w:t>
      </w:r>
      <w:r w:rsidR="00004D99">
        <w:t>e</w:t>
      </w:r>
      <w:r w:rsidRPr="007145C7">
        <w:t xml:space="preserve">se reasons, regulators keep RGP under </w:t>
      </w:r>
      <w:r>
        <w:t>regular</w:t>
      </w:r>
      <w:r w:rsidRPr="007145C7">
        <w:t xml:space="preserve"> review.</w:t>
      </w:r>
    </w:p>
    <w:p w14:paraId="02128D38" w14:textId="48402C7E" w:rsidR="00D14E8D" w:rsidRDefault="009D3A36" w:rsidP="008448B2">
      <w:pPr>
        <w:pStyle w:val="Heading4"/>
      </w:pPr>
      <w:r>
        <w:t>5.1.6.5.</w:t>
      </w:r>
      <w:r>
        <w:tab/>
      </w:r>
      <w:r w:rsidR="00D14E8D">
        <w:t>Sources of RGP</w:t>
      </w:r>
    </w:p>
    <w:p w14:paraId="1CC048A8" w14:textId="6DE297BA" w:rsidR="00D14E8D" w:rsidRDefault="00D14E8D" w:rsidP="00D14E8D">
      <w:pPr>
        <w:pStyle w:val="F9-Paragraph"/>
      </w:pPr>
      <w:r>
        <w:t xml:space="preserve">There are a number of sources of RGP and there is a hierarchy to </w:t>
      </w:r>
      <w:r w:rsidR="00D35FA3">
        <w:t>their</w:t>
      </w:r>
      <w:r>
        <w:t xml:space="preserve"> significance (i.e. the weight it would carry if </w:t>
      </w:r>
      <w:r w:rsidR="00352A52">
        <w:t xml:space="preserve">a case was </w:t>
      </w:r>
      <w:r>
        <w:t>brought before a court) based on its source and pedigree:</w:t>
      </w:r>
    </w:p>
    <w:p w14:paraId="17B00810" w14:textId="7E703CED" w:rsidR="00D14E8D" w:rsidRDefault="00D14E8D" w:rsidP="00541F78">
      <w:pPr>
        <w:pStyle w:val="Bulletlist1"/>
      </w:pPr>
      <w:r>
        <w:t>Approved Codes of Practice (ACoPs)</w:t>
      </w:r>
      <w:r w:rsidR="00907916">
        <w:rPr>
          <w:rStyle w:val="FootnoteReference"/>
        </w:rPr>
        <w:footnoteReference w:id="5"/>
      </w:r>
      <w:r w:rsidR="00FE3DEA">
        <w:t>, which</w:t>
      </w:r>
      <w:r>
        <w:t xml:space="preserve"> carr</w:t>
      </w:r>
      <w:r w:rsidR="00FE3DEA">
        <w:t>y</w:t>
      </w:r>
      <w:r>
        <w:t xml:space="preserve"> the strongest weight and have a special legal status. </w:t>
      </w:r>
    </w:p>
    <w:p w14:paraId="57320CAD" w14:textId="149A1DCB" w:rsidR="00D14E8D" w:rsidRDefault="00D14E8D" w:rsidP="00541F78">
      <w:pPr>
        <w:pStyle w:val="Bulletlist1"/>
      </w:pPr>
      <w:r>
        <w:t>Published regulatory guidance</w:t>
      </w:r>
      <w:r w:rsidR="001D38F4">
        <w:t>, e.g.</w:t>
      </w:r>
      <w:r w:rsidR="002C04F6">
        <w:t xml:space="preserve"> </w:t>
      </w:r>
      <w:r w:rsidR="00732B81">
        <w:t xml:space="preserve">ONR </w:t>
      </w:r>
      <w:r w:rsidR="002C04F6">
        <w:t>T</w:t>
      </w:r>
      <w:r w:rsidR="00732B81">
        <w:t xml:space="preserve">echnical </w:t>
      </w:r>
      <w:r w:rsidR="002C04F6">
        <w:t>I</w:t>
      </w:r>
      <w:r w:rsidR="00732B81">
        <w:t xml:space="preserve">nspection </w:t>
      </w:r>
      <w:r w:rsidR="002C04F6">
        <w:t>G</w:t>
      </w:r>
      <w:r w:rsidR="00732B81">
        <w:t>uidance (TIG) and</w:t>
      </w:r>
      <w:r w:rsidR="002C04F6">
        <w:t xml:space="preserve"> TAG, HSE guidance</w:t>
      </w:r>
      <w:r>
        <w:t xml:space="preserve">. </w:t>
      </w:r>
    </w:p>
    <w:p w14:paraId="1C6C0234" w14:textId="51DDC1AC" w:rsidR="00D14E8D" w:rsidRDefault="00D14E8D" w:rsidP="005B3C4D">
      <w:pPr>
        <w:pStyle w:val="Bulletlist1"/>
      </w:pPr>
      <w:r>
        <w:t>Other written sources which may be recognised as good practice</w:t>
      </w:r>
      <w:r w:rsidR="005B3C4D">
        <w:t>,</w:t>
      </w:r>
      <w:r>
        <w:t xml:space="preserve"> includ</w:t>
      </w:r>
      <w:r w:rsidR="005B3C4D">
        <w:t>ing</w:t>
      </w:r>
      <w:r>
        <w:t xml:space="preserve"> guidance produced by</w:t>
      </w:r>
      <w:r w:rsidR="005B3C4D">
        <w:t xml:space="preserve"> </w:t>
      </w:r>
      <w:r>
        <w:t>other government departments</w:t>
      </w:r>
      <w:r w:rsidR="00FF0539">
        <w:t xml:space="preserve"> and regulators</w:t>
      </w:r>
      <w:r w:rsidR="005B3C4D">
        <w:t xml:space="preserve">, </w:t>
      </w:r>
      <w:r>
        <w:t>national and international standard-setting bodies</w:t>
      </w:r>
      <w:r w:rsidR="005B3C4D">
        <w:t xml:space="preserve">, </w:t>
      </w:r>
      <w:r>
        <w:t>industry bodies and professional institutes.</w:t>
      </w:r>
    </w:p>
    <w:p w14:paraId="4FFA21F1" w14:textId="386C4AA2" w:rsidR="00A75800" w:rsidRDefault="00D26F47" w:rsidP="009C2684">
      <w:pPr>
        <w:pStyle w:val="Bulletlist1"/>
      </w:pPr>
      <w:r>
        <w:t>U</w:t>
      </w:r>
      <w:r w:rsidR="009C2684" w:rsidRPr="009C2684">
        <w:t>nwritten sources of good practice, for example through well-defined and well-established practices across a particular industrial sector.</w:t>
      </w:r>
    </w:p>
    <w:p w14:paraId="6B5C58E0" w14:textId="77777777" w:rsidR="009B0959" w:rsidRDefault="009B0959" w:rsidP="007C4F94">
      <w:pPr>
        <w:pStyle w:val="F9-Paragraph"/>
        <w:sectPr w:rsidR="009B0959" w:rsidSect="007E1540">
          <w:pgSz w:w="11906" w:h="16838" w:code="9"/>
          <w:pgMar w:top="1440" w:right="1440" w:bottom="1440" w:left="1440" w:header="397" w:footer="397" w:gutter="0"/>
          <w:cols w:space="312"/>
          <w:docGrid w:linePitch="360"/>
        </w:sectPr>
      </w:pPr>
    </w:p>
    <w:p w14:paraId="79515CC4" w14:textId="15336C36" w:rsidR="007C4F94" w:rsidRDefault="007C4F94" w:rsidP="007C4F94">
      <w:pPr>
        <w:pStyle w:val="F9-Paragraph"/>
      </w:pPr>
      <w:r>
        <w:lastRenderedPageBreak/>
        <w:t>T</w:t>
      </w:r>
      <w:r w:rsidRPr="005F1F2E">
        <w:t>here may be instances</w:t>
      </w:r>
      <w:r>
        <w:t>, a</w:t>
      </w:r>
      <w:r w:rsidRPr="005F1F2E">
        <w:t>lthough unusual</w:t>
      </w:r>
      <w:r w:rsidR="00C7547A">
        <w:t>,</w:t>
      </w:r>
      <w:r w:rsidRPr="005F1F2E">
        <w:t xml:space="preserve"> where industry guidance does not meet ONR’s expectations on RGP</w:t>
      </w:r>
      <w:r>
        <w:t>. I</w:t>
      </w:r>
      <w:r w:rsidRPr="005F1F2E">
        <w:t>n such circumstance</w:t>
      </w:r>
      <w:r w:rsidR="002F071C">
        <w:t>,</w:t>
      </w:r>
      <w:r w:rsidRPr="005F1F2E">
        <w:t xml:space="preserve"> </w:t>
      </w:r>
      <w:r w:rsidR="009D6219">
        <w:t>the</w:t>
      </w:r>
      <w:r w:rsidRPr="005F1F2E">
        <w:t xml:space="preserve"> difference in </w:t>
      </w:r>
      <w:r w:rsidR="00004D99">
        <w:t>expectations</w:t>
      </w:r>
      <w:r w:rsidRPr="005F1F2E">
        <w:t xml:space="preserve"> should be noted in </w:t>
      </w:r>
      <w:r w:rsidR="00D22BEA">
        <w:t xml:space="preserve">the </w:t>
      </w:r>
      <w:r w:rsidR="00C7547A">
        <w:t>relevant ONR</w:t>
      </w:r>
      <w:r w:rsidRPr="005F1F2E">
        <w:t xml:space="preserve"> TAG, and </w:t>
      </w:r>
      <w:r w:rsidR="00652161">
        <w:t xml:space="preserve">ONR </w:t>
      </w:r>
      <w:r w:rsidR="000059B3">
        <w:t>makes effort to work</w:t>
      </w:r>
      <w:r w:rsidRPr="005F1F2E">
        <w:t xml:space="preserve"> with industry </w:t>
      </w:r>
      <w:r w:rsidR="00D97DE9">
        <w:t xml:space="preserve">body </w:t>
      </w:r>
      <w:r w:rsidRPr="005F1F2E">
        <w:t xml:space="preserve">to </w:t>
      </w:r>
      <w:r w:rsidR="00004D99">
        <w:t>influence</w:t>
      </w:r>
      <w:r w:rsidR="00652161">
        <w:t xml:space="preserve"> </w:t>
      </w:r>
      <w:r w:rsidR="00655C35">
        <w:t>their</w:t>
      </w:r>
      <w:r w:rsidR="00652161">
        <w:t xml:space="preserve"> guidance</w:t>
      </w:r>
      <w:r w:rsidRPr="005F1F2E">
        <w:t xml:space="preserve"> </w:t>
      </w:r>
      <w:r w:rsidR="00004D99">
        <w:t>to align with</w:t>
      </w:r>
      <w:r w:rsidRPr="005F1F2E">
        <w:t xml:space="preserve"> ONR’s expectations</w:t>
      </w:r>
      <w:r w:rsidR="00D22BEA">
        <w:t xml:space="preserve"> on RGP</w:t>
      </w:r>
      <w:r w:rsidRPr="005F1F2E">
        <w:t xml:space="preserve">.  </w:t>
      </w:r>
    </w:p>
    <w:p w14:paraId="2B3E06F3" w14:textId="3E98173F" w:rsidR="00D14E8D" w:rsidRDefault="00D14E8D" w:rsidP="00D14E8D">
      <w:pPr>
        <w:pStyle w:val="F9-Paragraph"/>
      </w:pPr>
      <w:r>
        <w:t xml:space="preserve">The mixing of different standards is discouraged where there is an applicable all-encompassing standard, particularly for those set-out in regulatory expectations or those from authoritative national and international bodies, such as British Standards or IAEA Safety Standards. However, a case can be made in some circumstances to draw upon standards from different sources if the situation warrants it. </w:t>
      </w:r>
      <w:r w:rsidR="00E45239" w:rsidRPr="00E45239">
        <w:t xml:space="preserve">The important </w:t>
      </w:r>
      <w:r w:rsidR="00511635" w:rsidRPr="00E45239">
        <w:t>point</w:t>
      </w:r>
      <w:r w:rsidR="00E45239" w:rsidRPr="00E45239">
        <w:t xml:space="preserve"> is to consider the overall outcome against the ALARP requirement.</w:t>
      </w:r>
    </w:p>
    <w:p w14:paraId="14F2912F" w14:textId="14BD46CC" w:rsidR="006C2ECB" w:rsidRDefault="009D3A36" w:rsidP="006C2ECB">
      <w:pPr>
        <w:pStyle w:val="Heading4"/>
      </w:pPr>
      <w:r>
        <w:t>5.1.6.6.</w:t>
      </w:r>
      <w:r>
        <w:tab/>
      </w:r>
      <w:r w:rsidR="006C2ECB">
        <w:t>Replication</w:t>
      </w:r>
    </w:p>
    <w:p w14:paraId="18FF6F7F" w14:textId="16E9CE98" w:rsidR="006C2ECB" w:rsidRDefault="006C2ECB" w:rsidP="006C2ECB">
      <w:pPr>
        <w:pStyle w:val="F9-Paragraph"/>
      </w:pPr>
      <w:r>
        <w:t>In the context of building a new fleet of</w:t>
      </w:r>
      <w:r w:rsidR="001E41E3">
        <w:t xml:space="preserve"> nuclear</w:t>
      </w:r>
      <w:r>
        <w:t xml:space="preserve"> power reactors of a specific design over a period of a number of years, replication is a principle where a design and associated arrangements</w:t>
      </w:r>
      <w:r w:rsidR="00735A5C">
        <w:t xml:space="preserve"> (</w:t>
      </w:r>
      <w:r w:rsidR="00132D9D">
        <w:t>for example</w:t>
      </w:r>
      <w:r>
        <w:t xml:space="preserve"> supply chain etc.</w:t>
      </w:r>
      <w:r w:rsidR="00735A5C">
        <w:t>)</w:t>
      </w:r>
      <w:r>
        <w:t xml:space="preserve"> </w:t>
      </w:r>
      <w:r w:rsidR="00933BDB">
        <w:t>are</w:t>
      </w:r>
      <w:r>
        <w:t xml:space="preserve"> implemented in multiple instances. Usually, this is an iterative process where a design from a previous project is used again at a new location. The extent of the design that can be replicated is limited to areas where the location has no impact on the design. </w:t>
      </w:r>
    </w:p>
    <w:p w14:paraId="344FD34A" w14:textId="3B39EADF" w:rsidR="006C2ECB" w:rsidRDefault="006C2ECB" w:rsidP="006C2ECB">
      <w:pPr>
        <w:pStyle w:val="F9-Paragraph"/>
      </w:pPr>
      <w:r>
        <w:t xml:space="preserve">The </w:t>
      </w:r>
      <w:r w:rsidR="00E91804">
        <w:t xml:space="preserve">overarching </w:t>
      </w:r>
      <w:r>
        <w:t>requirement for a dutyholder to demonstrate that risks have been reduced ALARP remains</w:t>
      </w:r>
      <w:r w:rsidR="009208A9">
        <w:t>. Nevertheless,</w:t>
      </w:r>
      <w:r>
        <w:t xml:space="preserve"> ONR recognises that, providing the overall nuclear safety risks are low, timescales </w:t>
      </w:r>
      <w:r w:rsidR="00174CC5">
        <w:t xml:space="preserve">are </w:t>
      </w:r>
      <w:r>
        <w:t>reasonable and a suitable case (rationale, strategy and scope) is made by the dutyholder, then the previous as-built plant can serve as a template for the next-to-be-built plant</w:t>
      </w:r>
      <w:r w:rsidR="009208A9">
        <w:t>. I</w:t>
      </w:r>
      <w:r>
        <w:t>n general</w:t>
      </w:r>
      <w:r w:rsidR="002008E5">
        <w:t>,</w:t>
      </w:r>
      <w:r>
        <w:t xml:space="preserve"> </w:t>
      </w:r>
      <w:r w:rsidR="009208A9">
        <w:t xml:space="preserve">this may be achieved without </w:t>
      </w:r>
      <w:r>
        <w:t>needing to re-open previously-justified ALARP arguments. Effectively, the previous plant design provides the RGP for the next plant and serves as a starting point</w:t>
      </w:r>
      <w:r w:rsidR="0008184B">
        <w:t xml:space="preserve">. </w:t>
      </w:r>
      <w:r w:rsidR="002D422F">
        <w:t>There</w:t>
      </w:r>
      <w:r w:rsidR="0008184B">
        <w:t xml:space="preserve"> are several exclusions </w:t>
      </w:r>
      <w:r w:rsidR="00653832">
        <w:t>that ONR expects the dutyholders to have considered in determining the scope of replication</w:t>
      </w:r>
      <w:r w:rsidR="00F81963">
        <w:t xml:space="preserve">, for example </w:t>
      </w:r>
      <w:r w:rsidR="009208A9">
        <w:t xml:space="preserve">when </w:t>
      </w:r>
      <w:r w:rsidR="00F81963">
        <w:t xml:space="preserve">learning from previous build or </w:t>
      </w:r>
      <w:r w:rsidR="009208A9">
        <w:t>operational</w:t>
      </w:r>
      <w:r w:rsidR="00F81963">
        <w:t xml:space="preserve"> experience</w:t>
      </w:r>
      <w:r w:rsidR="002D422F">
        <w:t xml:space="preserve"> indicates replication would no longer </w:t>
      </w:r>
      <w:r w:rsidR="009208A9">
        <w:t>reduce</w:t>
      </w:r>
      <w:r w:rsidR="002D422F">
        <w:t xml:space="preserve"> risks to ALARP</w:t>
      </w:r>
      <w:r w:rsidR="009C6EC4">
        <w:t>.</w:t>
      </w:r>
      <w:r w:rsidR="00F81963">
        <w:t xml:space="preserve"> </w:t>
      </w:r>
    </w:p>
    <w:p w14:paraId="48BC6356" w14:textId="77B8CAD7" w:rsidR="00597A18" w:rsidRDefault="006C2ECB" w:rsidP="006C2ECB">
      <w:pPr>
        <w:pStyle w:val="F9-Paragraph"/>
      </w:pPr>
      <w:r>
        <w:t xml:space="preserve">This </w:t>
      </w:r>
      <w:r w:rsidR="00C42CED">
        <w:t>balances</w:t>
      </w:r>
      <w:r>
        <w:t xml:space="preserve"> </w:t>
      </w:r>
      <w:r w:rsidR="00A95607">
        <w:t>ONR’s</w:t>
      </w:r>
      <w:r>
        <w:t xml:space="preserve"> risk-informed and enabling approach to regulation </w:t>
      </w:r>
      <w:r w:rsidR="009B0959">
        <w:br/>
      </w:r>
      <w:r>
        <w:t>(</w:t>
      </w:r>
      <w:r w:rsidR="004F5536">
        <w:t xml:space="preserve">ref. </w:t>
      </w:r>
      <w:sdt>
        <w:sdtPr>
          <w:id w:val="-728841357"/>
          <w:citation/>
        </w:sdtPr>
        <w:sdtContent>
          <w:r w:rsidR="004F5536">
            <w:fldChar w:fldCharType="begin"/>
          </w:r>
          <w:r w:rsidR="004F5536">
            <w:instrText xml:space="preserve"> CITATION ONR202 \l 2057 </w:instrText>
          </w:r>
          <w:r w:rsidR="004F5536">
            <w:fldChar w:fldCharType="separate"/>
          </w:r>
          <w:r w:rsidR="00576AF6">
            <w:rPr>
              <w:noProof/>
            </w:rPr>
            <w:t>[15]</w:t>
          </w:r>
          <w:r w:rsidR="004F5536">
            <w:fldChar w:fldCharType="end"/>
          </w:r>
        </w:sdtContent>
      </w:sdt>
      <w:r>
        <w:t xml:space="preserve">) and the ongoing continuous improvement in safety resulting from operating experience, evolution of standards and the development of new technology. </w:t>
      </w:r>
      <w:r w:rsidR="008302DB">
        <w:t xml:space="preserve">For example, </w:t>
      </w:r>
      <w:r>
        <w:t xml:space="preserve">ONR has put in place a regulatory strategy </w:t>
      </w:r>
      <w:r w:rsidR="00A32B1F">
        <w:t>on</w:t>
      </w:r>
      <w:r>
        <w:t xml:space="preserve"> replication at </w:t>
      </w:r>
      <w:r w:rsidR="0077148D">
        <w:t xml:space="preserve">Sizewell </w:t>
      </w:r>
      <w:r>
        <w:t>C</w:t>
      </w:r>
      <w:r w:rsidR="008302DB">
        <w:t xml:space="preserve"> </w:t>
      </w:r>
      <w:r>
        <w:t>that sets</w:t>
      </w:r>
      <w:r w:rsidR="001872EF">
        <w:t xml:space="preserve"> </w:t>
      </w:r>
      <w:r>
        <w:t xml:space="preserve">out the </w:t>
      </w:r>
      <w:r w:rsidR="008302DB">
        <w:t xml:space="preserve">advantages and limitations of the </w:t>
      </w:r>
      <w:r>
        <w:t>approach.</w:t>
      </w:r>
    </w:p>
    <w:p w14:paraId="040966C8" w14:textId="77777777" w:rsidR="009B0959" w:rsidRDefault="009B0959" w:rsidP="002D3134">
      <w:pPr>
        <w:pStyle w:val="Heading2"/>
        <w:numPr>
          <w:ilvl w:val="1"/>
          <w:numId w:val="22"/>
        </w:numPr>
        <w:ind w:left="851" w:hanging="851"/>
        <w:sectPr w:rsidR="009B0959" w:rsidSect="007E1540">
          <w:pgSz w:w="11906" w:h="16838" w:code="9"/>
          <w:pgMar w:top="1440" w:right="1440" w:bottom="1440" w:left="1440" w:header="397" w:footer="397" w:gutter="0"/>
          <w:cols w:space="312"/>
          <w:docGrid w:linePitch="360"/>
        </w:sectPr>
      </w:pPr>
    </w:p>
    <w:p w14:paraId="630B970E" w14:textId="09F12679" w:rsidR="007E3F73" w:rsidRPr="004C30A9" w:rsidRDefault="00054917" w:rsidP="002D3134">
      <w:pPr>
        <w:pStyle w:val="Heading2"/>
        <w:numPr>
          <w:ilvl w:val="1"/>
          <w:numId w:val="22"/>
        </w:numPr>
        <w:ind w:left="851" w:hanging="851"/>
      </w:pPr>
      <w:r>
        <w:lastRenderedPageBreak/>
        <w:t>ONR’s expectation</w:t>
      </w:r>
      <w:r w:rsidR="00AF4984">
        <w:t xml:space="preserve"> of a dutyholder’s ALARP demonstration</w:t>
      </w:r>
      <w:r w:rsidR="008976EA">
        <w:t xml:space="preserve"> </w:t>
      </w:r>
      <w:r w:rsidR="00495370" w:rsidRPr="004C30A9">
        <w:t xml:space="preserve"> </w:t>
      </w:r>
    </w:p>
    <w:p w14:paraId="4D7C9FB7" w14:textId="613A3982" w:rsidR="00271DA6" w:rsidRPr="00271DA6" w:rsidRDefault="00760F8D" w:rsidP="00271DA6">
      <w:pPr>
        <w:pStyle w:val="F9-Paragraph"/>
      </w:pPr>
      <w:r>
        <w:t>There are several f</w:t>
      </w:r>
      <w:r w:rsidR="00271DA6" w:rsidRPr="00271DA6">
        <w:t xml:space="preserve">actors that </w:t>
      </w:r>
      <w:r>
        <w:t>ONR expects dutyholders</w:t>
      </w:r>
      <w:r w:rsidR="00271DA6" w:rsidRPr="00271DA6">
        <w:t xml:space="preserve"> to </w:t>
      </w:r>
      <w:r>
        <w:t xml:space="preserve">have </w:t>
      </w:r>
      <w:r w:rsidR="00271DA6" w:rsidRPr="00271DA6">
        <w:t>consider</w:t>
      </w:r>
      <w:r>
        <w:t>ed</w:t>
      </w:r>
      <w:r w:rsidR="00271DA6" w:rsidRPr="00271DA6">
        <w:t xml:space="preserve"> in developing a balanced approach to reduce risks to ALARP</w:t>
      </w:r>
      <w:r>
        <w:t>.</w:t>
      </w:r>
    </w:p>
    <w:p w14:paraId="17336B8E" w14:textId="70F48335" w:rsidR="00BF3B2A" w:rsidRDefault="002D3134" w:rsidP="00157A95">
      <w:pPr>
        <w:pStyle w:val="Heading3"/>
      </w:pPr>
      <w:r>
        <w:t>5.2.1.</w:t>
      </w:r>
      <w:r>
        <w:tab/>
      </w:r>
      <w:r w:rsidR="00157A95">
        <w:t>Consideration of all</w:t>
      </w:r>
      <w:r w:rsidR="00BF3B2A">
        <w:t xml:space="preserve"> risks</w:t>
      </w:r>
      <w:r w:rsidR="00C071CE">
        <w:t xml:space="preserve"> and constraints</w:t>
      </w:r>
    </w:p>
    <w:p w14:paraId="2AB1E5D4" w14:textId="5A4C3761" w:rsidR="00BF3B2A" w:rsidRDefault="00BF3B2A" w:rsidP="00BF3B2A">
      <w:pPr>
        <w:pStyle w:val="F9-Paragraph"/>
      </w:pPr>
      <w:r>
        <w:t>The risk profile of a</w:t>
      </w:r>
      <w:r w:rsidR="00D378BF">
        <w:t>n</w:t>
      </w:r>
      <w:r>
        <w:t xml:space="preserve"> ONR regulated site can be complex and often</w:t>
      </w:r>
      <w:r w:rsidRPr="00634589">
        <w:t xml:space="preserve"> include</w:t>
      </w:r>
      <w:r w:rsidR="00E425F4">
        <w:t>s</w:t>
      </w:r>
      <w:r w:rsidRPr="00634589">
        <w:t xml:space="preserve"> a variety of risk</w:t>
      </w:r>
      <w:r>
        <w:t>s ranging from those that are well-</w:t>
      </w:r>
      <w:r w:rsidR="00D063D6">
        <w:t>characterised</w:t>
      </w:r>
      <w:r>
        <w:t xml:space="preserve"> across different industries, to those that are novel</w:t>
      </w:r>
      <w:r w:rsidR="00F82225">
        <w:t>,</w:t>
      </w:r>
      <w:r>
        <w:t xml:space="preserve"> such as a new design of a </w:t>
      </w:r>
      <w:r w:rsidR="001F33AF">
        <w:t>plant/facility/</w:t>
      </w:r>
      <w:r w:rsidR="006A230C">
        <w:t>component/</w:t>
      </w:r>
      <w:r>
        <w:t>system</w:t>
      </w:r>
      <w:r w:rsidR="006A230C">
        <w:t xml:space="preserve"> etc.</w:t>
      </w:r>
      <w:r>
        <w:t xml:space="preserve">, and to those that are unique to a nuclear installation. </w:t>
      </w:r>
    </w:p>
    <w:p w14:paraId="430C0479" w14:textId="0D87C357" w:rsidR="00E624CE" w:rsidRDefault="00E624CE" w:rsidP="00E624CE">
      <w:pPr>
        <w:pStyle w:val="F9-Paragraph"/>
      </w:pPr>
      <w:r>
        <w:t xml:space="preserve">ONR expects dutyholders to consider the holistic risk of the facility as a whole, as well as individual risks at component/system level in their risk assessments. This is because the integration of separate components and systems may increase the risks and require further measures to reduce those risks to ALARP. There may also be further opportunities arising from the integration to reduce risks from each component and system through collective measures. </w:t>
      </w:r>
    </w:p>
    <w:p w14:paraId="05CAB52F" w14:textId="6D8DE8C9" w:rsidR="00BF3B2A" w:rsidRDefault="00BF3B2A" w:rsidP="00BF3B2A">
      <w:pPr>
        <w:pStyle w:val="F9-Paragraph"/>
      </w:pPr>
      <w:r>
        <w:t xml:space="preserve">ONR expects dutyholders to ensure that any risk-reduction measures adopted to address one hazard do not disproportionately increase risks </w:t>
      </w:r>
      <w:r w:rsidR="008F1C6C">
        <w:t>from</w:t>
      </w:r>
      <w:r>
        <w:t xml:space="preserve"> other hazards or compromise the associated risk control measures overall. </w:t>
      </w:r>
      <w:r w:rsidR="00B800E8">
        <w:t xml:space="preserve">ONR also expect dutyholders to </w:t>
      </w:r>
      <w:r w:rsidR="00961238">
        <w:t xml:space="preserve">have </w:t>
      </w:r>
      <w:r w:rsidR="00B800E8">
        <w:t>consider</w:t>
      </w:r>
      <w:r w:rsidR="00961238">
        <w:t>ed</w:t>
      </w:r>
      <w:r w:rsidR="00B800E8">
        <w:t xml:space="preserve"> all operating modes and plant state</w:t>
      </w:r>
      <w:r w:rsidR="00961238">
        <w:t>, for example, what the implications of a proposed severe accident risk-reduction measure are for doses in routine maintenance</w:t>
      </w:r>
      <w:r w:rsidR="00387D87">
        <w:t>.</w:t>
      </w:r>
    </w:p>
    <w:p w14:paraId="6E52E8A0" w14:textId="7A10881F" w:rsidR="008F70EF" w:rsidRDefault="008F70EF" w:rsidP="008F70EF">
      <w:pPr>
        <w:pStyle w:val="F9-Paragraph"/>
      </w:pPr>
      <w:r>
        <w:t xml:space="preserve">There are situations where two sites are located adjacent or in close proximity such that a risk created on one site affects the other and may require risk reduction sacrifices to be taken on either or both sites. ONR expects each site to take consideration of foreseeable risks that are originated from neighbouring site as part of their risk assessment, in the same manner as any other external hazards </w:t>
      </w:r>
      <w:r w:rsidR="00D74605">
        <w:t>(refer to</w:t>
      </w:r>
      <w:r>
        <w:t xml:space="preserve"> Section 5.1.5).</w:t>
      </w:r>
    </w:p>
    <w:p w14:paraId="6D421CB8" w14:textId="2C5D9FD9" w:rsidR="008F70EF" w:rsidRDefault="008F70EF" w:rsidP="008F70EF">
      <w:pPr>
        <w:pStyle w:val="F9-Paragraph"/>
      </w:pPr>
      <w:r>
        <w:t>When determining the appropriate control measures in these situations, ONR recognises that the consideration required of a dutyholder is limited to its undertaking (i.e. its business and the activities and decisions under its control) and should remain as such. For example, the ALARP justification for Site A (such as in arguing a further risk control measure is not reasonably practicable) should not include the sacrifice born by Site B in controlling the resulting risk on its site. In such cases, care must be exercised by both dutyholders in determining the boundaries of their legal duties and developing the appropriate independent ALARP justifications. A combined ALARP justification on shared risk reduction sacrifices can only be made if the sites are within the same legal entity i.e. owned by the same operating company. ONR inspectors considering such situations should seek specialist advice and support from the ALARP Working Group in making the appropriate judgement.</w:t>
      </w:r>
    </w:p>
    <w:p w14:paraId="4C958445" w14:textId="13D56FA1" w:rsidR="00BF3B2A" w:rsidRDefault="00411A62" w:rsidP="00411A62">
      <w:pPr>
        <w:pStyle w:val="F9-Paragraph"/>
      </w:pPr>
      <w:r w:rsidRPr="00411A62">
        <w:lastRenderedPageBreak/>
        <w:t>For older facilities there may be situations where the overall facility/system risk has been considered low, but a review against modern standards reveals a specific risk that may be high in certain conditions or circumstances (e.g. asbestos management). ONR expects dutyholders to take the specific risk into account and demonstrate it has been</w:t>
      </w:r>
      <w:r w:rsidR="001211E4">
        <w:t>,</w:t>
      </w:r>
      <w:r w:rsidRPr="00411A62">
        <w:t xml:space="preserve"> or will be</w:t>
      </w:r>
      <w:r w:rsidR="001211E4">
        <w:t>,</w:t>
      </w:r>
      <w:r w:rsidRPr="00411A62">
        <w:t xml:space="preserve"> reduced to ALARP </w:t>
      </w:r>
      <w:r w:rsidR="00D74605">
        <w:t>(refer to</w:t>
      </w:r>
      <w:r w:rsidRPr="00411A62">
        <w:t xml:space="preserve"> Section 5.2.2 and Appendix 2 that may be relevant in some cases).</w:t>
      </w:r>
    </w:p>
    <w:p w14:paraId="27AE91CE" w14:textId="5D5F4BB2" w:rsidR="004834A6" w:rsidRDefault="00BF3B2A" w:rsidP="00BF3B2A">
      <w:pPr>
        <w:pStyle w:val="F9-Paragraph"/>
      </w:pPr>
      <w:r>
        <w:t xml:space="preserve">ONR expects dutyholders </w:t>
      </w:r>
      <w:r w:rsidR="00D236D9">
        <w:t xml:space="preserve">to </w:t>
      </w:r>
      <w:r>
        <w:t xml:space="preserve">take cognisance of relevant legislation such as safety, </w:t>
      </w:r>
      <w:r w:rsidR="002E58EF">
        <w:t xml:space="preserve">safeguards, security, and </w:t>
      </w:r>
      <w:r>
        <w:t>environment</w:t>
      </w:r>
      <w:r w:rsidR="00ED3D88">
        <w:t>al</w:t>
      </w:r>
      <w:r w:rsidR="00B0488F">
        <w:t>, each with ‘risks’ in their own field,</w:t>
      </w:r>
      <w:r>
        <w:t xml:space="preserve"> when determining an optimised option to reduce risks to ALARP</w:t>
      </w:r>
      <w:r w:rsidR="00B0488F">
        <w:t xml:space="preserve"> in the context of HSWA</w:t>
      </w:r>
      <w:r>
        <w:t xml:space="preserve">. The term ‘optimisation’ is used to </w:t>
      </w:r>
      <w:r w:rsidRPr="00715895">
        <w:t>refer to the level of protection that meets the legal requirements of ALARP</w:t>
      </w:r>
      <w:r w:rsidR="00802FD4">
        <w:t xml:space="preserve"> and </w:t>
      </w:r>
      <w:r w:rsidR="00BA75C9">
        <w:t>legal requirements such as</w:t>
      </w:r>
      <w:r w:rsidR="00ED4CFC">
        <w:t xml:space="preserve"> </w:t>
      </w:r>
      <w:r w:rsidR="00B51613">
        <w:t>Best Available Techniques (BAT)/B</w:t>
      </w:r>
      <w:r w:rsidR="00B51613" w:rsidRPr="001E1021">
        <w:t xml:space="preserve">est </w:t>
      </w:r>
      <w:r w:rsidR="00B51613">
        <w:t>P</w:t>
      </w:r>
      <w:r w:rsidR="00B51613" w:rsidRPr="001E1021">
        <w:t xml:space="preserve">racticable </w:t>
      </w:r>
      <w:r w:rsidR="00B51613">
        <w:t>M</w:t>
      </w:r>
      <w:r w:rsidR="00B51613" w:rsidRPr="001E1021">
        <w:t>eans</w:t>
      </w:r>
      <w:r w:rsidR="00B51613">
        <w:t xml:space="preserve"> (BPM)</w:t>
      </w:r>
      <w:r w:rsidRPr="00715895">
        <w:t xml:space="preserve">. Optimisation is also the term used in the IAEA Safety Fundamentals (ref. </w:t>
      </w:r>
      <w:sdt>
        <w:sdtPr>
          <w:id w:val="1105693584"/>
          <w:citation/>
        </w:sdtPr>
        <w:sdtContent>
          <w:r w:rsidRPr="00715895">
            <w:fldChar w:fldCharType="begin"/>
          </w:r>
          <w:r w:rsidRPr="00715895">
            <w:instrText xml:space="preserve"> CITATION IAE06 \l 2057 </w:instrText>
          </w:r>
          <w:r w:rsidRPr="00715895">
            <w:fldChar w:fldCharType="separate"/>
          </w:r>
          <w:r w:rsidR="00576AF6">
            <w:rPr>
              <w:noProof/>
            </w:rPr>
            <w:t>[16]</w:t>
          </w:r>
          <w:r w:rsidRPr="00715895">
            <w:fldChar w:fldCharType="end"/>
          </w:r>
        </w:sdtContent>
      </w:sdt>
      <w:r w:rsidRPr="00715895">
        <w:t>) Principle 5 which states</w:t>
      </w:r>
      <w:r w:rsidR="00561A36">
        <w:t>:</w:t>
      </w:r>
      <w:r w:rsidRPr="00715895">
        <w:t xml:space="preserve"> </w:t>
      </w:r>
    </w:p>
    <w:p w14:paraId="4F7B3C92" w14:textId="77777777" w:rsidR="004834A6" w:rsidRDefault="00BF3B2A" w:rsidP="00461C73">
      <w:pPr>
        <w:pStyle w:val="QuoteText"/>
      </w:pPr>
      <w:r w:rsidRPr="00715895">
        <w:t>‘protection must be optimised to provide the highest level of</w:t>
      </w:r>
      <w:r>
        <w:t xml:space="preserve"> safety that can reasonably be achieved’ </w:t>
      </w:r>
    </w:p>
    <w:p w14:paraId="1F002DC0" w14:textId="477B4332" w:rsidR="00BF3B2A" w:rsidRDefault="00BF3B2A" w:rsidP="004834A6">
      <w:pPr>
        <w:pStyle w:val="F9-Paragraph"/>
        <w:numPr>
          <w:ilvl w:val="0"/>
          <w:numId w:val="0"/>
        </w:numPr>
        <w:ind w:left="851"/>
      </w:pPr>
      <w:r>
        <w:t>ONR</w:t>
      </w:r>
      <w:r w:rsidR="0062253B">
        <w:t xml:space="preserve"> inspectors for safety</w:t>
      </w:r>
      <w:r w:rsidR="002E58EF">
        <w:t>, safeguards,</w:t>
      </w:r>
      <w:r w:rsidR="0062253B">
        <w:t xml:space="preserve"> and security work togethe</w:t>
      </w:r>
      <w:r w:rsidR="00BE7A2F">
        <w:t>r in making their judgements. ONR</w:t>
      </w:r>
      <w:r>
        <w:t xml:space="preserve"> works with the environmental agencies in GB to ensure a joint and aligned approach in reaching regulatory judgements and decisions, especially on the regulatory application of ALARP and BAT/</w:t>
      </w:r>
      <w:r w:rsidR="00B51613">
        <w:t xml:space="preserve"> </w:t>
      </w:r>
      <w:r>
        <w:t xml:space="preserve">BPM principles. The arrangements are captured in the Memorandum of Understanding (MoU) between the regulators (ref. </w:t>
      </w:r>
      <w:sdt>
        <w:sdtPr>
          <w:id w:val="-1505896333"/>
          <w:citation/>
        </w:sdtPr>
        <w:sdtContent>
          <w:r>
            <w:fldChar w:fldCharType="begin"/>
          </w:r>
          <w:r>
            <w:instrText xml:space="preserve"> CITATION ONR \l 2057 </w:instrText>
          </w:r>
          <w:r>
            <w:fldChar w:fldCharType="separate"/>
          </w:r>
          <w:r w:rsidR="00576AF6">
            <w:rPr>
              <w:noProof/>
            </w:rPr>
            <w:t>[17]</w:t>
          </w:r>
          <w:r>
            <w:fldChar w:fldCharType="end"/>
          </w:r>
        </w:sdtContent>
      </w:sdt>
      <w:r>
        <w:t xml:space="preserve">). </w:t>
      </w:r>
    </w:p>
    <w:p w14:paraId="2DBD9E21" w14:textId="5A1A9B22" w:rsidR="00BF3B2A" w:rsidRDefault="00132531" w:rsidP="00E74B04">
      <w:pPr>
        <w:pStyle w:val="Heading3"/>
      </w:pPr>
      <w:r>
        <w:t>5.2.2.</w:t>
      </w:r>
      <w:r>
        <w:tab/>
      </w:r>
      <w:r w:rsidR="00E74B04">
        <w:t>Consideration of lifecycles and changes</w:t>
      </w:r>
    </w:p>
    <w:p w14:paraId="5E682C0E" w14:textId="617F0EBA" w:rsidR="00BF3B2A" w:rsidRPr="002C2EE1" w:rsidRDefault="00BF3B2A" w:rsidP="00BF3B2A">
      <w:pPr>
        <w:pStyle w:val="F9-Paragraph"/>
      </w:pPr>
      <w:r>
        <w:t>The risk profile of a</w:t>
      </w:r>
      <w:r w:rsidR="00017612">
        <w:t>n</w:t>
      </w:r>
      <w:r>
        <w:t xml:space="preserve"> ONR regulated site changes throughout the lifecycle of the site</w:t>
      </w:r>
      <w:r w:rsidR="008D4383">
        <w:t>,</w:t>
      </w:r>
      <w:r>
        <w:t xml:space="preserve"> as operations and activities differ in each stage of the lifecycle</w:t>
      </w:r>
      <w:r w:rsidR="00C86C26">
        <w:t>. F</w:t>
      </w:r>
      <w:r>
        <w:t xml:space="preserve">or example </w:t>
      </w:r>
      <w:r w:rsidR="008053EB">
        <w:t>nuclear site</w:t>
      </w:r>
      <w:r>
        <w:t xml:space="preserve"> health and safety related risks </w:t>
      </w:r>
      <w:r w:rsidR="00FB0394">
        <w:t>are likely to be</w:t>
      </w:r>
      <w:r>
        <w:t xml:space="preserve"> higher at the construction, outage, and decommissioning stage of a plant/facility/installation/project than when it is in operation, whereas radiation and nuclear safety related risks </w:t>
      </w:r>
      <w:r w:rsidR="00FB0394">
        <w:t>are likely to be</w:t>
      </w:r>
      <w:r>
        <w:t xml:space="preserve"> lower at the construction/decommissioning stage than at operational stage. ONR expects dutyholders to </w:t>
      </w:r>
      <w:r w:rsidR="0023573F">
        <w:t xml:space="preserve">have </w:t>
      </w:r>
      <w:r>
        <w:t>consider</w:t>
      </w:r>
      <w:r w:rsidR="0023573F">
        <w:t>ed</w:t>
      </w:r>
      <w:r>
        <w:t xml:space="preserve"> the changing risk profile during the lifecycle of a plant/facility/</w:t>
      </w:r>
      <w:r w:rsidRPr="002C2EE1">
        <w:t xml:space="preserve">installation/project in their risk assessments. </w:t>
      </w:r>
    </w:p>
    <w:p w14:paraId="2975F557" w14:textId="074A7F30" w:rsidR="008B3779" w:rsidRPr="002C2EE1" w:rsidRDefault="008B3779" w:rsidP="008B3779">
      <w:pPr>
        <w:pStyle w:val="F9-Paragraph"/>
      </w:pPr>
      <w:r w:rsidRPr="002C2EE1">
        <w:t>The Construction (Design and Management) Regulations 2015 (CDM15) has a wide scope</w:t>
      </w:r>
      <w:r w:rsidR="00D77347" w:rsidRPr="002C2EE1">
        <w:t xml:space="preserve"> and </w:t>
      </w:r>
      <w:r w:rsidR="00615FE2" w:rsidRPr="002C2EE1">
        <w:t xml:space="preserve">applies to </w:t>
      </w:r>
      <w:r w:rsidR="00064FA1" w:rsidRPr="002C2EE1">
        <w:t>all construction projects, big or small, from concept to completion</w:t>
      </w:r>
      <w:r w:rsidR="00E97F3F">
        <w:t>, i.e. the whole lifecycle</w:t>
      </w:r>
      <w:r w:rsidR="005F0D3B" w:rsidRPr="002C2EE1">
        <w:t xml:space="preserve">. </w:t>
      </w:r>
      <w:r w:rsidR="001844A2" w:rsidRPr="002C2EE1">
        <w:t>There are specific duties</w:t>
      </w:r>
      <w:r w:rsidR="00004D90" w:rsidRPr="002C2EE1">
        <w:t xml:space="preserve"> that dutyholders</w:t>
      </w:r>
      <w:r w:rsidR="00A347F6">
        <w:t>, including those regulated by ONR,</w:t>
      </w:r>
      <w:r w:rsidR="00004D90" w:rsidRPr="002C2EE1">
        <w:t xml:space="preserve"> have to comply</w:t>
      </w:r>
      <w:r w:rsidR="00C655CA" w:rsidRPr="002C2EE1">
        <w:t xml:space="preserve"> with</w:t>
      </w:r>
      <w:r w:rsidR="00A347F6">
        <w:t xml:space="preserve">. </w:t>
      </w:r>
      <w:r w:rsidR="009B0959">
        <w:br/>
      </w:r>
      <w:r w:rsidR="00A347F6">
        <w:t>For example,</w:t>
      </w:r>
      <w:r w:rsidR="009D2EEE" w:rsidRPr="002C2EE1">
        <w:t xml:space="preserve"> the</w:t>
      </w:r>
      <w:r w:rsidR="00B051E6" w:rsidRPr="002C2EE1">
        <w:t xml:space="preserve"> application of the principles of prevention </w:t>
      </w:r>
      <w:r w:rsidR="00004D90" w:rsidRPr="002C2EE1">
        <w:t xml:space="preserve">to reduce risks </w:t>
      </w:r>
      <w:r w:rsidR="00812C29" w:rsidRPr="002C2EE1">
        <w:t xml:space="preserve">arising from </w:t>
      </w:r>
      <w:r w:rsidR="00D53E96" w:rsidRPr="002C2EE1">
        <w:t xml:space="preserve">construction activities </w:t>
      </w:r>
      <w:r w:rsidR="00004D90" w:rsidRPr="002C2EE1">
        <w:t xml:space="preserve">to ALARP </w:t>
      </w:r>
      <w:r w:rsidR="000B4604" w:rsidRPr="002C2EE1">
        <w:t xml:space="preserve">during different stages </w:t>
      </w:r>
      <w:r w:rsidR="00D51257" w:rsidRPr="002C2EE1">
        <w:t>of a construction project</w:t>
      </w:r>
      <w:r w:rsidR="008320B8">
        <w:t>, in particular during the design phase</w:t>
      </w:r>
      <w:r w:rsidR="00A347F6">
        <w:t xml:space="preserve">. </w:t>
      </w:r>
      <w:r w:rsidR="00D6774E">
        <w:t xml:space="preserve">More details on </w:t>
      </w:r>
      <w:r w:rsidR="00A173B2">
        <w:t xml:space="preserve">ONR’s regulation of </w:t>
      </w:r>
      <w:r w:rsidR="00D6774E">
        <w:t>CDM15 is included in NS-INSP-GD-074</w:t>
      </w:r>
      <w:r w:rsidR="000426EE">
        <w:t xml:space="preserve"> (ref. </w:t>
      </w:r>
      <w:sdt>
        <w:sdtPr>
          <w:id w:val="553594884"/>
          <w:citation/>
        </w:sdtPr>
        <w:sdtContent>
          <w:r w:rsidR="0013360A">
            <w:fldChar w:fldCharType="begin"/>
          </w:r>
          <w:r w:rsidR="002C6CA7">
            <w:instrText xml:space="preserve">CITATION ONR212 \l 2057 </w:instrText>
          </w:r>
          <w:r w:rsidR="0013360A">
            <w:fldChar w:fldCharType="separate"/>
          </w:r>
          <w:r w:rsidR="002C6CA7">
            <w:rPr>
              <w:noProof/>
            </w:rPr>
            <w:t>[16]</w:t>
          </w:r>
          <w:r w:rsidR="0013360A">
            <w:fldChar w:fldCharType="end"/>
          </w:r>
        </w:sdtContent>
      </w:sdt>
      <w:r w:rsidR="000426EE">
        <w:t>).</w:t>
      </w:r>
      <w:r w:rsidRPr="002C2EE1">
        <w:t xml:space="preserve">  </w:t>
      </w:r>
    </w:p>
    <w:p w14:paraId="035F2603" w14:textId="77777777" w:rsidR="009B0959" w:rsidRDefault="009B0959" w:rsidP="00BF3B2A">
      <w:pPr>
        <w:pStyle w:val="F9-Paragraph"/>
        <w:sectPr w:rsidR="009B0959" w:rsidSect="007E1540">
          <w:pgSz w:w="11906" w:h="16838" w:code="9"/>
          <w:pgMar w:top="1440" w:right="1440" w:bottom="1440" w:left="1440" w:header="397" w:footer="397" w:gutter="0"/>
          <w:cols w:space="312"/>
          <w:docGrid w:linePitch="360"/>
        </w:sectPr>
      </w:pPr>
    </w:p>
    <w:p w14:paraId="1E396714" w14:textId="6B725721" w:rsidR="003F4FCA" w:rsidRDefault="00BF3B2A" w:rsidP="00BF3B2A">
      <w:pPr>
        <w:pStyle w:val="F9-Paragraph"/>
      </w:pPr>
      <w:r>
        <w:lastRenderedPageBreak/>
        <w:t>During the lifecycle of a project, dutyholders may need to consider a</w:t>
      </w:r>
      <w:r w:rsidRPr="004C08AC">
        <w:t xml:space="preserve"> selection </w:t>
      </w:r>
      <w:r>
        <w:t>of design</w:t>
      </w:r>
      <w:r w:rsidRPr="004C08AC">
        <w:t xml:space="preserve"> options at any stage of </w:t>
      </w:r>
      <w:r>
        <w:t>the</w:t>
      </w:r>
      <w:r w:rsidRPr="004C08AC">
        <w:t xml:space="preserve"> project</w:t>
      </w:r>
      <w:r w:rsidR="009A4F68">
        <w:t>. T</w:t>
      </w:r>
      <w:r>
        <w:t xml:space="preserve">his could include </w:t>
      </w:r>
      <w:r w:rsidRPr="004C08AC">
        <w:t>cho</w:t>
      </w:r>
      <w:r>
        <w:t>osing</w:t>
      </w:r>
      <w:r w:rsidRPr="004C08AC">
        <w:t xml:space="preserve"> between different design concepts for the whole project</w:t>
      </w:r>
      <w:r>
        <w:t xml:space="preserve"> at initial stage</w:t>
      </w:r>
      <w:r w:rsidRPr="004C08AC">
        <w:t>,</w:t>
      </w:r>
      <w:r>
        <w:t xml:space="preserve"> </w:t>
      </w:r>
      <w:r w:rsidRPr="004C08AC">
        <w:t xml:space="preserve">more detailed </w:t>
      </w:r>
      <w:r>
        <w:t xml:space="preserve">design </w:t>
      </w:r>
      <w:r w:rsidRPr="004C08AC">
        <w:t>options</w:t>
      </w:r>
      <w:r>
        <w:t xml:space="preserve"> at a later stage, and different methodologies to realise the design at the implementation stage</w:t>
      </w:r>
      <w:r w:rsidRPr="004C08AC">
        <w:t xml:space="preserve">. </w:t>
      </w:r>
      <w:r>
        <w:t>This process is known as ‘optioneering’. W</w:t>
      </w:r>
      <w:r w:rsidRPr="00F016E0">
        <w:t xml:space="preserve">here </w:t>
      </w:r>
      <w:r>
        <w:t xml:space="preserve">safety </w:t>
      </w:r>
      <w:r w:rsidRPr="00F016E0">
        <w:t xml:space="preserve">cases or </w:t>
      </w:r>
      <w:r>
        <w:t>safety reports</w:t>
      </w:r>
      <w:r w:rsidRPr="00F016E0">
        <w:t xml:space="preserve"> are required to be submitted </w:t>
      </w:r>
      <w:r>
        <w:t xml:space="preserve">by dutyholders </w:t>
      </w:r>
      <w:r w:rsidRPr="00F016E0">
        <w:t xml:space="preserve">to </w:t>
      </w:r>
      <w:r>
        <w:t>ONR at the design stage</w:t>
      </w:r>
      <w:r w:rsidRPr="00F016E0">
        <w:t xml:space="preserve">, </w:t>
      </w:r>
      <w:r>
        <w:t>ONR</w:t>
      </w:r>
      <w:r w:rsidRPr="00F016E0">
        <w:t xml:space="preserve"> will assess the option</w:t>
      </w:r>
      <w:r>
        <w:t xml:space="preserve"> presented by the dutyholder.</w:t>
      </w:r>
      <w:r w:rsidRPr="00F016E0">
        <w:t xml:space="preserve"> </w:t>
      </w:r>
      <w:r>
        <w:t>W</w:t>
      </w:r>
      <w:r w:rsidRPr="00F016E0">
        <w:t xml:space="preserve">here </w:t>
      </w:r>
      <w:r>
        <w:t xml:space="preserve">ONR judges that option </w:t>
      </w:r>
      <w:r w:rsidRPr="00F016E0">
        <w:t xml:space="preserve">does not reduce risks ALARP, </w:t>
      </w:r>
      <w:r>
        <w:t>it</w:t>
      </w:r>
      <w:r w:rsidRPr="00F016E0">
        <w:t xml:space="preserve"> </w:t>
      </w:r>
      <w:r>
        <w:t xml:space="preserve">will inform the dutyholder of its </w:t>
      </w:r>
      <w:r w:rsidR="00100539">
        <w:t>decision</w:t>
      </w:r>
      <w:r>
        <w:t xml:space="preserve">, </w:t>
      </w:r>
      <w:r w:rsidRPr="00307389">
        <w:t xml:space="preserve">and it may reject the case and ask the dutyholder to consider </w:t>
      </w:r>
      <w:r w:rsidR="003B4876">
        <w:t>alternative</w:t>
      </w:r>
      <w:r w:rsidRPr="00307389">
        <w:t xml:space="preserve"> option</w:t>
      </w:r>
      <w:r w:rsidR="00100539">
        <w:t>s</w:t>
      </w:r>
      <w:r w:rsidRPr="00307389">
        <w:t xml:space="preserve">, </w:t>
      </w:r>
      <w:r w:rsidR="00B40836">
        <w:t>and/</w:t>
      </w:r>
      <w:r w:rsidRPr="00307389">
        <w:t xml:space="preserve">or use its enforcement powers to prevent further work, depending on the situation. Appendix 3 outlines ONR’s </w:t>
      </w:r>
      <w:r w:rsidR="00100539">
        <w:t>expectations</w:t>
      </w:r>
      <w:r w:rsidRPr="00307389">
        <w:t xml:space="preserve"> on optioneering</w:t>
      </w:r>
      <w:r>
        <w:t xml:space="preserve"> in more detail.</w:t>
      </w:r>
      <w:r w:rsidR="000D6870">
        <w:t xml:space="preserve"> </w:t>
      </w:r>
    </w:p>
    <w:p w14:paraId="44862B6A" w14:textId="7446E2B1" w:rsidR="0089711D" w:rsidRDefault="00BF3B2A" w:rsidP="00BF3B2A">
      <w:pPr>
        <w:pStyle w:val="F9-Paragraph"/>
      </w:pPr>
      <w:r>
        <w:t xml:space="preserve">ONR seeks to protect future generations at least as well as </w:t>
      </w:r>
      <w:r w:rsidR="00D378BF">
        <w:t>it</w:t>
      </w:r>
      <w:r>
        <w:t xml:space="preserve"> seek</w:t>
      </w:r>
      <w:r w:rsidR="00D378BF">
        <w:t>s</w:t>
      </w:r>
      <w:r>
        <w:t xml:space="preserve"> to protect the present one. Therefore, ONR expects dutyholders to demonstrate that risks to future generations are reduced </w:t>
      </w:r>
      <w:r w:rsidR="00A1005E">
        <w:t xml:space="preserve">to </w:t>
      </w:r>
      <w:r>
        <w:t xml:space="preserve">at least the levels of risk that </w:t>
      </w:r>
      <w:r w:rsidR="00A1005E">
        <w:t>are judged to be tolerable for</w:t>
      </w:r>
      <w:r>
        <w:t xml:space="preserve"> the present generation.</w:t>
      </w:r>
      <w:r w:rsidRPr="00000346">
        <w:t xml:space="preserve"> Some projects in the nuclear industry</w:t>
      </w:r>
      <w:r>
        <w:t xml:space="preserve"> run over many years</w:t>
      </w:r>
      <w:r w:rsidRPr="00000346">
        <w:t xml:space="preserve">, </w:t>
      </w:r>
      <w:r>
        <w:t xml:space="preserve">including </w:t>
      </w:r>
      <w:r w:rsidRPr="00000346">
        <w:t>new</w:t>
      </w:r>
      <w:r w:rsidR="002A558D">
        <w:t>-</w:t>
      </w:r>
      <w:r w:rsidRPr="00000346">
        <w:t>build</w:t>
      </w:r>
      <w:r>
        <w:t xml:space="preserve"> nuclear power plant and those associated with radioactive waste management and decommissioning</w:t>
      </w:r>
      <w:r w:rsidR="00A1005E">
        <w:t>. T</w:t>
      </w:r>
      <w:r>
        <w:t>he resultant risks may affect future generations of workers and the public</w:t>
      </w:r>
      <w:r w:rsidR="00E1414C">
        <w:t>,</w:t>
      </w:r>
      <w:r>
        <w:t xml:space="preserve"> as well as the present generation. For such cases</w:t>
      </w:r>
      <w:r w:rsidR="00BF783F">
        <w:t>,</w:t>
      </w:r>
      <w:r>
        <w:t xml:space="preserve"> </w:t>
      </w:r>
      <w:r w:rsidR="001F725E">
        <w:t xml:space="preserve">ONR expects </w:t>
      </w:r>
      <w:r>
        <w:t xml:space="preserve">dutyholders </w:t>
      </w:r>
      <w:r w:rsidR="001F725E">
        <w:t>to</w:t>
      </w:r>
      <w:r>
        <w:t xml:space="preserve"> assess risks in a holistic manner and not </w:t>
      </w:r>
      <w:r w:rsidR="004D0B02">
        <w:t xml:space="preserve">be </w:t>
      </w:r>
      <w:r>
        <w:t>restricted to part of the overall time period or part of a process.</w:t>
      </w:r>
    </w:p>
    <w:p w14:paraId="093095A7" w14:textId="4C9073A7" w:rsidR="00BE7A95" w:rsidRDefault="00BE7A95" w:rsidP="00BE7A95">
      <w:pPr>
        <w:pStyle w:val="F9-Paragraph"/>
      </w:pPr>
      <w:r>
        <w:t xml:space="preserve">There may be circumstances where risks increase for a short period of time due to actions taken that are intended to: </w:t>
      </w:r>
    </w:p>
    <w:p w14:paraId="27E9CFE8" w14:textId="0E33BCF7" w:rsidR="00BE7A95" w:rsidRDefault="00BE7A95" w:rsidP="00BE7A95">
      <w:pPr>
        <w:pStyle w:val="Bulletlist1"/>
      </w:pPr>
      <w:r>
        <w:t>sustain normal operation, for example carrying out maintenance activities, temporary disconnection of safety measures to allow completion of essential tasks;</w:t>
      </w:r>
    </w:p>
    <w:p w14:paraId="4FD9BF83" w14:textId="060A3157" w:rsidR="00BE7A95" w:rsidRDefault="00BE7A95" w:rsidP="00BE7A95">
      <w:pPr>
        <w:pStyle w:val="Bulletlist1"/>
      </w:pPr>
      <w:r>
        <w:t xml:space="preserve">upkeep </w:t>
      </w:r>
      <w:r w:rsidR="00A81E2E">
        <w:t xml:space="preserve">of </w:t>
      </w:r>
      <w:r>
        <w:t xml:space="preserve">ageing facilities with eroded safety margins, i.e. higher risk than newer facilities that are designed to modern standards, but have limited remaining operating life; </w:t>
      </w:r>
    </w:p>
    <w:p w14:paraId="6F94E253" w14:textId="77777777" w:rsidR="00BE7A95" w:rsidRDefault="00BE7A95" w:rsidP="00BE7A95">
      <w:pPr>
        <w:pStyle w:val="Bulletlist1"/>
      </w:pPr>
      <w:r>
        <w:t>reduce the hazard of the facility at the end of its life, for example clean-out, decommissioning and/or dismantling plant or structure;</w:t>
      </w:r>
    </w:p>
    <w:p w14:paraId="3DBB6CE9" w14:textId="77777777" w:rsidR="00BE7A95" w:rsidRDefault="00BE7A95" w:rsidP="00BE7A95">
      <w:pPr>
        <w:pStyle w:val="Bulletlist1"/>
      </w:pPr>
      <w:r>
        <w:t xml:space="preserve">reduce risks in an emergency condition. </w:t>
      </w:r>
    </w:p>
    <w:p w14:paraId="4D8BD9D5" w14:textId="79C3669F" w:rsidR="00BE7A95" w:rsidRDefault="00BE7A95" w:rsidP="001503D0">
      <w:pPr>
        <w:pStyle w:val="F9-Paragraph"/>
        <w:numPr>
          <w:ilvl w:val="0"/>
          <w:numId w:val="0"/>
        </w:numPr>
        <w:ind w:left="851"/>
      </w:pPr>
      <w:r>
        <w:t>ONR expects dutyholders to have considered these circumstances, also known as ‘time at risk situations’</w:t>
      </w:r>
      <w:r w:rsidR="00622EF4">
        <w:t>,</w:t>
      </w:r>
      <w:r>
        <w:t xml:space="preserve"> </w:t>
      </w:r>
      <w:r w:rsidR="00A12DEF">
        <w:t xml:space="preserve">in the risk assessment and demonstrate such risks </w:t>
      </w:r>
      <w:r w:rsidR="00E72B55">
        <w:t>are appropriately monitored and controlled</w:t>
      </w:r>
      <w:r w:rsidRPr="007822B1">
        <w:t>. Appendix 2 outlines</w:t>
      </w:r>
      <w:r>
        <w:t xml:space="preserve"> our </w:t>
      </w:r>
      <w:r w:rsidR="001503D0">
        <w:t>expectations</w:t>
      </w:r>
      <w:r>
        <w:t xml:space="preserve"> in more detail.</w:t>
      </w:r>
    </w:p>
    <w:p w14:paraId="57EB6CA2" w14:textId="77777777" w:rsidR="009B0959" w:rsidRDefault="009B0959" w:rsidP="00B22E13">
      <w:pPr>
        <w:pStyle w:val="Heading3"/>
        <w:sectPr w:rsidR="009B0959" w:rsidSect="007E1540">
          <w:pgSz w:w="11906" w:h="16838" w:code="9"/>
          <w:pgMar w:top="1440" w:right="1440" w:bottom="1440" w:left="1440" w:header="397" w:footer="397" w:gutter="0"/>
          <w:cols w:space="312"/>
          <w:docGrid w:linePitch="360"/>
        </w:sectPr>
      </w:pPr>
    </w:p>
    <w:p w14:paraId="5D003241" w14:textId="724A2D61" w:rsidR="009412FD" w:rsidRPr="001A35F7" w:rsidRDefault="00132531" w:rsidP="00B22E13">
      <w:pPr>
        <w:pStyle w:val="Heading3"/>
      </w:pPr>
      <w:r>
        <w:lastRenderedPageBreak/>
        <w:t>5.2.3.</w:t>
      </w:r>
      <w:r>
        <w:tab/>
      </w:r>
      <w:r w:rsidR="00541A4F">
        <w:t>Written assessment</w:t>
      </w:r>
      <w:r w:rsidR="00CE3543">
        <w:t xml:space="preserve"> of foreseeable risks</w:t>
      </w:r>
    </w:p>
    <w:p w14:paraId="0BFE0206" w14:textId="3FF63E88" w:rsidR="00B10649" w:rsidRDefault="006D6082" w:rsidP="00850071">
      <w:pPr>
        <w:pStyle w:val="F9-Paragraph"/>
      </w:pPr>
      <w:r>
        <w:t xml:space="preserve">The </w:t>
      </w:r>
      <w:r w:rsidR="00237C0F">
        <w:t>requirements</w:t>
      </w:r>
      <w:r>
        <w:t xml:space="preserve"> </w:t>
      </w:r>
      <w:r w:rsidR="00237C0F">
        <w:t xml:space="preserve">on dutyholders to </w:t>
      </w:r>
      <w:r w:rsidR="00401461">
        <w:t xml:space="preserve">carry out suitable and sufficient risk assessments and identify control measures to </w:t>
      </w:r>
      <w:r>
        <w:t xml:space="preserve">reduce risk to ALARP </w:t>
      </w:r>
      <w:r w:rsidR="00161059">
        <w:t>are</w:t>
      </w:r>
      <w:r>
        <w:t xml:space="preserve"> set</w:t>
      </w:r>
      <w:r w:rsidR="000A500D">
        <w:t xml:space="preserve"> out</w:t>
      </w:r>
      <w:r>
        <w:t xml:space="preserve"> </w:t>
      </w:r>
      <w:r w:rsidR="00A1005E">
        <w:t>within multiple</w:t>
      </w:r>
      <w:r>
        <w:t xml:space="preserve"> health and safety </w:t>
      </w:r>
      <w:r w:rsidR="00C75CFB">
        <w:t>regulations</w:t>
      </w:r>
      <w:r>
        <w:t xml:space="preserve"> </w:t>
      </w:r>
      <w:r w:rsidR="00A431A9">
        <w:t xml:space="preserve">manifested from </w:t>
      </w:r>
      <w:r w:rsidR="00237C0F">
        <w:t>HSWA</w:t>
      </w:r>
      <w:r w:rsidR="00A1005E">
        <w:t>. Nevertheless,</w:t>
      </w:r>
      <w:r w:rsidR="00AD6719">
        <w:t xml:space="preserve"> </w:t>
      </w:r>
      <w:r w:rsidR="003709A2">
        <w:t xml:space="preserve">the law does not often specify how </w:t>
      </w:r>
      <w:r w:rsidR="0035166D">
        <w:t>risk assessments must be carried out</w:t>
      </w:r>
      <w:r w:rsidR="003709A2">
        <w:t xml:space="preserve"> by the dutyholders. </w:t>
      </w:r>
      <w:r w:rsidR="00F02727">
        <w:t xml:space="preserve">It is therefore </w:t>
      </w:r>
      <w:r w:rsidR="00887002">
        <w:t>the dutyholder</w:t>
      </w:r>
      <w:r w:rsidR="0035166D">
        <w:t>’</w:t>
      </w:r>
      <w:r w:rsidR="00887002">
        <w:t xml:space="preserve">s </w:t>
      </w:r>
      <w:r w:rsidR="0035166D">
        <w:t xml:space="preserve">responsibility </w:t>
      </w:r>
      <w:r w:rsidR="00887002">
        <w:t xml:space="preserve">to decide </w:t>
      </w:r>
      <w:r w:rsidR="00DA567E">
        <w:t xml:space="preserve">how to </w:t>
      </w:r>
      <w:r w:rsidR="004740C9">
        <w:t xml:space="preserve">demonstrate their </w:t>
      </w:r>
      <w:r w:rsidR="00A97084">
        <w:t xml:space="preserve">existing or proposed </w:t>
      </w:r>
      <w:r w:rsidR="004740C9">
        <w:t xml:space="preserve">control measures </w:t>
      </w:r>
      <w:r w:rsidR="00A16DC3">
        <w:t xml:space="preserve">have </w:t>
      </w:r>
      <w:r w:rsidR="000A3C06">
        <w:t>reduced or will reduce</w:t>
      </w:r>
      <w:r w:rsidR="00DA567E">
        <w:t xml:space="preserve"> the risk</w:t>
      </w:r>
      <w:r w:rsidR="000A3C06">
        <w:t>s</w:t>
      </w:r>
      <w:r w:rsidR="00DA567E">
        <w:t xml:space="preserve"> to ALARP</w:t>
      </w:r>
      <w:r w:rsidR="000A3C06">
        <w:t>. O</w:t>
      </w:r>
      <w:r w:rsidR="001B3124">
        <w:t>ptions</w:t>
      </w:r>
      <w:r w:rsidR="00743BBB">
        <w:t xml:space="preserve"> </w:t>
      </w:r>
      <w:r w:rsidR="001B3124">
        <w:t>include</w:t>
      </w:r>
      <w:r w:rsidR="00B10649">
        <w:t xml:space="preserve"> demonstrating by:</w:t>
      </w:r>
    </w:p>
    <w:p w14:paraId="66F4E053" w14:textId="0060AD40" w:rsidR="00B10649" w:rsidRDefault="001B3124" w:rsidP="00B10649">
      <w:pPr>
        <w:pStyle w:val="Bulletlist1"/>
      </w:pPr>
      <w:r>
        <w:t>adherence with applicable RGP</w:t>
      </w:r>
      <w:r w:rsidR="002F7345">
        <w:t xml:space="preserve"> for well-</w:t>
      </w:r>
      <w:r w:rsidR="0062037B">
        <w:t>characterised</w:t>
      </w:r>
      <w:r w:rsidR="002F7345">
        <w:t xml:space="preserve"> risks</w:t>
      </w:r>
      <w:r w:rsidR="0035166D">
        <w:t>;</w:t>
      </w:r>
      <w:r w:rsidR="00B10649">
        <w:t xml:space="preserve"> </w:t>
      </w:r>
    </w:p>
    <w:p w14:paraId="0AC7A12D" w14:textId="17E31E1C" w:rsidR="00B10649" w:rsidRDefault="00B10649" w:rsidP="00B10649">
      <w:pPr>
        <w:pStyle w:val="Bulletlist1"/>
      </w:pPr>
      <w:r>
        <w:t xml:space="preserve">using </w:t>
      </w:r>
      <w:r w:rsidR="00A81E2E">
        <w:t xml:space="preserve">a </w:t>
      </w:r>
      <w:r w:rsidR="00837199">
        <w:t>suitable alternative to applicable RGP</w:t>
      </w:r>
      <w:r w:rsidR="0035166D">
        <w:t>;</w:t>
      </w:r>
    </w:p>
    <w:p w14:paraId="7F953A88" w14:textId="7F06D1F1" w:rsidR="00667083" w:rsidRDefault="00E62B3F" w:rsidP="00256394">
      <w:pPr>
        <w:pStyle w:val="Bulletlist1"/>
      </w:pPr>
      <w:r>
        <w:t xml:space="preserve">using </w:t>
      </w:r>
      <w:r w:rsidR="00A81E2E">
        <w:t xml:space="preserve">a </w:t>
      </w:r>
      <w:r w:rsidR="00837199">
        <w:t>first-principle</w:t>
      </w:r>
      <w:r w:rsidR="00787B3B">
        <w:t>s assessment approach</w:t>
      </w:r>
      <w:r>
        <w:t xml:space="preserve">, </w:t>
      </w:r>
      <w:r w:rsidR="00766EA7">
        <w:t xml:space="preserve">which is </w:t>
      </w:r>
      <w:r>
        <w:t>commonly used for novel and less understood risks</w:t>
      </w:r>
      <w:r w:rsidR="00192082">
        <w:t xml:space="preserve"> or combination of risks</w:t>
      </w:r>
      <w:r w:rsidR="0035166D">
        <w:t>.</w:t>
      </w:r>
    </w:p>
    <w:p w14:paraId="7ECFEB22" w14:textId="697E1C70" w:rsidR="0044649A" w:rsidRDefault="0044649A" w:rsidP="00DF52DF">
      <w:pPr>
        <w:pStyle w:val="F9-Paragraph"/>
      </w:pPr>
      <w:r>
        <w:t>In the case of complex/high hazard situations such as a nuclear power reactor or a fuel reprocessing facility, a comprehensive probabilistic safety analysis (PSA)</w:t>
      </w:r>
      <w:r w:rsidR="009D4189">
        <w:t xml:space="preserve"> is expected to be developed by the dutyholder</w:t>
      </w:r>
      <w:r w:rsidR="0035166D">
        <w:t xml:space="preserve"> to complement the deterministic safety demonstration</w:t>
      </w:r>
      <w:r w:rsidR="009D4189">
        <w:t>.</w:t>
      </w:r>
    </w:p>
    <w:p w14:paraId="42823E0F" w14:textId="65B228B1" w:rsidR="006B36FC" w:rsidRDefault="00263C4B" w:rsidP="00DF52DF">
      <w:pPr>
        <w:pStyle w:val="F9-Paragraph"/>
      </w:pPr>
      <w:r>
        <w:t xml:space="preserve">In addition to </w:t>
      </w:r>
      <w:r w:rsidR="00907611">
        <w:t>the</w:t>
      </w:r>
      <w:r w:rsidR="003D6836">
        <w:t xml:space="preserve"> above duties, t</w:t>
      </w:r>
      <w:r w:rsidR="00AF745F">
        <w:t xml:space="preserve">he </w:t>
      </w:r>
      <w:r w:rsidR="00832026" w:rsidRPr="00715895">
        <w:t>Management of Health and Safety Regulations 1999 (MHSWR)</w:t>
      </w:r>
      <w:r w:rsidR="00AF745F">
        <w:t xml:space="preserve"> </w:t>
      </w:r>
      <w:r w:rsidR="00C947A5">
        <w:t xml:space="preserve">Regulation 3(6) </w:t>
      </w:r>
      <w:r w:rsidR="00B22005">
        <w:t xml:space="preserve">places an overarching </w:t>
      </w:r>
      <w:r w:rsidR="00A72B8D">
        <w:t xml:space="preserve">duty that </w:t>
      </w:r>
      <w:r w:rsidR="00832026">
        <w:t>requires employers</w:t>
      </w:r>
      <w:r w:rsidR="00FE7D9F">
        <w:t xml:space="preserve"> with five or more employees to record the significant findings of the assessment and any groups of the employees identified by it as being especially at risk</w:t>
      </w:r>
      <w:r w:rsidR="00B22005">
        <w:t>.</w:t>
      </w:r>
      <w:r w:rsidR="00A72B8D">
        <w:t xml:space="preserve"> This is a duty that has been included in other health and safety legislation</w:t>
      </w:r>
      <w:r w:rsidR="00CE6C04">
        <w:t>, for example</w:t>
      </w:r>
      <w:r w:rsidR="008728A8">
        <w:t>,</w:t>
      </w:r>
      <w:r w:rsidR="00CE6C04">
        <w:t xml:space="preserve"> but not limited to, the </w:t>
      </w:r>
      <w:r w:rsidR="00B14FB2">
        <w:t>Ionising Radiation Regulations 2017 (IRR17)</w:t>
      </w:r>
      <w:r w:rsidR="003F496E">
        <w:t xml:space="preserve"> (Regulation 8)</w:t>
      </w:r>
      <w:r w:rsidR="006241BE">
        <w:t xml:space="preserve">, the Control </w:t>
      </w:r>
      <w:r w:rsidR="00B3632A">
        <w:t>o</w:t>
      </w:r>
      <w:r w:rsidR="006241BE">
        <w:t>f Substances Hazardous to Health Regulations 2002 (COSHH) (Regulation 6</w:t>
      </w:r>
      <w:r w:rsidR="004042F1">
        <w:t>(4)</w:t>
      </w:r>
      <w:r w:rsidR="006241BE">
        <w:t>)</w:t>
      </w:r>
      <w:r w:rsidR="00BA19A9">
        <w:t>, the Dangerous Substances and Explosive Atmospheres Regulations 2002 (DSEAR) (Regulation 5(</w:t>
      </w:r>
      <w:r w:rsidR="000607AB">
        <w:t xml:space="preserve">4)) etc. </w:t>
      </w:r>
      <w:r w:rsidR="003D6836">
        <w:t xml:space="preserve">For licensees of nuclear installations, LC 23 </w:t>
      </w:r>
      <w:r w:rsidR="00060D40">
        <w:t>also requires them to produce an adequate safety ca</w:t>
      </w:r>
      <w:r w:rsidR="007E264D">
        <w:t>se on any operation that may affect safety</w:t>
      </w:r>
      <w:r w:rsidR="00520705">
        <w:t xml:space="preserve"> to demonstrate the safety of that operation and to identify the conditions and limits necessary in the interests of safety.</w:t>
      </w:r>
      <w:r w:rsidR="00B22005">
        <w:t xml:space="preserve"> </w:t>
      </w:r>
      <w:r w:rsidR="009415E4">
        <w:t xml:space="preserve">Similarly, </w:t>
      </w:r>
      <w:r w:rsidR="00CD7117">
        <w:t>the Control of Major Accident Hazard</w:t>
      </w:r>
      <w:r w:rsidR="00D07E25">
        <w:t>s</w:t>
      </w:r>
      <w:r w:rsidR="00CD7117">
        <w:t xml:space="preserve"> Regulations 2015 (COMAH) </w:t>
      </w:r>
      <w:r w:rsidR="00D07E25">
        <w:t>Part 3 requires the operator of an upper tier establishment</w:t>
      </w:r>
      <w:r w:rsidR="00A3455B">
        <w:t>, wh</w:t>
      </w:r>
      <w:r w:rsidR="00D02120">
        <w:t>o</w:t>
      </w:r>
      <w:r w:rsidR="00A3455B">
        <w:t xml:space="preserve"> can be </w:t>
      </w:r>
      <w:r w:rsidR="00D4111C">
        <w:t xml:space="preserve">a </w:t>
      </w:r>
      <w:r w:rsidR="00D02120">
        <w:t>part or whole of a nuclear licensed site,</w:t>
      </w:r>
      <w:r w:rsidR="00D07E25">
        <w:t xml:space="preserve"> to prepare a safety report </w:t>
      </w:r>
      <w:r w:rsidR="00EB05D9">
        <w:t>for the purpose of demonstrating that the major accident hazards and possible major accident scenarios</w:t>
      </w:r>
      <w:r w:rsidR="00767EED">
        <w:t xml:space="preserve"> in relation to the establishment have been identified</w:t>
      </w:r>
      <w:r w:rsidR="00993289">
        <w:t>,</w:t>
      </w:r>
      <w:r w:rsidR="00767EED">
        <w:t xml:space="preserve"> and the necessary measures have been taken to prevent such accidents</w:t>
      </w:r>
      <w:r w:rsidR="00993289">
        <w:t>,</w:t>
      </w:r>
      <w:r w:rsidR="00767EED">
        <w:t xml:space="preserve"> and to limit their consequences for human health and the environment. </w:t>
      </w:r>
    </w:p>
    <w:p w14:paraId="3D969E10" w14:textId="77777777" w:rsidR="009B0959" w:rsidRDefault="009B0959" w:rsidP="00227610">
      <w:pPr>
        <w:pStyle w:val="F9-Paragraph"/>
        <w:sectPr w:rsidR="009B0959" w:rsidSect="007E1540">
          <w:pgSz w:w="11906" w:h="16838" w:code="9"/>
          <w:pgMar w:top="1440" w:right="1440" w:bottom="1440" w:left="1440" w:header="397" w:footer="397" w:gutter="0"/>
          <w:cols w:space="312"/>
          <w:docGrid w:linePitch="360"/>
        </w:sectPr>
      </w:pPr>
    </w:p>
    <w:p w14:paraId="40ADE119" w14:textId="0C6E0F36" w:rsidR="006C47ED" w:rsidRDefault="00A355C6" w:rsidP="00227610">
      <w:pPr>
        <w:pStyle w:val="F9-Paragraph"/>
      </w:pPr>
      <w:r>
        <w:lastRenderedPageBreak/>
        <w:t xml:space="preserve">It is important to note that </w:t>
      </w:r>
      <w:r w:rsidRPr="00A355C6">
        <w:t>although there are legal duties to record risk assessments</w:t>
      </w:r>
      <w:r w:rsidR="00CF15D0">
        <w:t xml:space="preserve">, produce </w:t>
      </w:r>
      <w:r w:rsidRPr="00A355C6">
        <w:t>safety cases</w:t>
      </w:r>
      <w:r w:rsidR="00CF15D0">
        <w:t xml:space="preserve"> and safety reports</w:t>
      </w:r>
      <w:r w:rsidRPr="00A355C6">
        <w:t>, t</w:t>
      </w:r>
      <w:r w:rsidR="00AD6719" w:rsidRPr="00A355C6">
        <w:t>here is no explicit legal requirement for a dutyholder to produce a specific document</w:t>
      </w:r>
      <w:r w:rsidR="00C2365C" w:rsidRPr="00A355C6">
        <w:t xml:space="preserve"> to </w:t>
      </w:r>
      <w:r w:rsidR="000A500D">
        <w:t xml:space="preserve">demonstrate </w:t>
      </w:r>
      <w:r w:rsidR="0035166D">
        <w:t>that</w:t>
      </w:r>
      <w:r w:rsidR="00C2365C" w:rsidRPr="00A355C6">
        <w:t xml:space="preserve"> risks</w:t>
      </w:r>
      <w:r w:rsidR="0035166D">
        <w:t xml:space="preserve"> are reduced</w:t>
      </w:r>
      <w:r w:rsidR="00C2365C" w:rsidRPr="00A355C6">
        <w:t xml:space="preserve"> to ALARP</w:t>
      </w:r>
      <w:r w:rsidR="001F685A" w:rsidRPr="00A355C6">
        <w:t>.</w:t>
      </w:r>
      <w:r w:rsidR="00AD6719" w:rsidRPr="00A355C6">
        <w:t xml:space="preserve"> </w:t>
      </w:r>
      <w:r w:rsidR="00462031">
        <w:t xml:space="preserve">However, </w:t>
      </w:r>
      <w:r w:rsidR="00D63DBD">
        <w:t>in making its judgement on whether a dutyholder has reduced</w:t>
      </w:r>
      <w:r w:rsidR="008F3813">
        <w:t>,</w:t>
      </w:r>
      <w:r w:rsidR="00D63DBD">
        <w:t xml:space="preserve"> or will reduce risk</w:t>
      </w:r>
      <w:r w:rsidR="004436B7">
        <w:t xml:space="preserve">s to ALARP, </w:t>
      </w:r>
      <w:r w:rsidR="00462031">
        <w:t>ONR</w:t>
      </w:r>
      <w:r w:rsidR="00462031" w:rsidRPr="00462031">
        <w:t xml:space="preserve"> expect</w:t>
      </w:r>
      <w:r w:rsidR="00462031">
        <w:t>s</w:t>
      </w:r>
      <w:r w:rsidR="00462031" w:rsidRPr="00462031">
        <w:t xml:space="preserve"> dutyholders to be able to provide </w:t>
      </w:r>
      <w:r w:rsidR="004436B7">
        <w:t xml:space="preserve">the relevant </w:t>
      </w:r>
      <w:r w:rsidR="00462031" w:rsidRPr="00462031">
        <w:t>evidence</w:t>
      </w:r>
      <w:r w:rsidR="004436B7">
        <w:t xml:space="preserve"> that may be </w:t>
      </w:r>
      <w:r w:rsidR="0015587D">
        <w:t>captured in a written form</w:t>
      </w:r>
      <w:r w:rsidR="00462031" w:rsidRPr="00462031">
        <w:t>.</w:t>
      </w:r>
      <w:r w:rsidR="00856590">
        <w:t xml:space="preserve"> </w:t>
      </w:r>
      <w:r w:rsidR="005B7509">
        <w:t>I</w:t>
      </w:r>
      <w:r w:rsidR="00856590">
        <w:t>n court proceedings, dutyholders will</w:t>
      </w:r>
      <w:r w:rsidR="005B7509">
        <w:t xml:space="preserve"> also</w:t>
      </w:r>
      <w:r w:rsidR="00856590">
        <w:t xml:space="preserve"> be asked t</w:t>
      </w:r>
      <w:r w:rsidR="002E08B0">
        <w:t>o present evidence to demonstrate they have reduced risks to ALARP.</w:t>
      </w:r>
    </w:p>
    <w:p w14:paraId="5E2A1C02" w14:textId="6FC6001B" w:rsidR="009D4189" w:rsidRDefault="009D4189" w:rsidP="00227610">
      <w:pPr>
        <w:pStyle w:val="F9-Paragraph"/>
      </w:pPr>
      <w:r>
        <w:t>Many dutyholders will have quantitative risk assessment methodologies as part of their safety case processes. ONR recognises the importance these analyses may have</w:t>
      </w:r>
      <w:r w:rsidR="00301DF0">
        <w:t xml:space="preserve"> to inform engineering choices and demonstrating the effectiveness of decisions made to reduce risks</w:t>
      </w:r>
      <w:r w:rsidR="0035166D">
        <w:t>.</w:t>
      </w:r>
      <w:r w:rsidR="0053217F">
        <w:t xml:space="preserve"> ONR </w:t>
      </w:r>
      <w:r w:rsidR="0035166D">
        <w:t>may take such analysis into consideration when making a judgement</w:t>
      </w:r>
      <w:r w:rsidR="0053217F">
        <w:t xml:space="preserve"> against one or more of the numerical targets in the SAPs.</w:t>
      </w:r>
    </w:p>
    <w:p w14:paraId="67334E37" w14:textId="31C992EA" w:rsidR="00670677" w:rsidRDefault="00132531" w:rsidP="00CE3543">
      <w:pPr>
        <w:pStyle w:val="Heading3"/>
      </w:pPr>
      <w:r>
        <w:t>5.2.4.</w:t>
      </w:r>
      <w:r>
        <w:tab/>
      </w:r>
      <w:r w:rsidR="005F3035" w:rsidRPr="005F3035">
        <w:t xml:space="preserve">Appropriate use of RGP </w:t>
      </w:r>
    </w:p>
    <w:p w14:paraId="687CECDD" w14:textId="59620EA9" w:rsidR="005F3035" w:rsidRDefault="005F3035" w:rsidP="005F3035">
      <w:pPr>
        <w:pStyle w:val="F9-Paragraph"/>
      </w:pPr>
      <w:r>
        <w:t xml:space="preserve">When making judgements on </w:t>
      </w:r>
      <w:r w:rsidR="00CF5689">
        <w:t xml:space="preserve">the adequacy of </w:t>
      </w:r>
      <w:r>
        <w:t xml:space="preserve">a dutyholder’s </w:t>
      </w:r>
      <w:r w:rsidR="0035166D">
        <w:t xml:space="preserve">evidence to support the demonstration that risks are reduced to </w:t>
      </w:r>
      <w:r>
        <w:t xml:space="preserve">ALARP, ONR may accept the application of RGP in an appropriate manner as a sufficient demonstration </w:t>
      </w:r>
      <w:r w:rsidR="00D74605">
        <w:t>(refer to</w:t>
      </w:r>
      <w:r w:rsidR="00D363F1">
        <w:t xml:space="preserve"> </w:t>
      </w:r>
      <w:r w:rsidR="001C52F7">
        <w:t xml:space="preserve">Section </w:t>
      </w:r>
      <w:r w:rsidR="00D363F1">
        <w:t>5.1.6)</w:t>
      </w:r>
      <w:r>
        <w:t xml:space="preserve">. ONR does not normally accept a lower standard of protection than those outlined in the current RGP. Where dutyholders choose to adopt a different approach to reduce risks to ALARP than those outlined in the RGP, ONR may seek further assurance that the risks from the dutyholders’ approach are no greater than the level achieved by adopting the RGP. </w:t>
      </w:r>
    </w:p>
    <w:p w14:paraId="1B97C715" w14:textId="6447DB42" w:rsidR="005F3035" w:rsidRDefault="005F3035" w:rsidP="005F3035">
      <w:pPr>
        <w:pStyle w:val="F9-Paragraph"/>
      </w:pPr>
      <w:r w:rsidRPr="00B43E1C">
        <w:t xml:space="preserve">The </w:t>
      </w:r>
      <w:r w:rsidR="0035166D">
        <w:t xml:space="preserve">appropriate </w:t>
      </w:r>
      <w:r w:rsidRPr="00B43E1C">
        <w:t xml:space="preserve">use of </w:t>
      </w:r>
      <w:r>
        <w:t>RGP</w:t>
      </w:r>
      <w:r w:rsidRPr="00B43E1C">
        <w:t xml:space="preserve"> at the design stage</w:t>
      </w:r>
      <w:r>
        <w:t xml:space="preserve"> of a project/facility</w:t>
      </w:r>
      <w:r w:rsidRPr="00B43E1C">
        <w:t xml:space="preserve"> is</w:t>
      </w:r>
      <w:r w:rsidR="0035166D">
        <w:t xml:space="preserve"> key t</w:t>
      </w:r>
      <w:r>
        <w:t>o have</w:t>
      </w:r>
      <w:r w:rsidRPr="004C08AC">
        <w:t xml:space="preserve"> consider</w:t>
      </w:r>
      <w:r>
        <w:t>ed</w:t>
      </w:r>
      <w:r w:rsidRPr="004C08AC">
        <w:t xml:space="preserve"> the risks involved in the whole lifecycle of a project</w:t>
      </w:r>
      <w:r>
        <w:t>/facility, including end of life considerations</w:t>
      </w:r>
      <w:r w:rsidRPr="004C08AC">
        <w:t>.</w:t>
      </w:r>
      <w:r>
        <w:t xml:space="preserve"> </w:t>
      </w:r>
      <w:r w:rsidRPr="00715895">
        <w:t xml:space="preserve">This should include the </w:t>
      </w:r>
      <w:r w:rsidR="00231379">
        <w:t xml:space="preserve">proportionate </w:t>
      </w:r>
      <w:r w:rsidRPr="00715895">
        <w:t xml:space="preserve">use of inherently safer design principles as well as codes, standards and guidance. ONR’s SAPs (ref. </w:t>
      </w:r>
      <w:sdt>
        <w:sdtPr>
          <w:id w:val="1924449844"/>
          <w:citation/>
        </w:sdtPr>
        <w:sdtContent>
          <w:r w:rsidRPr="00715895">
            <w:fldChar w:fldCharType="begin"/>
          </w:r>
          <w:r w:rsidR="00C67755">
            <w:instrText xml:space="preserve">CITATION Placeholder1 \l 2057 </w:instrText>
          </w:r>
          <w:r w:rsidRPr="00715895">
            <w:fldChar w:fldCharType="separate"/>
          </w:r>
          <w:r w:rsidR="00C67755">
            <w:rPr>
              <w:noProof/>
            </w:rPr>
            <w:t>[1]</w:t>
          </w:r>
          <w:r w:rsidRPr="00715895">
            <w:fldChar w:fldCharType="end"/>
          </w:r>
        </w:sdtContent>
      </w:sdt>
      <w:r w:rsidRPr="00715895">
        <w:t>) follow the general principles of prevention outlined in Schedule 1 of MHSWR, by aiming to eliminate a hazard in preference to controlling the hazard, and controlling the hazard in preference</w:t>
      </w:r>
      <w:r>
        <w:t xml:space="preserve"> to relying solely on </w:t>
      </w:r>
      <w:r w:rsidR="005E34AD">
        <w:t>good behaviours from people involved</w:t>
      </w:r>
      <w:r>
        <w:t>, and collective protective measure</w:t>
      </w:r>
      <w:r w:rsidR="00CF52F9">
        <w:t>s</w:t>
      </w:r>
      <w:r>
        <w:t xml:space="preserve"> in preference to individual protection measures</w:t>
      </w:r>
      <w:r w:rsidRPr="00B43E1C">
        <w:t>.</w:t>
      </w:r>
      <w:r w:rsidRPr="001D6AB7">
        <w:t xml:space="preserve"> </w:t>
      </w:r>
      <w:r w:rsidRPr="00E833CF">
        <w:t xml:space="preserve">ONR </w:t>
      </w:r>
      <w:r>
        <w:t>makes</w:t>
      </w:r>
      <w:r w:rsidRPr="00E833CF">
        <w:t xml:space="preserve"> its judgement</w:t>
      </w:r>
      <w:r w:rsidR="00367C2F">
        <w:t>s</w:t>
      </w:r>
      <w:r w:rsidRPr="00E833CF">
        <w:t xml:space="preserve"> on whether a design</w:t>
      </w:r>
      <w:r w:rsidR="00D2334E">
        <w:t>, or a particular approach,</w:t>
      </w:r>
      <w:r w:rsidRPr="00E833CF">
        <w:t xml:space="preserve"> reduces risks to ALARP based on its knowledge as a regulator, including its knowledge of </w:t>
      </w:r>
      <w:r>
        <w:t>RGP</w:t>
      </w:r>
      <w:r w:rsidRPr="00E833CF">
        <w:t xml:space="preserve"> in that area, and its knowledge of other possible design options</w:t>
      </w:r>
      <w:r>
        <w:t xml:space="preserve">. </w:t>
      </w:r>
    </w:p>
    <w:p w14:paraId="43F459CE" w14:textId="77777777" w:rsidR="00835E88" w:rsidRDefault="00835E88" w:rsidP="005F3035">
      <w:pPr>
        <w:pStyle w:val="F9-Paragraph"/>
        <w:sectPr w:rsidR="00835E88" w:rsidSect="007E1540">
          <w:pgSz w:w="11906" w:h="16838" w:code="9"/>
          <w:pgMar w:top="1440" w:right="1440" w:bottom="1440" w:left="1440" w:header="397" w:footer="397" w:gutter="0"/>
          <w:cols w:space="312"/>
          <w:docGrid w:linePitch="360"/>
        </w:sectPr>
      </w:pPr>
    </w:p>
    <w:p w14:paraId="28BD4094" w14:textId="213AC370" w:rsidR="005F3035" w:rsidRDefault="003E5F13" w:rsidP="005F3035">
      <w:pPr>
        <w:pStyle w:val="F9-Paragraph"/>
      </w:pPr>
      <w:r>
        <w:lastRenderedPageBreak/>
        <w:t>ONR expects</w:t>
      </w:r>
      <w:r w:rsidR="005F3035" w:rsidRPr="00715895">
        <w:t xml:space="preserve"> </w:t>
      </w:r>
      <w:r w:rsidR="00EF02C2">
        <w:t xml:space="preserve">dutyholders to ensure </w:t>
      </w:r>
      <w:r w:rsidR="00C46449">
        <w:t xml:space="preserve">risks arising from </w:t>
      </w:r>
      <w:r w:rsidR="005F3035" w:rsidRPr="00715895">
        <w:t>a new facility or activity meet the BSLs set out in the SAPs</w:t>
      </w:r>
      <w:r w:rsidR="008615B0">
        <w:t xml:space="preserve"> </w:t>
      </w:r>
      <w:r w:rsidR="00EF02C2">
        <w:t xml:space="preserve">as a minimum </w:t>
      </w:r>
      <w:r w:rsidR="00D74605">
        <w:t>(refer to</w:t>
      </w:r>
      <w:r w:rsidR="008615B0">
        <w:t xml:space="preserve"> </w:t>
      </w:r>
      <w:r w:rsidR="001C52F7">
        <w:t xml:space="preserve">Section </w:t>
      </w:r>
      <w:r w:rsidR="008E1F71">
        <w:t>5.3.1</w:t>
      </w:r>
      <w:r w:rsidR="00A8581F">
        <w:t>)</w:t>
      </w:r>
      <w:r w:rsidR="005F3035">
        <w:t>.</w:t>
      </w:r>
      <w:r w:rsidR="005F3035" w:rsidRPr="00715895">
        <w:t xml:space="preserve"> </w:t>
      </w:r>
      <w:r w:rsidR="005F3035" w:rsidRPr="00FA7FD2">
        <w:t xml:space="preserve">However, even if the BSLs are met, the risks may not be </w:t>
      </w:r>
      <w:r w:rsidR="009A2C5B">
        <w:t xml:space="preserve">reduced to </w:t>
      </w:r>
      <w:r w:rsidR="005F3035" w:rsidRPr="00FA7FD2">
        <w:t>ALARP</w:t>
      </w:r>
      <w:r w:rsidR="00974361">
        <w:t>. I</w:t>
      </w:r>
      <w:r w:rsidR="009A2C5B">
        <w:t xml:space="preserve">n such circumstances, ONR expects </w:t>
      </w:r>
      <w:r w:rsidR="005F3035">
        <w:t xml:space="preserve">dutyholders to </w:t>
      </w:r>
      <w:r w:rsidR="009A2C5B">
        <w:t xml:space="preserve">have </w:t>
      </w:r>
      <w:r w:rsidR="005F3035">
        <w:t>consider</w:t>
      </w:r>
      <w:r w:rsidR="009A2C5B">
        <w:t>ed</w:t>
      </w:r>
      <w:r w:rsidR="005F3035">
        <w:t xml:space="preserve"> o</w:t>
      </w:r>
      <w:r w:rsidR="005F3035" w:rsidRPr="00715895">
        <w:t xml:space="preserve">ther potential </w:t>
      </w:r>
      <w:r w:rsidR="005F3035">
        <w:t>options</w:t>
      </w:r>
      <w:r w:rsidR="005F3035" w:rsidRPr="00715895">
        <w:t xml:space="preserve"> to </w:t>
      </w:r>
      <w:r w:rsidR="005F3035">
        <w:t xml:space="preserve">reduce the risks to </w:t>
      </w:r>
      <w:r w:rsidR="00847AE1">
        <w:t>ALARP and</w:t>
      </w:r>
      <w:r w:rsidR="005F3035">
        <w:t xml:space="preserve"> implement those options unless they can be adequately justified </w:t>
      </w:r>
      <w:r w:rsidR="00756DF5">
        <w:t xml:space="preserve">as </w:t>
      </w:r>
      <w:r w:rsidR="005F3035">
        <w:t>not being reasonably practicable by applying the test of ‘gross disproportion’</w:t>
      </w:r>
      <w:r w:rsidR="0035166D">
        <w:t xml:space="preserve"> </w:t>
      </w:r>
      <w:r w:rsidR="00D74605">
        <w:t>(refer to</w:t>
      </w:r>
      <w:r w:rsidR="0035166D">
        <w:t xml:space="preserve"> Section 5.1.4)</w:t>
      </w:r>
      <w:r w:rsidR="005F3035" w:rsidRPr="00B43E1C">
        <w:t xml:space="preserve">. </w:t>
      </w:r>
    </w:p>
    <w:p w14:paraId="1E8727CE" w14:textId="2EFFC9E0" w:rsidR="00B850C0" w:rsidRDefault="005F3035" w:rsidP="005F3035">
      <w:pPr>
        <w:pStyle w:val="F9-Paragraph"/>
      </w:pPr>
      <w:r>
        <w:t xml:space="preserve">When reviewing health and safety measures on an existing facility for the purpose of retrofitting, safety reviews or upgrades, </w:t>
      </w:r>
      <w:r w:rsidR="00835E88">
        <w:t>for example,</w:t>
      </w:r>
      <w:r>
        <w:t xml:space="preserve"> in a Periodic Safety Review (PSR), ONR expects dutyholders to compare existing measures against current RGP (ref. </w:t>
      </w:r>
      <w:sdt>
        <w:sdtPr>
          <w:id w:val="958764837"/>
          <w:citation/>
        </w:sdtPr>
        <w:sdtContent>
          <w:r>
            <w:fldChar w:fldCharType="begin"/>
          </w:r>
          <w:r>
            <w:instrText xml:space="preserve"> CITATION ONR221 \l 2057 </w:instrText>
          </w:r>
          <w:r>
            <w:fldChar w:fldCharType="separate"/>
          </w:r>
          <w:r w:rsidR="00576AF6">
            <w:rPr>
              <w:noProof/>
            </w:rPr>
            <w:t>[19]</w:t>
          </w:r>
          <w:r>
            <w:fldChar w:fldCharType="end"/>
          </w:r>
        </w:sdtContent>
      </w:sdt>
      <w:r>
        <w:t xml:space="preserve">). This could include modern standards which were not in force when the facility was designed and constructed. </w:t>
      </w:r>
      <w:r w:rsidR="0035166D">
        <w:t>I</w:t>
      </w:r>
      <w:r>
        <w:t xml:space="preserve">t may not be reasonably practicable </w:t>
      </w:r>
      <w:r w:rsidR="0035166D">
        <w:t xml:space="preserve">in all cases </w:t>
      </w:r>
      <w:r>
        <w:t>to retrospectively apply RGP expected for a new facility to an existing facility, i.e. o</w:t>
      </w:r>
      <w:r w:rsidRPr="00D34D64">
        <w:t xml:space="preserve">lder facilities may </w:t>
      </w:r>
      <w:r w:rsidR="001C198C">
        <w:t xml:space="preserve">satisfy </w:t>
      </w:r>
      <w:r w:rsidRPr="00D34D64">
        <w:t xml:space="preserve">the </w:t>
      </w:r>
      <w:r w:rsidRPr="00B43E1C">
        <w:t xml:space="preserve">ALARP </w:t>
      </w:r>
      <w:r w:rsidR="001C198C">
        <w:t>demonstration</w:t>
      </w:r>
      <w:r w:rsidRPr="00B43E1C">
        <w:t xml:space="preserve"> at higher risks than new ones</w:t>
      </w:r>
      <w:r>
        <w:t xml:space="preserve"> </w:t>
      </w:r>
      <w:r w:rsidR="00D74605">
        <w:t>(refer to</w:t>
      </w:r>
      <w:r>
        <w:t xml:space="preserve"> Section 6 of ref. </w:t>
      </w:r>
      <w:sdt>
        <w:sdtPr>
          <w:id w:val="-479463823"/>
          <w:citation/>
        </w:sdtPr>
        <w:sdtContent>
          <w:r>
            <w:fldChar w:fldCharType="begin"/>
          </w:r>
          <w:r w:rsidR="0077148D">
            <w:instrText xml:space="preserve">CITATION ONR22 \l 2057 </w:instrText>
          </w:r>
          <w:r>
            <w:fldChar w:fldCharType="separate"/>
          </w:r>
          <w:r w:rsidR="00576AF6">
            <w:rPr>
              <w:noProof/>
            </w:rPr>
            <w:t>[2]</w:t>
          </w:r>
          <w:r>
            <w:fldChar w:fldCharType="end"/>
          </w:r>
        </w:sdtContent>
      </w:sdt>
      <w:r>
        <w:t xml:space="preserve"> for case law information on ‘time’ and Appendix 2)</w:t>
      </w:r>
      <w:r w:rsidR="0035166D">
        <w:t>. However, t</w:t>
      </w:r>
      <w:r w:rsidRPr="00B43E1C">
        <w:t xml:space="preserve">here may still be ways </w:t>
      </w:r>
      <w:r w:rsidR="00051FF2">
        <w:t xml:space="preserve">for dutyholders </w:t>
      </w:r>
      <w:r w:rsidRPr="00B43E1C">
        <w:t xml:space="preserve">to </w:t>
      </w:r>
      <w:r w:rsidR="008B3E73">
        <w:t xml:space="preserve">further </w:t>
      </w:r>
      <w:r w:rsidRPr="00B43E1C">
        <w:t>reduce risk</w:t>
      </w:r>
      <w:r>
        <w:t>s</w:t>
      </w:r>
      <w:r w:rsidR="0035166D">
        <w:t xml:space="preserve"> to ALARP,</w:t>
      </w:r>
      <w:r w:rsidRPr="00B43E1C">
        <w:t xml:space="preserve"> such as by partial solutions or alternative measures</w:t>
      </w:r>
      <w:r w:rsidR="008B3E73">
        <w:t xml:space="preserve"> or when new technology</w:t>
      </w:r>
      <w:r w:rsidR="005F7343">
        <w:t>/</w:t>
      </w:r>
      <w:r w:rsidR="00835E88">
        <w:t xml:space="preserve"> </w:t>
      </w:r>
      <w:r w:rsidR="005F7343">
        <w:t>practices become available</w:t>
      </w:r>
      <w:r w:rsidRPr="00B43E1C">
        <w:t>.</w:t>
      </w:r>
      <w:r>
        <w:t xml:space="preserve"> </w:t>
      </w:r>
      <w:r w:rsidR="00A56C21">
        <w:t>ONR expects dutyholders to take d</w:t>
      </w:r>
      <w:r>
        <w:t xml:space="preserve">ue account </w:t>
      </w:r>
      <w:r w:rsidR="0052058D">
        <w:t>of aspects such as the age of the facility, its future lifetime, future operations and the degree and importance of any shortfall</w:t>
      </w:r>
      <w:r w:rsidR="00925AFF">
        <w:t xml:space="preserve">, </w:t>
      </w:r>
      <w:r>
        <w:t xml:space="preserve">when considering compliance and the reasonable practicability of improvements. </w:t>
      </w:r>
    </w:p>
    <w:p w14:paraId="0B7D96C7" w14:textId="4D959960" w:rsidR="00220FE1" w:rsidRPr="008727D0" w:rsidRDefault="009C1005" w:rsidP="003C29EA">
      <w:pPr>
        <w:pStyle w:val="Heading2"/>
        <w:numPr>
          <w:ilvl w:val="1"/>
          <w:numId w:val="22"/>
        </w:numPr>
        <w:ind w:left="851" w:hanging="851"/>
      </w:pPr>
      <w:r>
        <w:t xml:space="preserve">ONR’s approach </w:t>
      </w:r>
      <w:r w:rsidR="00AA3B42">
        <w:t>in</w:t>
      </w:r>
      <w:r>
        <w:t xml:space="preserve"> regu</w:t>
      </w:r>
      <w:r w:rsidR="00772538">
        <w:t>lating duties to reduce risks to ALARP</w:t>
      </w:r>
    </w:p>
    <w:p w14:paraId="68498DD3" w14:textId="1E8DE05D" w:rsidR="00AA3B42" w:rsidRDefault="003C29EA" w:rsidP="00AA3B42">
      <w:pPr>
        <w:pStyle w:val="Heading3"/>
      </w:pPr>
      <w:r>
        <w:t>5.3.1.</w:t>
      </w:r>
      <w:r>
        <w:tab/>
      </w:r>
      <w:r w:rsidR="00AA3B42">
        <w:t>Tolerability of risk</w:t>
      </w:r>
    </w:p>
    <w:p w14:paraId="68D2BB28" w14:textId="4B2ABA1F" w:rsidR="00AA3B42" w:rsidRPr="00CA4D07" w:rsidRDefault="00AA3B42" w:rsidP="00AA3B42">
      <w:pPr>
        <w:pStyle w:val="F9-Paragraph"/>
      </w:pPr>
      <w:r w:rsidRPr="00CA4D07">
        <w:t xml:space="preserve">The concept of tolerability of risk (TOR) was set out in The Tolerability of Risk from Nuclear Power Stations (ref. </w:t>
      </w:r>
      <w:sdt>
        <w:sdtPr>
          <w:id w:val="-568268297"/>
          <w:citation/>
        </w:sdtPr>
        <w:sdtContent>
          <w:r w:rsidRPr="00CA4D07">
            <w:fldChar w:fldCharType="begin"/>
          </w:r>
          <w:r>
            <w:instrText xml:space="preserve">CITATION Hea92 \l 2057 </w:instrText>
          </w:r>
          <w:r w:rsidRPr="00CA4D07">
            <w:fldChar w:fldCharType="separate"/>
          </w:r>
          <w:r w:rsidR="00576AF6">
            <w:rPr>
              <w:noProof/>
            </w:rPr>
            <w:t>[20]</w:t>
          </w:r>
          <w:r w:rsidRPr="00CA4D07">
            <w:fldChar w:fldCharType="end"/>
          </w:r>
        </w:sdtContent>
      </w:sdt>
      <w:r w:rsidRPr="00CA4D07">
        <w:t>)</w:t>
      </w:r>
      <w:r w:rsidR="00495082">
        <w:t xml:space="preserve"> </w:t>
      </w:r>
      <w:r w:rsidR="00495082" w:rsidRPr="00495082">
        <w:t>and expanded by R2P2</w:t>
      </w:r>
      <w:r w:rsidR="00495082">
        <w:t xml:space="preserve"> </w:t>
      </w:r>
      <w:r w:rsidR="00835E88">
        <w:br/>
      </w:r>
      <w:r w:rsidR="00495082">
        <w:t xml:space="preserve">(ref. </w:t>
      </w:r>
      <w:sdt>
        <w:sdtPr>
          <w:id w:val="458610234"/>
          <w:citation/>
        </w:sdtPr>
        <w:sdtContent>
          <w:r w:rsidR="00495082">
            <w:fldChar w:fldCharType="begin"/>
          </w:r>
          <w:r w:rsidR="00495082">
            <w:instrText xml:space="preserve"> CITATION Hea01 \l 2057 </w:instrText>
          </w:r>
          <w:r w:rsidR="00495082">
            <w:fldChar w:fldCharType="separate"/>
          </w:r>
          <w:r w:rsidR="00495082">
            <w:rPr>
              <w:noProof/>
            </w:rPr>
            <w:t>[21]</w:t>
          </w:r>
          <w:r w:rsidR="00495082">
            <w:fldChar w:fldCharType="end"/>
          </w:r>
        </w:sdtContent>
      </w:sdt>
      <w:r w:rsidR="00495082">
        <w:t>)</w:t>
      </w:r>
      <w:r>
        <w:t>, which divides risks into three regions: broadly acceptable; tolerable; unacceptable (</w:t>
      </w:r>
      <w:r w:rsidR="00543E80">
        <w:fldChar w:fldCharType="begin"/>
      </w:r>
      <w:r w:rsidR="00543E80">
        <w:instrText xml:space="preserve"> REF _Ref156484702 \h </w:instrText>
      </w:r>
      <w:r w:rsidR="00543E80">
        <w:fldChar w:fldCharType="separate"/>
      </w:r>
      <w:r w:rsidR="00543E80">
        <w:t xml:space="preserve">Figure </w:t>
      </w:r>
      <w:r w:rsidR="00543E80">
        <w:rPr>
          <w:noProof/>
        </w:rPr>
        <w:t>1</w:t>
      </w:r>
      <w:r w:rsidR="00543E80">
        <w:fldChar w:fldCharType="end"/>
      </w:r>
      <w:r>
        <w:t>).</w:t>
      </w:r>
      <w:r w:rsidRPr="00CA4D07">
        <w:t xml:space="preserve"> </w:t>
      </w:r>
    </w:p>
    <w:p w14:paraId="7BBF6B69" w14:textId="77777777" w:rsidR="00CD1A27" w:rsidRDefault="00B675DF" w:rsidP="00CD1A27">
      <w:pPr>
        <w:pStyle w:val="F9-Paragraph"/>
        <w:keepNext/>
        <w:numPr>
          <w:ilvl w:val="0"/>
          <w:numId w:val="0"/>
        </w:numPr>
        <w:ind w:left="851"/>
        <w:jc w:val="center"/>
      </w:pPr>
      <w:r w:rsidRPr="00F551E5">
        <w:object w:dxaOrig="6376" w:dyaOrig="5941" w14:anchorId="67F2C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lerability of risk framework - depicted by an inverted triangle. Unacceptable is at the top of the triangle with 'Broadly Acceptable' at the bottom. The axis to the left of the triangle states 'Increasing individual and societal concerns'." style="width:403.15pt;height:373.9pt;mso-position-horizontal:absolute;mso-position-horizontal-relative:text;mso-position-vertical:absolute;mso-position-vertical-relative:text;mso-width-relative:page;mso-height-relative:page" o:ole="">
            <v:imagedata r:id="rId18" o:title=""/>
          </v:shape>
          <o:OLEObject Type="Embed" ProgID="Visio.Drawing.15" ShapeID="_x0000_i1025" DrawAspect="Content" ObjectID="_1767507796" r:id="rId19"/>
        </w:object>
      </w:r>
    </w:p>
    <w:p w14:paraId="7762CFC2" w14:textId="10A53025" w:rsidR="00AA3B42" w:rsidRPr="00F551E5" w:rsidRDefault="00CD1A27" w:rsidP="00CD1A27">
      <w:pPr>
        <w:pStyle w:val="Caption"/>
        <w:jc w:val="center"/>
      </w:pPr>
      <w:bookmarkStart w:id="7" w:name="_Ref156484702"/>
      <w:r>
        <w:t xml:space="preserve">Figure </w:t>
      </w:r>
      <w:fldSimple w:instr=" SEQ Figure \* ARABIC ">
        <w:r w:rsidR="00543E80">
          <w:rPr>
            <w:noProof/>
          </w:rPr>
          <w:t>1</w:t>
        </w:r>
      </w:fldSimple>
      <w:bookmarkEnd w:id="7"/>
      <w:r>
        <w:t xml:space="preserve"> - </w:t>
      </w:r>
      <w:r w:rsidRPr="002060A1">
        <w:t>Tolerability of risk (TOR) framework</w:t>
      </w:r>
    </w:p>
    <w:p w14:paraId="59438D5E" w14:textId="4655880D" w:rsidR="00AA3B42" w:rsidRDefault="00B73193" w:rsidP="00AA3B42">
      <w:pPr>
        <w:pStyle w:val="F9-Paragraph"/>
      </w:pPr>
      <w:r>
        <w:t xml:space="preserve">Although TOR was developed for </w:t>
      </w:r>
      <w:r w:rsidR="00962BA4">
        <w:t>n</w:t>
      </w:r>
      <w:r>
        <w:t>uclear</w:t>
      </w:r>
      <w:r w:rsidR="00962BA4">
        <w:t xml:space="preserve"> power</w:t>
      </w:r>
      <w:r>
        <w:t xml:space="preserve"> </w:t>
      </w:r>
      <w:r w:rsidR="00962BA4">
        <w:t>s</w:t>
      </w:r>
      <w:r>
        <w:t>tations, the principles carry over to all safety risks management</w:t>
      </w:r>
      <w:r w:rsidR="00B81263">
        <w:t>,</w:t>
      </w:r>
      <w:r>
        <w:t xml:space="preserve"> and </w:t>
      </w:r>
      <w:r w:rsidR="005D5FED">
        <w:t xml:space="preserve">was adopted by </w:t>
      </w:r>
      <w:r>
        <w:t xml:space="preserve">regulators in GB, e.g. HSE, Office </w:t>
      </w:r>
      <w:r w:rsidR="00A008CC">
        <w:t>of</w:t>
      </w:r>
      <w:r>
        <w:t xml:space="preserve"> Rail </w:t>
      </w:r>
      <w:r w:rsidR="00A008CC">
        <w:t>and Road</w:t>
      </w:r>
      <w:r>
        <w:t xml:space="preserve"> (ORR), Civil Aviation Authority (CAA). </w:t>
      </w:r>
      <w:r w:rsidR="00AA3B42" w:rsidRPr="0081110A">
        <w:t>TOR does not come from the law</w:t>
      </w:r>
      <w:r w:rsidR="00CB146A">
        <w:t>,</w:t>
      </w:r>
      <w:r w:rsidR="00AA3B42" w:rsidRPr="0081110A">
        <w:t xml:space="preserve"> but is a well-established regulatory policy used to inform </w:t>
      </w:r>
      <w:r w:rsidR="00AA3B42">
        <w:t xml:space="preserve">regulators on their </w:t>
      </w:r>
      <w:r w:rsidR="00AA3B42" w:rsidRPr="0081110A">
        <w:t xml:space="preserve">regulatory decisions and areas of </w:t>
      </w:r>
      <w:r w:rsidR="00F07C83">
        <w:t>attention</w:t>
      </w:r>
      <w:r w:rsidR="00AA3B42">
        <w:t>.</w:t>
      </w:r>
      <w:r w:rsidR="00916E2C">
        <w:t xml:space="preserve"> </w:t>
      </w:r>
      <w:r w:rsidR="00AA3B42">
        <w:t xml:space="preserve">ONR’s Risk Informed Decision Making publication (ref. </w:t>
      </w:r>
      <w:sdt>
        <w:sdtPr>
          <w:id w:val="1665580293"/>
          <w:citation/>
        </w:sdtPr>
        <w:sdtContent>
          <w:r w:rsidR="00AA3B42">
            <w:fldChar w:fldCharType="begin"/>
          </w:r>
          <w:r w:rsidR="00C67755">
            <w:instrText xml:space="preserve">CITATION ONR17 \l 2057 </w:instrText>
          </w:r>
          <w:r w:rsidR="00AA3B42">
            <w:fldChar w:fldCharType="separate"/>
          </w:r>
          <w:r w:rsidR="00C67755">
            <w:rPr>
              <w:noProof/>
            </w:rPr>
            <w:t>[2]</w:t>
          </w:r>
          <w:r w:rsidR="00AA3B42">
            <w:fldChar w:fldCharType="end"/>
          </w:r>
        </w:sdtContent>
      </w:sdt>
      <w:r w:rsidR="00AA3B42">
        <w:t xml:space="preserve">) </w:t>
      </w:r>
      <w:r w:rsidR="00AA3B42" w:rsidRPr="008F2AA7">
        <w:t>and Section 5.</w:t>
      </w:r>
      <w:r w:rsidR="008F2AA7" w:rsidRPr="008F2AA7">
        <w:t>3</w:t>
      </w:r>
      <w:r w:rsidR="00A91B4A">
        <w:t>.3</w:t>
      </w:r>
      <w:r w:rsidR="00AA3B42" w:rsidRPr="008F2AA7">
        <w:t xml:space="preserve"> explain</w:t>
      </w:r>
      <w:r w:rsidR="00AA3B42">
        <w:t xml:space="preserve"> in more detail how ONR makes its regulatory decisions incorporating the ALARP judgements. </w:t>
      </w:r>
    </w:p>
    <w:p w14:paraId="77CB505A" w14:textId="024AB725" w:rsidR="00D10F9B" w:rsidRDefault="00D10F9B" w:rsidP="00AA3B42">
      <w:pPr>
        <w:pStyle w:val="F9-Paragraph"/>
      </w:pPr>
      <w:r w:rsidRPr="00D10F9B">
        <w:t xml:space="preserve">As explained in R2P2 (ref. </w:t>
      </w:r>
      <w:sdt>
        <w:sdtPr>
          <w:id w:val="-1993319552"/>
          <w:citation/>
        </w:sdtPr>
        <w:sdtContent>
          <w:r w:rsidR="00EE28AB">
            <w:fldChar w:fldCharType="begin"/>
          </w:r>
          <w:r w:rsidR="00EE28AB">
            <w:instrText xml:space="preserve"> CITATION Hea01 \l 2057 </w:instrText>
          </w:r>
          <w:r w:rsidR="00EE28AB">
            <w:fldChar w:fldCharType="separate"/>
          </w:r>
          <w:r w:rsidR="00EE28AB">
            <w:rPr>
              <w:noProof/>
            </w:rPr>
            <w:t>[21]</w:t>
          </w:r>
          <w:r w:rsidR="00EE28AB">
            <w:fldChar w:fldCharType="end"/>
          </w:r>
        </w:sdtContent>
      </w:sdt>
      <w:r w:rsidRPr="00D10F9B">
        <w:t xml:space="preserve">), “tolerability” refers to the general willingness of society as a whole to live with a risk so as to secure certain benefits. Broadly acceptable risks are those that are </w:t>
      </w:r>
      <w:r w:rsidR="00F07C83">
        <w:t>commensurate with</w:t>
      </w:r>
      <w:r w:rsidRPr="00D10F9B">
        <w:t xml:space="preserve"> or smaller than the ordinary day-to-day risks </w:t>
      </w:r>
      <w:r w:rsidR="00F07C83">
        <w:t>that most people</w:t>
      </w:r>
      <w:r w:rsidRPr="00D10F9B">
        <w:t xml:space="preserve"> accept as part of their daily life (e.g. in crossing the road or undertaking routine rail and air travel). Unacceptable risks are those that would be considered too high even for those who tolerate higher personal or professional risks (such as workers in the highest risk professions such as offshore fishing or mining) and, save for some exceptional minority groups, would not be tolerated for the majority for any significant period.</w:t>
      </w:r>
    </w:p>
    <w:p w14:paraId="26820C07" w14:textId="77777777" w:rsidR="00B675DF" w:rsidRDefault="00B675DF" w:rsidP="00AA3B42">
      <w:pPr>
        <w:pStyle w:val="F9-Paragraph"/>
        <w:sectPr w:rsidR="00B675DF" w:rsidSect="007E1540">
          <w:pgSz w:w="11906" w:h="16838" w:code="9"/>
          <w:pgMar w:top="1440" w:right="1440" w:bottom="1440" w:left="1440" w:header="397" w:footer="397" w:gutter="0"/>
          <w:cols w:space="312"/>
          <w:docGrid w:linePitch="360"/>
        </w:sectPr>
      </w:pPr>
    </w:p>
    <w:p w14:paraId="0F932EE9" w14:textId="2D55505F" w:rsidR="00AA3B42" w:rsidRPr="0080766B" w:rsidRDefault="00AA3B42" w:rsidP="00AA3B42">
      <w:pPr>
        <w:pStyle w:val="F9-Paragraph"/>
      </w:pPr>
      <w:r w:rsidRPr="0081110A">
        <w:lastRenderedPageBreak/>
        <w:t xml:space="preserve">It is important to note that the legal duty for dutyholders to reduce risks </w:t>
      </w:r>
      <w:r>
        <w:t xml:space="preserve">to </w:t>
      </w:r>
      <w:r w:rsidRPr="0081110A">
        <w:t xml:space="preserve">ALARP is independent from the TOR concept. </w:t>
      </w:r>
      <w:r>
        <w:t>Dutyholders are required by law to reduce risks to ALARP</w:t>
      </w:r>
      <w:r w:rsidRPr="0081110A">
        <w:t xml:space="preserve"> regardless of </w:t>
      </w:r>
      <w:r>
        <w:t xml:space="preserve">whether </w:t>
      </w:r>
      <w:r w:rsidRPr="0081110A">
        <w:t>the level of risk</w:t>
      </w:r>
      <w:r>
        <w:t xml:space="preserve"> is </w:t>
      </w:r>
      <w:r w:rsidR="00F07C83">
        <w:t>judg</w:t>
      </w:r>
      <w:r>
        <w:t>ed</w:t>
      </w:r>
      <w:r w:rsidR="00F07C83">
        <w:t xml:space="preserve"> to be</w:t>
      </w:r>
      <w:r>
        <w:t xml:space="preserve"> tolerable or not by the regulators</w:t>
      </w:r>
      <w:r w:rsidRPr="0081110A">
        <w:t xml:space="preserve">. </w:t>
      </w:r>
      <w:r w:rsidR="00260762" w:rsidRPr="00260762">
        <w:t xml:space="preserve">It is possible for a risk to </w:t>
      </w:r>
      <w:r w:rsidR="000A500D">
        <w:t xml:space="preserve">be </w:t>
      </w:r>
      <w:r w:rsidR="00260762" w:rsidRPr="00260762">
        <w:t xml:space="preserve">‘unacceptable’ (i.e. in terms of its magnitude to wider society and thus subject to the highest level of regulatory attention) even if the dutyholder has met its legal obligation to ensure that the risk, despite its magnitude, is still </w:t>
      </w:r>
      <w:r w:rsidR="00260762">
        <w:t xml:space="preserve">reduced to </w:t>
      </w:r>
      <w:r w:rsidR="00361A1D">
        <w:t xml:space="preserve">a level that is </w:t>
      </w:r>
      <w:r w:rsidR="00260762" w:rsidRPr="00260762">
        <w:t>ALARP.</w:t>
      </w:r>
      <w:r w:rsidR="00260762">
        <w:t xml:space="preserve"> </w:t>
      </w:r>
      <w:r w:rsidRPr="0081110A">
        <w:t xml:space="preserve">Likewise, it is possible for a risk to be </w:t>
      </w:r>
      <w:r>
        <w:t>‘</w:t>
      </w:r>
      <w:r w:rsidRPr="0081110A">
        <w:t>broadly acceptable</w:t>
      </w:r>
      <w:r>
        <w:t xml:space="preserve">’, </w:t>
      </w:r>
      <w:r w:rsidRPr="0081110A">
        <w:t xml:space="preserve">and </w:t>
      </w:r>
      <w:r w:rsidR="00F07C83">
        <w:t>therefore not attract</w:t>
      </w:r>
      <w:r w:rsidRPr="0081110A">
        <w:t xml:space="preserve"> any significant regulatory </w:t>
      </w:r>
      <w:r w:rsidR="00F07C83">
        <w:t>attention</w:t>
      </w:r>
      <w:r>
        <w:t xml:space="preserve">, </w:t>
      </w:r>
      <w:r w:rsidRPr="0081110A">
        <w:t>whil</w:t>
      </w:r>
      <w:r>
        <w:t>e</w:t>
      </w:r>
      <w:r w:rsidRPr="0081110A">
        <w:t xml:space="preserve"> </w:t>
      </w:r>
      <w:r>
        <w:t xml:space="preserve">the dutyholder has not, or </w:t>
      </w:r>
      <w:r w:rsidR="0083606B">
        <w:t xml:space="preserve">is </w:t>
      </w:r>
      <w:r>
        <w:t>yet to, demonstrate the risk is reduced to</w:t>
      </w:r>
      <w:r w:rsidRPr="0081110A">
        <w:t xml:space="preserve"> ALARP. </w:t>
      </w:r>
    </w:p>
    <w:p w14:paraId="301354C5" w14:textId="2BFA85B0" w:rsidR="00AA3B42" w:rsidRDefault="00AA3B42" w:rsidP="00AA3B42">
      <w:pPr>
        <w:pStyle w:val="F9-Paragraph"/>
      </w:pPr>
      <w:r w:rsidRPr="00595819">
        <w:t>The TOR framework has been translated into nine numerical targets in ONR’s SAPs (ref.</w:t>
      </w:r>
      <w:sdt>
        <w:sdtPr>
          <w:id w:val="-452246768"/>
          <w:citation/>
        </w:sdtPr>
        <w:sdtContent>
          <w:r w:rsidRPr="00595819">
            <w:fldChar w:fldCharType="begin"/>
          </w:r>
          <w:r w:rsidR="00C67755">
            <w:instrText xml:space="preserve">CITATION Placeholder1 \l 2057 </w:instrText>
          </w:r>
          <w:r w:rsidRPr="00595819">
            <w:fldChar w:fldCharType="separate"/>
          </w:r>
          <w:r w:rsidR="00C67755">
            <w:rPr>
              <w:noProof/>
            </w:rPr>
            <w:t xml:space="preserve"> [1]</w:t>
          </w:r>
          <w:r w:rsidRPr="00595819">
            <w:fldChar w:fldCharType="end"/>
          </w:r>
        </w:sdtContent>
      </w:sdt>
      <w:r w:rsidRPr="00595819">
        <w:t>)</w:t>
      </w:r>
      <w:r>
        <w:t>, which</w:t>
      </w:r>
      <w:r w:rsidRPr="00595819">
        <w:t xml:space="preserve"> are in the form of Basic Safety Levels (BSLs) and Basic Safety Objectives (BSOs). </w:t>
      </w:r>
      <w:r w:rsidRPr="00AB5309">
        <w:t>These give numerical values for the BSL and BSO across a series of different measures of risk</w:t>
      </w:r>
      <w:r w:rsidR="000A28DA">
        <w:t xml:space="preserve"> associated with nuclear safety</w:t>
      </w:r>
      <w:r>
        <w:t>, from</w:t>
      </w:r>
      <w:r w:rsidRPr="00AB5309">
        <w:t xml:space="preserve"> the risk to individuals </w:t>
      </w:r>
      <w:r>
        <w:t>to</w:t>
      </w:r>
      <w:r w:rsidRPr="00AB5309">
        <w:t xml:space="preserve"> groups and in both normal operation and under fault/accident circumstances. In each case, the BSL provides the boundary between the </w:t>
      </w:r>
      <w:r>
        <w:t>‘</w:t>
      </w:r>
      <w:r w:rsidRPr="00AB5309">
        <w:t>unacceptable</w:t>
      </w:r>
      <w:r>
        <w:t xml:space="preserve">’ </w:t>
      </w:r>
      <w:r w:rsidRPr="00AB5309">
        <w:t xml:space="preserve">and </w:t>
      </w:r>
      <w:r>
        <w:t>‘</w:t>
      </w:r>
      <w:r w:rsidRPr="00AB5309">
        <w:t>tolerable</w:t>
      </w:r>
      <w:r>
        <w:t>’</w:t>
      </w:r>
      <w:r w:rsidRPr="00AB5309">
        <w:t xml:space="preserve"> regions</w:t>
      </w:r>
      <w:r>
        <w:t xml:space="preserve"> of TOR</w:t>
      </w:r>
      <w:r w:rsidRPr="00AB5309">
        <w:t xml:space="preserve"> and the BSO gives the boundary between the </w:t>
      </w:r>
      <w:r>
        <w:t>‘tolerable’ and ‘</w:t>
      </w:r>
      <w:r w:rsidRPr="00AB5309">
        <w:t>broadly acceptable</w:t>
      </w:r>
      <w:r>
        <w:t>’</w:t>
      </w:r>
      <w:r w:rsidRPr="00AB5309">
        <w:t xml:space="preserve"> regions.</w:t>
      </w:r>
    </w:p>
    <w:p w14:paraId="4526708F" w14:textId="7A2B1B30" w:rsidR="00AA3B42" w:rsidRDefault="003C29EA" w:rsidP="00AA3B42">
      <w:pPr>
        <w:pStyle w:val="Heading3"/>
      </w:pPr>
      <w:r>
        <w:t>5.3.2.</w:t>
      </w:r>
      <w:r>
        <w:tab/>
      </w:r>
      <w:r w:rsidR="00CB4F6F">
        <w:t>Risk-informed targeted engagement</w:t>
      </w:r>
    </w:p>
    <w:p w14:paraId="446E4983" w14:textId="7E48C76E" w:rsidR="00CB4F6F" w:rsidRPr="00F262F1" w:rsidRDefault="00CB4F6F" w:rsidP="00CB4F6F">
      <w:pPr>
        <w:pStyle w:val="F9-Paragraph"/>
      </w:pPr>
      <w:r>
        <w:t xml:space="preserve">It is ONR’s </w:t>
      </w:r>
      <w:r w:rsidRPr="00FD3402">
        <w:t>policy (ref.</w:t>
      </w:r>
      <w:sdt>
        <w:sdtPr>
          <w:id w:val="-1436975920"/>
          <w:citation/>
        </w:sdtPr>
        <w:sdtContent>
          <w:r w:rsidRPr="00FD3402">
            <w:fldChar w:fldCharType="begin"/>
          </w:r>
          <w:r w:rsidRPr="00FD3402">
            <w:instrText xml:space="preserve"> CITATION ONR201 \l 2057 </w:instrText>
          </w:r>
          <w:r w:rsidRPr="00FD3402">
            <w:fldChar w:fldCharType="separate"/>
          </w:r>
          <w:r w:rsidR="00576AF6">
            <w:rPr>
              <w:noProof/>
            </w:rPr>
            <w:t xml:space="preserve"> [21]</w:t>
          </w:r>
          <w:r w:rsidRPr="00FD3402">
            <w:fldChar w:fldCharType="end"/>
          </w:r>
        </w:sdtContent>
      </w:sdt>
      <w:r w:rsidRPr="00FD3402">
        <w:t>) to use its resources responsibly and in a targeted manner to make timely judgements</w:t>
      </w:r>
      <w:r w:rsidRPr="00D26F86">
        <w:t xml:space="preserve"> and decisions, without placing an unnecessary burden on the dutyholders and recognising the finite resource available to ONR for delivering its regulatory activities. </w:t>
      </w:r>
      <w:r>
        <w:t xml:space="preserve">This means ONR will focus </w:t>
      </w:r>
      <w:r w:rsidR="00AC7DF4" w:rsidRPr="00AC7DF4">
        <w:t>primarily on those activities that give rise to the most serious risks, where the hazards or vulnerabilities are least well controlled, or where ongoing compliance with the law needs to be established</w:t>
      </w:r>
      <w:r w:rsidR="00F07C83">
        <w:t>. These target areas</w:t>
      </w:r>
      <w:r w:rsidR="002C114A">
        <w:t xml:space="preserve"> are </w:t>
      </w:r>
      <w:r>
        <w:t xml:space="preserve">informed by </w:t>
      </w:r>
      <w:r w:rsidR="00F07C83">
        <w:t xml:space="preserve">the </w:t>
      </w:r>
      <w:r>
        <w:t>intelligence and insights ONR collects</w:t>
      </w:r>
      <w:r w:rsidR="00F07C83">
        <w:t xml:space="preserve"> through its regulatory activities</w:t>
      </w:r>
      <w:r w:rsidRPr="00F262F1">
        <w:t>.</w:t>
      </w:r>
    </w:p>
    <w:p w14:paraId="56071110" w14:textId="13429170" w:rsidR="00CB4F6F" w:rsidRPr="00345C38" w:rsidRDefault="00CB4F6F" w:rsidP="00CB4F6F">
      <w:pPr>
        <w:pStyle w:val="F9-Paragraph"/>
      </w:pPr>
      <w:r w:rsidRPr="00A56C21">
        <w:t xml:space="preserve">In </w:t>
      </w:r>
      <w:r w:rsidRPr="00F262F1">
        <w:t xml:space="preserve">prioritising its resources, ONR </w:t>
      </w:r>
      <w:r w:rsidR="00F07C83">
        <w:t>will generally not seek further improvements</w:t>
      </w:r>
      <w:r w:rsidRPr="00F262F1">
        <w:t xml:space="preserve"> from a dutyholder where risks have been </w:t>
      </w:r>
      <w:r w:rsidR="00F07C83">
        <w:t xml:space="preserve">demonstrably </w:t>
      </w:r>
      <w:r w:rsidRPr="00F262F1">
        <w:t xml:space="preserve">reduced to within the ‘broadly acceptable’ region of the TOR framework (BSOs) </w:t>
      </w:r>
      <w:r w:rsidR="00D74605">
        <w:t>(refer to</w:t>
      </w:r>
      <w:r w:rsidRPr="00F262F1">
        <w:t xml:space="preserve"> Section 5</w:t>
      </w:r>
      <w:r>
        <w:t>.</w:t>
      </w:r>
      <w:r w:rsidR="00A91B4A">
        <w:t>3.1</w:t>
      </w:r>
      <w:r>
        <w:t>)</w:t>
      </w:r>
      <w:r w:rsidR="0047410A">
        <w:t>,</w:t>
      </w:r>
      <w:r w:rsidRPr="00A56C21">
        <w:t xml:space="preserve"> and only a small reduction in risk could be achieved from those further </w:t>
      </w:r>
      <w:r w:rsidRPr="00345C38">
        <w:t>improvements. However, the legal duty to reduce risks to ALARP remains on the dutyholder</w:t>
      </w:r>
      <w:r w:rsidR="004A3D0F" w:rsidRPr="004A3D0F">
        <w:t xml:space="preserve">, and this includes reducing risks in the broadly acceptable region </w:t>
      </w:r>
      <w:r w:rsidR="00D74605">
        <w:t>(refer to</w:t>
      </w:r>
      <w:r w:rsidR="004A3D0F" w:rsidRPr="004A3D0F">
        <w:t xml:space="preserve"> paragraph 701 of the SAPs</w:t>
      </w:r>
      <w:r w:rsidR="004A3D0F">
        <w:t xml:space="preserve"> ref.</w:t>
      </w:r>
      <w:sdt>
        <w:sdtPr>
          <w:id w:val="-1609970567"/>
          <w:citation/>
        </w:sdtPr>
        <w:sdtContent>
          <w:r w:rsidR="001513D9">
            <w:fldChar w:fldCharType="begin"/>
          </w:r>
          <w:r w:rsidR="00C67755">
            <w:instrText xml:space="preserve">CITATION Placeholder1 \l 2057 </w:instrText>
          </w:r>
          <w:r w:rsidR="001513D9">
            <w:fldChar w:fldCharType="separate"/>
          </w:r>
          <w:r w:rsidR="00C67755">
            <w:rPr>
              <w:noProof/>
            </w:rPr>
            <w:t xml:space="preserve"> [1]</w:t>
          </w:r>
          <w:r w:rsidR="001513D9">
            <w:fldChar w:fldCharType="end"/>
          </w:r>
        </w:sdtContent>
      </w:sdt>
      <w:r w:rsidR="004A3D0F" w:rsidRPr="004A3D0F">
        <w:t>)</w:t>
      </w:r>
      <w:r w:rsidR="004A3D0F">
        <w:t>.</w:t>
      </w:r>
    </w:p>
    <w:p w14:paraId="682670EC" w14:textId="77777777" w:rsidR="00CB4F6F" w:rsidRPr="00345C38" w:rsidRDefault="00CB4F6F" w:rsidP="00CB4F6F">
      <w:pPr>
        <w:pStyle w:val="F9-Paragraph"/>
      </w:pPr>
      <w:r w:rsidRPr="00345C38">
        <w:t xml:space="preserve">If ONR decides a dutyholder’s activity falls into the </w:t>
      </w:r>
      <w:r>
        <w:t>‘</w:t>
      </w:r>
      <w:r w:rsidRPr="00345C38">
        <w:t>tolerable</w:t>
      </w:r>
      <w:r>
        <w:t>’</w:t>
      </w:r>
      <w:r w:rsidRPr="00345C38">
        <w:t xml:space="preserve"> region</w:t>
      </w:r>
      <w:r>
        <w:t xml:space="preserve"> of the TOR framework (between BSOs and BSLs)</w:t>
      </w:r>
      <w:r w:rsidRPr="00345C38">
        <w:t xml:space="preserve">, which is the case for most activities a dutyholder undertakes, ONR’s regulatory attention and resource allocation will be dependent on the nature of the risks, </w:t>
      </w:r>
      <w:r>
        <w:t>the adequacy of dutyholder’s demonstration on reducing risks to ALARP</w:t>
      </w:r>
      <w:r w:rsidRPr="00345C38">
        <w:t>, and the risk gap.</w:t>
      </w:r>
    </w:p>
    <w:p w14:paraId="0172AE6C" w14:textId="63D90B34" w:rsidR="00CB4F6F" w:rsidRDefault="00CB4F6F" w:rsidP="00CB4F6F">
      <w:pPr>
        <w:pStyle w:val="F9-Paragraph"/>
      </w:pPr>
      <w:r>
        <w:lastRenderedPageBreak/>
        <w:t xml:space="preserve">If ONR </w:t>
      </w:r>
      <w:r w:rsidRPr="009D083E">
        <w:t>decides a dutyholder’s activit</w:t>
      </w:r>
      <w:r>
        <w:t>y</w:t>
      </w:r>
      <w:r w:rsidRPr="009D083E">
        <w:t xml:space="preserve"> leads to a level of risk that is </w:t>
      </w:r>
      <w:r w:rsidR="00F07C83">
        <w:t>elevated to a level such</w:t>
      </w:r>
      <w:r w:rsidRPr="009D083E">
        <w:t xml:space="preserve"> that it falls into the </w:t>
      </w:r>
      <w:r>
        <w:t>‘</w:t>
      </w:r>
      <w:r w:rsidRPr="009D083E">
        <w:t>unacceptable</w:t>
      </w:r>
      <w:r>
        <w:t>’</w:t>
      </w:r>
      <w:r w:rsidRPr="009D083E">
        <w:t xml:space="preserve"> region </w:t>
      </w:r>
      <w:r>
        <w:t xml:space="preserve">of the TOR framework </w:t>
      </w:r>
      <w:r w:rsidRPr="009D083E">
        <w:t>(exceeds BSLs), this will be an area of priority for ONR’s regulatory attention and resources will be allocated accordingly. In such cases ONR expects the dutyholder to be actively managing and prioritising the situation to reduce the level of</w:t>
      </w:r>
      <w:r>
        <w:t xml:space="preserve"> risk </w:t>
      </w:r>
      <w:r w:rsidR="00F07C83">
        <w:t xml:space="preserve">to at least a level that is tolerable and ALARP, </w:t>
      </w:r>
      <w:r>
        <w:t>as quickly as possible.</w:t>
      </w:r>
    </w:p>
    <w:p w14:paraId="60001547" w14:textId="62D02EA1" w:rsidR="00CB4F6F" w:rsidRDefault="003C29EA" w:rsidP="00CB4F6F">
      <w:pPr>
        <w:pStyle w:val="Heading3"/>
      </w:pPr>
      <w:r>
        <w:t>5.3.3.</w:t>
      </w:r>
      <w:r>
        <w:tab/>
      </w:r>
      <w:r w:rsidR="00CB4F6F">
        <w:t>Risk-informed regulatory decision-making</w:t>
      </w:r>
    </w:p>
    <w:p w14:paraId="56C00DDD" w14:textId="7D5629B9" w:rsidR="00A23150" w:rsidRDefault="00A23150" w:rsidP="00CB4F6F">
      <w:pPr>
        <w:pStyle w:val="F9-Paragraph"/>
      </w:pPr>
      <w:r>
        <w:t>ONR’s Risk Informed Decision Making</w:t>
      </w:r>
      <w:r w:rsidR="00BF6E1C">
        <w:t xml:space="preserve"> publication</w:t>
      </w:r>
      <w:r w:rsidR="00403707">
        <w:t xml:space="preserve"> </w:t>
      </w:r>
      <w:r>
        <w:t xml:space="preserve">(ref. </w:t>
      </w:r>
      <w:sdt>
        <w:sdtPr>
          <w:id w:val="2099904850"/>
          <w:citation/>
        </w:sdtPr>
        <w:sdtContent>
          <w:r w:rsidR="00D57E10">
            <w:fldChar w:fldCharType="begin"/>
          </w:r>
          <w:r w:rsidR="00C67755">
            <w:instrText xml:space="preserve">CITATION ONR17 \l 2057 </w:instrText>
          </w:r>
          <w:r w:rsidR="00D57E10">
            <w:fldChar w:fldCharType="separate"/>
          </w:r>
          <w:r w:rsidR="00C67755">
            <w:rPr>
              <w:noProof/>
            </w:rPr>
            <w:t>[2]</w:t>
          </w:r>
          <w:r w:rsidR="00D57E10">
            <w:fldChar w:fldCharType="end"/>
          </w:r>
        </w:sdtContent>
      </w:sdt>
      <w:r>
        <w:t xml:space="preserve">) </w:t>
      </w:r>
      <w:r w:rsidR="00836192">
        <w:t>includ</w:t>
      </w:r>
      <w:r w:rsidR="00B975F2">
        <w:t>es</w:t>
      </w:r>
      <w:r w:rsidR="00836192">
        <w:t xml:space="preserve"> </w:t>
      </w:r>
      <w:r w:rsidR="00543E80">
        <w:fldChar w:fldCharType="begin"/>
      </w:r>
      <w:r w:rsidR="00543E80">
        <w:instrText xml:space="preserve"> REF _Ref156484712 \h </w:instrText>
      </w:r>
      <w:r w:rsidR="00543E80">
        <w:fldChar w:fldCharType="separate"/>
      </w:r>
      <w:r w:rsidR="00543E80">
        <w:t xml:space="preserve">Figure </w:t>
      </w:r>
      <w:r w:rsidR="00543E80">
        <w:rPr>
          <w:noProof/>
        </w:rPr>
        <w:t>2</w:t>
      </w:r>
      <w:r w:rsidR="00543E80">
        <w:fldChar w:fldCharType="end"/>
      </w:r>
      <w:r w:rsidR="00AA2932">
        <w:t xml:space="preserve">, which </w:t>
      </w:r>
      <w:r w:rsidR="00836192" w:rsidRPr="00836192">
        <w:t xml:space="preserve">illustrates the key elements of </w:t>
      </w:r>
      <w:r w:rsidR="00260460">
        <w:t>ONR’s</w:t>
      </w:r>
      <w:r w:rsidR="00836192" w:rsidRPr="00836192">
        <w:t xml:space="preserve"> regulatory </w:t>
      </w:r>
      <w:r w:rsidR="00D57E10" w:rsidRPr="00836192">
        <w:t>decision-making</w:t>
      </w:r>
      <w:r w:rsidR="00CB3D43" w:rsidRPr="00CB3D43">
        <w:t xml:space="preserve"> </w:t>
      </w:r>
      <w:r w:rsidR="00CB3D43">
        <w:t>framework</w:t>
      </w:r>
      <w:r w:rsidR="009161A1">
        <w:t xml:space="preserve">, </w:t>
      </w:r>
      <w:r w:rsidR="00836192" w:rsidRPr="00836192">
        <w:t>incorporat</w:t>
      </w:r>
      <w:r w:rsidR="009161A1">
        <w:t>ing</w:t>
      </w:r>
      <w:r w:rsidR="00836192" w:rsidRPr="00836192">
        <w:t xml:space="preserve"> relevant law and polic</w:t>
      </w:r>
      <w:r w:rsidR="003D0CC4">
        <w:t>ies</w:t>
      </w:r>
      <w:r w:rsidR="00CB3D43">
        <w:t xml:space="preserve">. </w:t>
      </w:r>
    </w:p>
    <w:p w14:paraId="7A0C67ED" w14:textId="6B677148" w:rsidR="003D0271" w:rsidRDefault="007D6368" w:rsidP="00F34F68">
      <w:pPr>
        <w:pStyle w:val="F9-Paragraph"/>
      </w:pPr>
      <w:r>
        <w:t>ONR recognises that dutyholders may need to conduct their undertakings in a given way in order to secure certain societal or public interest benefits such as activities in ‘the interests of national security’ or ‘keeping the lights on’, or because ‘the priorities for a fixed national (government) budget lie elsewhere’. Claims related to such factors</w:t>
      </w:r>
      <w:r w:rsidR="00AA77E5">
        <w:t xml:space="preserve"> </w:t>
      </w:r>
      <w:r>
        <w:t xml:space="preserve">can sometimes appear in safety cases </w:t>
      </w:r>
      <w:r w:rsidR="00FF061B">
        <w:t xml:space="preserve">or safety reports </w:t>
      </w:r>
      <w:r>
        <w:t>in the context of ‘time’, or ‘trouble’ aspects, on the sacrifice side of the ALARP balance.</w:t>
      </w:r>
      <w:r w:rsidR="002F3956">
        <w:t xml:space="preserve"> </w:t>
      </w:r>
      <w:r w:rsidR="003D0271" w:rsidRPr="003D0271">
        <w:t xml:space="preserve">Furthermore, </w:t>
      </w:r>
      <w:r w:rsidR="003D0271">
        <w:t>ONR</w:t>
      </w:r>
      <w:r w:rsidR="003D0271" w:rsidRPr="003D0271">
        <w:t xml:space="preserve"> recognise</w:t>
      </w:r>
      <w:r w:rsidR="003D0271">
        <w:t>s</w:t>
      </w:r>
      <w:r w:rsidR="003D0271" w:rsidRPr="003D0271">
        <w:t xml:space="preserve"> that dutyholders do not have unlimited resource, and some form of work prioritisation is</w:t>
      </w:r>
      <w:r w:rsidR="00A4232B">
        <w:t xml:space="preserve"> often</w:t>
      </w:r>
      <w:r w:rsidR="003D0271" w:rsidRPr="003D0271">
        <w:t xml:space="preserve"> necessary. Claims related to these factors can sometimes appear in safety cases under the banner of ‘group </w:t>
      </w:r>
      <w:r w:rsidR="003D0271">
        <w:t xml:space="preserve">or </w:t>
      </w:r>
      <w:r w:rsidR="003D0271" w:rsidRPr="003D0271">
        <w:t xml:space="preserve">global ALARP’, ‘programme ALARP’, ‘holistic ALARP’ or ‘dynamic ALARP’. Dutyholders use these terms to </w:t>
      </w:r>
      <w:r w:rsidR="00F07C83">
        <w:t>convey</w:t>
      </w:r>
      <w:r w:rsidR="003D0271" w:rsidRPr="003D0271">
        <w:t xml:space="preserve"> prioritisation, strategic factors and/or wider national factors. </w:t>
      </w:r>
    </w:p>
    <w:p w14:paraId="7E37B4BB" w14:textId="32D31807" w:rsidR="00A94BE4" w:rsidRDefault="00A94BE4" w:rsidP="002F3956">
      <w:pPr>
        <w:pStyle w:val="F9-Paragraph"/>
      </w:pPr>
      <w:r w:rsidRPr="00A94BE4">
        <w:t xml:space="preserve">Similarly, there may be cross-dutyholder industry projects where a </w:t>
      </w:r>
      <w:r w:rsidR="00546ACB" w:rsidRPr="00A94BE4">
        <w:t>high-level</w:t>
      </w:r>
      <w:r w:rsidRPr="00A94BE4">
        <w:t xml:space="preserve"> consideration is given to risk optimisation for particular hazards across the activities of more than one dutyholder. Individual dutyholders may cite related strategic ‘risk optimisation’ decisions within their overall ALARP claim. While such a study may be useful to inform the overall project risks, it is important to recognise that dutyholder duties to reduce risks ALARP only apply to risks the dutyholder controls.</w:t>
      </w:r>
    </w:p>
    <w:p w14:paraId="3449839D" w14:textId="7CB50157" w:rsidR="001D75C5" w:rsidRDefault="00F07C83" w:rsidP="002F3956">
      <w:pPr>
        <w:pStyle w:val="F9-Paragraph"/>
      </w:pPr>
      <w:r>
        <w:t>Although</w:t>
      </w:r>
      <w:r w:rsidR="00FF6EB8" w:rsidRPr="003D0271">
        <w:t xml:space="preserve"> </w:t>
      </w:r>
      <w:r w:rsidR="009F142A">
        <w:t>it</w:t>
      </w:r>
      <w:r w:rsidR="00FF6EB8" w:rsidRPr="003D0271">
        <w:t xml:space="preserve"> is understandable</w:t>
      </w:r>
      <w:r w:rsidR="00182E44">
        <w:t xml:space="preserve"> that dutyholders </w:t>
      </w:r>
      <w:r>
        <w:t>seek to include</w:t>
      </w:r>
      <w:r w:rsidR="00182E44">
        <w:t xml:space="preserve"> </w:t>
      </w:r>
      <w:r w:rsidR="00BD0898">
        <w:t xml:space="preserve">wider </w:t>
      </w:r>
      <w:r w:rsidR="00182E44">
        <w:t xml:space="preserve">factors in their ALARP </w:t>
      </w:r>
      <w:r>
        <w:t>arguments</w:t>
      </w:r>
      <w:r w:rsidR="00FF6EB8" w:rsidRPr="003D0271">
        <w:t>,</w:t>
      </w:r>
      <w:r w:rsidR="00CE0E2B">
        <w:t xml:space="preserve"> </w:t>
      </w:r>
      <w:r>
        <w:t>they</w:t>
      </w:r>
      <w:r w:rsidR="00CE0E2B">
        <w:t xml:space="preserve"> are</w:t>
      </w:r>
      <w:r w:rsidR="00FF6EB8" w:rsidRPr="003D0271">
        <w:t xml:space="preserve"> outside the scope of </w:t>
      </w:r>
      <w:r w:rsidR="00FF6EB8">
        <w:t>health and safety legislation</w:t>
      </w:r>
      <w:r>
        <w:t>.</w:t>
      </w:r>
      <w:r w:rsidR="003A4D7C">
        <w:t xml:space="preserve"> </w:t>
      </w:r>
      <w:r>
        <w:t>T</w:t>
      </w:r>
      <w:r w:rsidR="003A4D7C">
        <w:t>herefore</w:t>
      </w:r>
      <w:r w:rsidR="00FF6EB8">
        <w:t xml:space="preserve"> </w:t>
      </w:r>
      <w:r w:rsidR="00742561">
        <w:t xml:space="preserve">ONR’s judgements on whether </w:t>
      </w:r>
      <w:r w:rsidR="00ED2C38">
        <w:t>dutyholders have demonstrated reducing risks to ALARP</w:t>
      </w:r>
      <w:r w:rsidR="00742561">
        <w:t xml:space="preserve"> </w:t>
      </w:r>
      <w:r w:rsidR="00245D8A">
        <w:t xml:space="preserve">are </w:t>
      </w:r>
      <w:r w:rsidR="00742561">
        <w:t xml:space="preserve">independent of </w:t>
      </w:r>
      <w:r w:rsidR="002F3956">
        <w:t>th</w:t>
      </w:r>
      <w:r w:rsidR="00FF6EB8">
        <w:t>e</w:t>
      </w:r>
      <w:r w:rsidR="002F3956">
        <w:t>se factors</w:t>
      </w:r>
      <w:r w:rsidR="00742561">
        <w:t xml:space="preserve">. </w:t>
      </w:r>
    </w:p>
    <w:p w14:paraId="0E0725B7" w14:textId="050B94B0" w:rsidR="00AF4984" w:rsidRPr="003E4A89" w:rsidRDefault="002A033C" w:rsidP="00190E70">
      <w:pPr>
        <w:pStyle w:val="F9-Paragraph"/>
      </w:pPr>
      <w:r w:rsidRPr="002A033C">
        <w:t xml:space="preserve">If the level of </w:t>
      </w:r>
      <w:r w:rsidR="00D02AFE">
        <w:t xml:space="preserve">a </w:t>
      </w:r>
      <w:r w:rsidRPr="002A033C">
        <w:t xml:space="preserve">risk has not been reduced </w:t>
      </w:r>
      <w:r w:rsidR="00DA2869">
        <w:t xml:space="preserve">to </w:t>
      </w:r>
      <w:r w:rsidRPr="002A033C">
        <w:t>ALARP</w:t>
      </w:r>
      <w:r w:rsidR="00E028F3">
        <w:t xml:space="preserve"> by the dutyholder</w:t>
      </w:r>
      <w:r w:rsidRPr="002A033C">
        <w:t xml:space="preserve">, </w:t>
      </w:r>
      <w:r w:rsidR="00E028F3">
        <w:t xml:space="preserve">ONR can and should consider the </w:t>
      </w:r>
      <w:r w:rsidRPr="002A033C">
        <w:t xml:space="preserve">relevant dutyholder and strategic factors in </w:t>
      </w:r>
      <w:r w:rsidR="00D2242E">
        <w:t xml:space="preserve">making </w:t>
      </w:r>
      <w:r w:rsidR="00E028F3">
        <w:t>its</w:t>
      </w:r>
      <w:r w:rsidRPr="002A033C">
        <w:t xml:space="preserve"> regulatory decisions. However, wider national factors do not influence </w:t>
      </w:r>
      <w:r w:rsidR="005716E2">
        <w:t>ONR’s</w:t>
      </w:r>
      <w:r w:rsidRPr="002A033C">
        <w:t xml:space="preserve"> regulatory decisions, as </w:t>
      </w:r>
      <w:r w:rsidR="003146BD">
        <w:t>ONR</w:t>
      </w:r>
      <w:r w:rsidRPr="002A033C">
        <w:t xml:space="preserve"> </w:t>
      </w:r>
      <w:r w:rsidR="003146BD">
        <w:t>does</w:t>
      </w:r>
      <w:r w:rsidRPr="002A033C">
        <w:t xml:space="preserve"> not have the legal authority or sufficient knowledge of the </w:t>
      </w:r>
      <w:r w:rsidR="00F07C83">
        <w:t>factor</w:t>
      </w:r>
      <w:r w:rsidRPr="002A033C">
        <w:t xml:space="preserve">s involved to </w:t>
      </w:r>
      <w:r w:rsidR="00F07C83">
        <w:t xml:space="preserve">make a </w:t>
      </w:r>
      <w:r w:rsidRPr="002A033C">
        <w:t>judge</w:t>
      </w:r>
      <w:r w:rsidR="00F07C83">
        <w:t>ment of</w:t>
      </w:r>
      <w:r w:rsidRPr="002A033C">
        <w:t xml:space="preserve"> the</w:t>
      </w:r>
      <w:r w:rsidR="00F07C83">
        <w:t>ir</w:t>
      </w:r>
      <w:r w:rsidRPr="002A033C">
        <w:t xml:space="preserve"> significance </w:t>
      </w:r>
      <w:r w:rsidR="00F07C83">
        <w:t xml:space="preserve">and then balance this against the safety of a facility or </w:t>
      </w:r>
      <w:r w:rsidR="000E6ED1">
        <w:t xml:space="preserve">an </w:t>
      </w:r>
      <w:r w:rsidR="00F07C83">
        <w:t>activity</w:t>
      </w:r>
      <w:r w:rsidRPr="002A033C">
        <w:t xml:space="preserve"> </w:t>
      </w:r>
      <w:r w:rsidR="00D74605">
        <w:t>(refer to</w:t>
      </w:r>
      <w:r w:rsidR="00EB1E68">
        <w:t xml:space="preserve"> </w:t>
      </w:r>
      <w:r w:rsidR="00250983">
        <w:t xml:space="preserve">ONR’s Risk Informed Decision Making document (ref. </w:t>
      </w:r>
      <w:sdt>
        <w:sdtPr>
          <w:id w:val="-701398615"/>
          <w:citation/>
        </w:sdtPr>
        <w:sdtContent>
          <w:r w:rsidR="00250983">
            <w:fldChar w:fldCharType="begin"/>
          </w:r>
          <w:r w:rsidR="00C67755">
            <w:instrText xml:space="preserve">CITATION ONR17 \l 2057 </w:instrText>
          </w:r>
          <w:r w:rsidR="00250983">
            <w:fldChar w:fldCharType="separate"/>
          </w:r>
          <w:r w:rsidR="00C67755">
            <w:rPr>
              <w:noProof/>
            </w:rPr>
            <w:t>[2]</w:t>
          </w:r>
          <w:r w:rsidR="00250983">
            <w:fldChar w:fldCharType="end"/>
          </w:r>
        </w:sdtContent>
      </w:sdt>
      <w:r w:rsidR="00250983">
        <w:t>) for more detail)</w:t>
      </w:r>
      <w:r w:rsidR="00575729">
        <w:t xml:space="preserve">. </w:t>
      </w:r>
    </w:p>
    <w:p w14:paraId="249EDF5B" w14:textId="77777777" w:rsidR="00B675DF" w:rsidRDefault="00B675DF" w:rsidP="00574CDA">
      <w:pPr>
        <w:pStyle w:val="F9-Paragraph"/>
        <w:numPr>
          <w:ilvl w:val="0"/>
          <w:numId w:val="0"/>
        </w:numPr>
        <w:ind w:left="851" w:hanging="851"/>
        <w:sectPr w:rsidR="00B675DF" w:rsidSect="007E1540">
          <w:pgSz w:w="11906" w:h="16838" w:code="9"/>
          <w:pgMar w:top="1440" w:right="1440" w:bottom="1440" w:left="1440" w:header="397" w:footer="397" w:gutter="0"/>
          <w:cols w:space="312"/>
          <w:docGrid w:linePitch="360"/>
        </w:sectPr>
      </w:pPr>
    </w:p>
    <w:p w14:paraId="22E72608" w14:textId="77777777" w:rsidR="00543E80" w:rsidRDefault="00B675DF" w:rsidP="00543E80">
      <w:pPr>
        <w:pStyle w:val="F9-Paragraph"/>
        <w:keepNext/>
        <w:numPr>
          <w:ilvl w:val="0"/>
          <w:numId w:val="0"/>
        </w:numPr>
        <w:jc w:val="center"/>
      </w:pPr>
      <w:r>
        <w:rPr>
          <w:noProof/>
        </w:rPr>
        <w:lastRenderedPageBreak/>
        <w:drawing>
          <wp:inline distT="0" distB="0" distL="0" distR="0" wp14:anchorId="0BF2CFFB" wp14:editId="774E787F">
            <wp:extent cx="5517531" cy="7076661"/>
            <wp:effectExtent l="0" t="0" r="6985" b="0"/>
            <wp:docPr id="2" name="Picture 2" descr="A diagram of a flowchart, depicting the flow of ONR's regulatory decision making process, from critical enablers, to achieving ALARP, through to other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lowchart, depicting the flow of ONR's regulatory decision making process, from critical enablers, to achieving ALARP, through to other factors. "/>
                    <pic:cNvPicPr/>
                  </pic:nvPicPr>
                  <pic:blipFill>
                    <a:blip r:embed="rId20">
                      <a:extLst>
                        <a:ext uri="{28A0092B-C50C-407E-A947-70E740481C1C}">
                          <a14:useLocalDpi xmlns:a14="http://schemas.microsoft.com/office/drawing/2010/main" val="0"/>
                        </a:ext>
                      </a:extLst>
                    </a:blip>
                    <a:stretch>
                      <a:fillRect/>
                    </a:stretch>
                  </pic:blipFill>
                  <pic:spPr>
                    <a:xfrm>
                      <a:off x="0" y="0"/>
                      <a:ext cx="5559274" cy="7130200"/>
                    </a:xfrm>
                    <a:prstGeom prst="rect">
                      <a:avLst/>
                    </a:prstGeom>
                  </pic:spPr>
                </pic:pic>
              </a:graphicData>
            </a:graphic>
          </wp:inline>
        </w:drawing>
      </w:r>
    </w:p>
    <w:p w14:paraId="7DEB6E83" w14:textId="48A0510D" w:rsidR="00B675DF" w:rsidRDefault="00543E80" w:rsidP="00543E80">
      <w:pPr>
        <w:pStyle w:val="Caption"/>
        <w:jc w:val="center"/>
      </w:pPr>
      <w:bookmarkStart w:id="8" w:name="_Ref156484712"/>
      <w:r>
        <w:t xml:space="preserve">Figure </w:t>
      </w:r>
      <w:fldSimple w:instr=" SEQ Figure \* ARABIC ">
        <w:r>
          <w:rPr>
            <w:noProof/>
          </w:rPr>
          <w:t>2</w:t>
        </w:r>
      </w:fldSimple>
      <w:bookmarkEnd w:id="8"/>
      <w:r>
        <w:t xml:space="preserve"> - </w:t>
      </w:r>
      <w:r w:rsidRPr="00D73F32">
        <w:t>Key elements of ONR’s regulatory decision-making process</w:t>
      </w:r>
    </w:p>
    <w:p w14:paraId="7B45D84E" w14:textId="77777777" w:rsidR="00543E80" w:rsidRDefault="00543E80" w:rsidP="00F94648">
      <w:pPr>
        <w:pStyle w:val="Heading1"/>
        <w:numPr>
          <w:ilvl w:val="0"/>
          <w:numId w:val="25"/>
        </w:numPr>
        <w:ind w:left="851" w:hanging="851"/>
        <w:sectPr w:rsidR="00543E80" w:rsidSect="007E1540">
          <w:pgSz w:w="11906" w:h="16838" w:code="9"/>
          <w:pgMar w:top="1440" w:right="1440" w:bottom="1440" w:left="1440" w:header="397" w:footer="397" w:gutter="0"/>
          <w:cols w:space="312"/>
          <w:docGrid w:linePitch="360"/>
        </w:sectPr>
      </w:pPr>
      <w:bookmarkStart w:id="9" w:name="_Toc146287634"/>
    </w:p>
    <w:p w14:paraId="1AAE740D" w14:textId="77777777" w:rsidR="00F7687C" w:rsidRDefault="00671550" w:rsidP="00F94648">
      <w:pPr>
        <w:pStyle w:val="Heading1"/>
        <w:numPr>
          <w:ilvl w:val="0"/>
          <w:numId w:val="25"/>
        </w:numPr>
        <w:ind w:left="851" w:hanging="851"/>
      </w:pPr>
      <w:r>
        <w:lastRenderedPageBreak/>
        <w:t>Advice to Inspectors</w:t>
      </w:r>
      <w:bookmarkEnd w:id="9"/>
      <w:r w:rsidR="00495370">
        <w:t xml:space="preserve"> </w:t>
      </w:r>
    </w:p>
    <w:p w14:paraId="6E932EB9" w14:textId="4DAE6AD8" w:rsidR="008D7174" w:rsidRDefault="002907F7" w:rsidP="008D7174">
      <w:pPr>
        <w:pStyle w:val="F9-Paragraph"/>
      </w:pPr>
      <w:r>
        <w:t xml:space="preserve">In addition to the concepts outlined in Section 5, </w:t>
      </w:r>
      <w:r w:rsidR="006154A0">
        <w:t xml:space="preserve">ONR developed </w:t>
      </w:r>
      <w:r w:rsidR="00EC2D1C">
        <w:t>this section</w:t>
      </w:r>
      <w:r w:rsidR="006154A0">
        <w:t xml:space="preserve"> </w:t>
      </w:r>
      <w:r w:rsidR="00492B77">
        <w:t>to</w:t>
      </w:r>
      <w:r w:rsidR="0058666A">
        <w:t xml:space="preserve"> provide guidance to its inspectors on the law, its interpretation by the courts, and on RGP</w:t>
      </w:r>
      <w:r w:rsidR="00BF682F">
        <w:t>. This section also provide guidance to</w:t>
      </w:r>
      <w:r w:rsidR="0058666A">
        <w:t xml:space="preserve"> inspectors</w:t>
      </w:r>
      <w:r w:rsidR="00BF682F">
        <w:t xml:space="preserve"> in exercising</w:t>
      </w:r>
      <w:r w:rsidR="0058666A">
        <w:t xml:space="preserve"> discretion to promote consistency in assessing compliance and </w:t>
      </w:r>
      <w:r w:rsidR="00BF682F">
        <w:t>delivering</w:t>
      </w:r>
      <w:r w:rsidR="0058666A">
        <w:t xml:space="preserve"> proportionate </w:t>
      </w:r>
      <w:r w:rsidR="00BF682F">
        <w:t>outcomes</w:t>
      </w:r>
      <w:r w:rsidR="0058666A">
        <w:t>.</w:t>
      </w:r>
      <w:r w:rsidR="008D7174">
        <w:t xml:space="preserve"> </w:t>
      </w:r>
    </w:p>
    <w:p w14:paraId="1F368054" w14:textId="2D7B3890" w:rsidR="00E92FD7" w:rsidRDefault="00E92FD7" w:rsidP="00E92FD7">
      <w:pPr>
        <w:pStyle w:val="F9-Paragraph"/>
      </w:pPr>
      <w:r>
        <w:t>An inspector’s</w:t>
      </w:r>
      <w:r w:rsidRPr="00732364">
        <w:t xml:space="preserve"> judgement </w:t>
      </w:r>
      <w:r>
        <w:t>on whether dutyholders have met their legal obligations in reducing risks to ALARP</w:t>
      </w:r>
      <w:r w:rsidRPr="00732364">
        <w:t xml:space="preserve"> is </w:t>
      </w:r>
      <w:r>
        <w:t xml:space="preserve">often </w:t>
      </w:r>
      <w:r w:rsidR="00BF682F">
        <w:t>complex or multifaceted</w:t>
      </w:r>
      <w:r>
        <w:t>. T</w:t>
      </w:r>
      <w:r w:rsidRPr="000E6C21">
        <w:t xml:space="preserve">here is no simple formula for computing what </w:t>
      </w:r>
      <w:r>
        <w:t>constitutes</w:t>
      </w:r>
      <w:r w:rsidRPr="000E6C21">
        <w:t xml:space="preserve"> ALARP</w:t>
      </w:r>
      <w:r>
        <w:t xml:space="preserve">, which means the judgement is </w:t>
      </w:r>
      <w:r w:rsidR="00BF682F">
        <w:t xml:space="preserve">primarily </w:t>
      </w:r>
      <w:r>
        <w:t>qualitative rather than quantitative</w:t>
      </w:r>
      <w:r w:rsidR="00AD4E5B">
        <w:t>, taking into account the full range of hazards, operating states and levels of defence in depth</w:t>
      </w:r>
      <w:r w:rsidRPr="000E6C21">
        <w:t>.</w:t>
      </w:r>
      <w:r>
        <w:t xml:space="preserve"> </w:t>
      </w:r>
      <w:r w:rsidR="00AD4E5B">
        <w:t>I</w:t>
      </w:r>
      <w:r w:rsidRPr="00732364">
        <w:t>n some cases</w:t>
      </w:r>
      <w:r w:rsidR="000E32B4">
        <w:t>,</w:t>
      </w:r>
      <w:r w:rsidRPr="00732364">
        <w:t xml:space="preserve"> dutyholders may choose to use quantitative measures to support their argument</w:t>
      </w:r>
      <w:r w:rsidR="000E32B4">
        <w:t>s demonstrating</w:t>
      </w:r>
      <w:r w:rsidRPr="00732364">
        <w:t xml:space="preserve"> risks have been reduced to ALARP</w:t>
      </w:r>
      <w:r w:rsidR="003D416F">
        <w:t>, and inspectors may use the numerical targets set out in the SAPs to inform their own judgement, but there is not a single numerical measure for judging whether risks have been reduced to ALARP</w:t>
      </w:r>
      <w:r w:rsidRPr="00732364">
        <w:t>.</w:t>
      </w:r>
      <w:r>
        <w:t xml:space="preserve"> </w:t>
      </w:r>
    </w:p>
    <w:p w14:paraId="0BFEEDC8" w14:textId="639833C4" w:rsidR="00C311EC" w:rsidRDefault="00C311EC" w:rsidP="004F6262">
      <w:pPr>
        <w:pStyle w:val="F9-Paragraph"/>
      </w:pPr>
      <w:r>
        <w:t xml:space="preserve">It is for </w:t>
      </w:r>
      <w:r w:rsidR="00C414EA">
        <w:t>dutyholders</w:t>
      </w:r>
      <w:r>
        <w:t xml:space="preserve"> to </w:t>
      </w:r>
      <w:r w:rsidR="0084799A">
        <w:t xml:space="preserve">carry out suitable and sufficient risk assessment </w:t>
      </w:r>
      <w:r w:rsidR="00FC1647">
        <w:t>on risks under their control</w:t>
      </w:r>
      <w:r w:rsidR="00CB3555">
        <w:t xml:space="preserve"> </w:t>
      </w:r>
      <w:r w:rsidR="0084799A">
        <w:t xml:space="preserve">and </w:t>
      </w:r>
      <w:r>
        <w:t xml:space="preserve">ensure that </w:t>
      </w:r>
      <w:r w:rsidR="00DB3162">
        <w:t>existing</w:t>
      </w:r>
      <w:r>
        <w:t xml:space="preserve"> </w:t>
      </w:r>
      <w:r w:rsidR="00FC1647">
        <w:t>or proposed measures</w:t>
      </w:r>
      <w:r>
        <w:t xml:space="preserve"> reduce risks </w:t>
      </w:r>
      <w:r w:rsidR="00FC1647">
        <w:t>to ALARP</w:t>
      </w:r>
      <w:r>
        <w:t>.</w:t>
      </w:r>
      <w:r w:rsidR="006C3F66">
        <w:t xml:space="preserve"> </w:t>
      </w:r>
      <w:r w:rsidR="00BF682F">
        <w:t>This is an</w:t>
      </w:r>
      <w:r w:rsidR="006C3F66">
        <w:t xml:space="preserve"> </w:t>
      </w:r>
      <w:r w:rsidR="007776E5">
        <w:t xml:space="preserve">ongoing </w:t>
      </w:r>
      <w:r w:rsidR="006C3F66">
        <w:t>legal dut</w:t>
      </w:r>
      <w:r w:rsidR="00BF682F">
        <w:t>y.</w:t>
      </w:r>
      <w:r w:rsidR="006C3F66">
        <w:t xml:space="preserve"> ALARP should not be used by a dutyholder to argu</w:t>
      </w:r>
      <w:r w:rsidR="007776E5">
        <w:t>e</w:t>
      </w:r>
      <w:r w:rsidR="006C3F66">
        <w:t xml:space="preserve"> against other statutory duties</w:t>
      </w:r>
      <w:r w:rsidR="00571B2A">
        <w:t xml:space="preserve"> that may mandate certain control measures to be impl</w:t>
      </w:r>
      <w:r w:rsidR="00BD37E5">
        <w:t>e</w:t>
      </w:r>
      <w:r w:rsidR="00571B2A">
        <w:t>mented</w:t>
      </w:r>
      <w:r w:rsidR="006C3F66">
        <w:t>.</w:t>
      </w:r>
      <w:r w:rsidR="000241F5" w:rsidRPr="000241F5">
        <w:t xml:space="preserve"> </w:t>
      </w:r>
      <w:r w:rsidR="00D74605">
        <w:t>(refer to</w:t>
      </w:r>
      <w:r w:rsidR="000241F5">
        <w:t xml:space="preserve"> </w:t>
      </w:r>
      <w:r w:rsidR="00154DAA">
        <w:t>Section 5.2</w:t>
      </w:r>
      <w:r w:rsidR="000241F5">
        <w:t>)</w:t>
      </w:r>
    </w:p>
    <w:p w14:paraId="32CA1A61" w14:textId="5DE2168F" w:rsidR="00423876" w:rsidRPr="00732364" w:rsidRDefault="00BD37E5" w:rsidP="00432EED">
      <w:pPr>
        <w:pStyle w:val="F9-Paragraph"/>
      </w:pPr>
      <w:r>
        <w:t xml:space="preserve">In </w:t>
      </w:r>
      <w:r w:rsidRPr="00154DAA">
        <w:t xml:space="preserve">certain situations, as a result of specific legislation or licence conditions </w:t>
      </w:r>
      <w:r w:rsidR="00D74605">
        <w:t>(refer to</w:t>
      </w:r>
      <w:r w:rsidRPr="00154DAA">
        <w:t xml:space="preserve"> </w:t>
      </w:r>
      <w:r w:rsidR="000555AA" w:rsidRPr="00154DAA">
        <w:t>Section 5.2.</w:t>
      </w:r>
      <w:r w:rsidR="00154DAA" w:rsidRPr="00154DAA">
        <w:t>3</w:t>
      </w:r>
      <w:r w:rsidRPr="00154DAA">
        <w:t xml:space="preserve">), dutyholders are required to present a written, reasoned safety case or safety report </w:t>
      </w:r>
      <w:r w:rsidR="00954945" w:rsidRPr="00154DAA">
        <w:t>justifying</w:t>
      </w:r>
      <w:r w:rsidRPr="00154DAA">
        <w:t xml:space="preserve"> the safety of an operation or an </w:t>
      </w:r>
      <w:r w:rsidR="002F4645" w:rsidRPr="00154DAA">
        <w:t>establishment</w:t>
      </w:r>
      <w:r w:rsidRPr="00154DAA">
        <w:t>/installation (including the design</w:t>
      </w:r>
      <w:r w:rsidR="002F4645">
        <w:t>) and</w:t>
      </w:r>
      <w:r>
        <w:t xml:space="preserve"> satisfy ONR that the safety case or safety report is adequate. Inspectors should </w:t>
      </w:r>
      <w:r w:rsidR="00BF682F">
        <w:t>use</w:t>
      </w:r>
      <w:r>
        <w:t xml:space="preserve"> a risk-informed and proportionate approach in sampling </w:t>
      </w:r>
      <w:r w:rsidR="00EC06A8">
        <w:t xml:space="preserve">the </w:t>
      </w:r>
      <w:r>
        <w:t>dutyholder’s safety case or safety report to reach a</w:t>
      </w:r>
      <w:r w:rsidR="00EC06A8">
        <w:t>n appropriate</w:t>
      </w:r>
      <w:r>
        <w:t xml:space="preserve"> judgement</w:t>
      </w:r>
      <w:r w:rsidR="00736332">
        <w:t>.</w:t>
      </w:r>
      <w:r>
        <w:t xml:space="preserve"> </w:t>
      </w:r>
    </w:p>
    <w:p w14:paraId="4DF4BEFD" w14:textId="1AB8C7BA" w:rsidR="00C311EC" w:rsidRPr="00732364" w:rsidRDefault="00F449A5" w:rsidP="00575314">
      <w:pPr>
        <w:pStyle w:val="F9-Paragraph"/>
      </w:pPr>
      <w:r>
        <w:t xml:space="preserve">It is important </w:t>
      </w:r>
      <w:r w:rsidR="00F61F5D">
        <w:t xml:space="preserve">for regulators </w:t>
      </w:r>
      <w:r>
        <w:t xml:space="preserve">to </w:t>
      </w:r>
      <w:r w:rsidRPr="006A5F8A">
        <w:t xml:space="preserve">understand </w:t>
      </w:r>
      <w:r w:rsidR="000A04B2">
        <w:t>why and how</w:t>
      </w:r>
      <w:r w:rsidRPr="006A5F8A">
        <w:t xml:space="preserve"> a dutyholder considers </w:t>
      </w:r>
      <w:r w:rsidR="00DB3162" w:rsidRPr="006A5F8A">
        <w:t xml:space="preserve">it meets the legal obligations </w:t>
      </w:r>
      <w:r w:rsidR="006A5F8A" w:rsidRPr="006A5F8A">
        <w:t>to reduce risks to ALARP</w:t>
      </w:r>
      <w:r w:rsidRPr="006A5F8A">
        <w:t xml:space="preserve">. </w:t>
      </w:r>
      <w:r w:rsidR="004C5851">
        <w:t xml:space="preserve">Inspectors may offer guidance to assist dutyholders. However, </w:t>
      </w:r>
      <w:r w:rsidR="001147FB">
        <w:t>i</w:t>
      </w:r>
      <w:r w:rsidR="004C5851">
        <w:t xml:space="preserve">nspectors need to reach a judgement in inspection, assessment, permissioning, and </w:t>
      </w:r>
      <w:r w:rsidR="00DB440A">
        <w:t xml:space="preserve">formal </w:t>
      </w:r>
      <w:r w:rsidR="004C5851">
        <w:t xml:space="preserve">enforcement, as to whether </w:t>
      </w:r>
      <w:r w:rsidR="00C35AC9">
        <w:t xml:space="preserve">a </w:t>
      </w:r>
      <w:r w:rsidR="004C5851">
        <w:t>dutyholder ha</w:t>
      </w:r>
      <w:r w:rsidR="00C35AC9">
        <w:t>s</w:t>
      </w:r>
      <w:r w:rsidR="004C5851">
        <w:t xml:space="preserve"> met their legal obligations </w:t>
      </w:r>
      <w:r w:rsidR="00BC7A60">
        <w:t>to reduce</w:t>
      </w:r>
      <w:r w:rsidR="004C5851">
        <w:t xml:space="preserve"> risks to ALARP. </w:t>
      </w:r>
      <w:r w:rsidR="00546CDA">
        <w:t xml:space="preserve">This </w:t>
      </w:r>
      <w:r w:rsidR="00546CDA" w:rsidRPr="00732364">
        <w:t>judgement is a</w:t>
      </w:r>
      <w:r w:rsidR="008F6691" w:rsidRPr="00732364">
        <w:t>n</w:t>
      </w:r>
      <w:r w:rsidR="00546CDA" w:rsidRPr="00732364">
        <w:t xml:space="preserve"> essential part of ONR’s decision-making process. </w:t>
      </w:r>
      <w:r w:rsidR="00D74605">
        <w:t>(refer to</w:t>
      </w:r>
      <w:r w:rsidR="00546CDA" w:rsidRPr="00732364">
        <w:t xml:space="preserve"> </w:t>
      </w:r>
      <w:r w:rsidR="006935A9">
        <w:t>Section 5.3</w:t>
      </w:r>
      <w:r w:rsidR="00546CDA" w:rsidRPr="00732364">
        <w:t>)</w:t>
      </w:r>
    </w:p>
    <w:p w14:paraId="10753028" w14:textId="5E60BB3C" w:rsidR="00C81FEE" w:rsidRDefault="00C81FEE" w:rsidP="00575314">
      <w:pPr>
        <w:pStyle w:val="F9-Paragraph"/>
      </w:pPr>
      <w:r>
        <w:t xml:space="preserve">Inspectors should ensure their engagements with dutyholders are </w:t>
      </w:r>
      <w:r w:rsidR="006D0E78">
        <w:t xml:space="preserve">appropriately </w:t>
      </w:r>
      <w:r>
        <w:t xml:space="preserve">targeted and deliver balanced, proportionate and consistent judgements on whether dutyholders have met their legal obligations </w:t>
      </w:r>
      <w:r w:rsidR="00822B22">
        <w:t>to reduce</w:t>
      </w:r>
      <w:r>
        <w:t xml:space="preserve"> risks to ALARP. </w:t>
      </w:r>
      <w:r w:rsidR="00D74605">
        <w:t>(refer to</w:t>
      </w:r>
      <w:r>
        <w:t xml:space="preserve"> </w:t>
      </w:r>
      <w:r w:rsidR="006935A9">
        <w:t xml:space="preserve">Section </w:t>
      </w:r>
      <w:r w:rsidR="00B57F3A">
        <w:t>5.3.2</w:t>
      </w:r>
      <w:r>
        <w:t>)</w:t>
      </w:r>
    </w:p>
    <w:p w14:paraId="3A1229B4" w14:textId="45106D07" w:rsidR="00350859" w:rsidRPr="00350859" w:rsidRDefault="00BF682F" w:rsidP="00575314">
      <w:pPr>
        <w:pStyle w:val="F9-Paragraph"/>
      </w:pPr>
      <w:r>
        <w:t>T</w:t>
      </w:r>
      <w:r w:rsidR="006106EE">
        <w:t>he i</w:t>
      </w:r>
      <w:r w:rsidR="00350859" w:rsidRPr="00350859">
        <w:t xml:space="preserve">ndicators </w:t>
      </w:r>
      <w:r w:rsidR="005A6615">
        <w:t xml:space="preserve">below </w:t>
      </w:r>
      <w:r>
        <w:t xml:space="preserve">provide guidance to inspectors as part of informing </w:t>
      </w:r>
      <w:r w:rsidR="005A6615">
        <w:t xml:space="preserve">their judgement </w:t>
      </w:r>
      <w:r w:rsidR="002C2B86">
        <w:t>on whether a safety case or safety report submitted by a dutyholder is adequate or not</w:t>
      </w:r>
      <w:r w:rsidR="00350859" w:rsidRPr="00350859">
        <w:t>:</w:t>
      </w:r>
    </w:p>
    <w:p w14:paraId="06C10072" w14:textId="08F83F24" w:rsidR="0068740E" w:rsidRDefault="0068740E" w:rsidP="00825890">
      <w:pPr>
        <w:pStyle w:val="Bulletlist1"/>
      </w:pPr>
      <w:r>
        <w:lastRenderedPageBreak/>
        <w:t xml:space="preserve">The rigour of </w:t>
      </w:r>
      <w:r w:rsidR="001D7416">
        <w:t xml:space="preserve">a </w:t>
      </w:r>
      <w:r>
        <w:t xml:space="preserve">safety case or safety report </w:t>
      </w:r>
      <w:r w:rsidR="002C2B86">
        <w:t>should be</w:t>
      </w:r>
      <w:r>
        <w:t xml:space="preserve"> propotionate </w:t>
      </w:r>
      <w:r w:rsidR="002C2B86">
        <w:t>to</w:t>
      </w:r>
      <w:r>
        <w:t xml:space="preserve"> the level of </w:t>
      </w:r>
      <w:r w:rsidR="00E72F88">
        <w:t>hazard</w:t>
      </w:r>
      <w:r>
        <w:t xml:space="preserve"> in the scenario under consideration.</w:t>
      </w:r>
    </w:p>
    <w:p w14:paraId="1431FF43" w14:textId="3CEE3FA0" w:rsidR="00486FBA" w:rsidRDefault="00350859" w:rsidP="00825890">
      <w:pPr>
        <w:pStyle w:val="Bulletlist1"/>
      </w:pPr>
      <w:r>
        <w:t xml:space="preserve">There </w:t>
      </w:r>
      <w:r w:rsidR="002C2B86">
        <w:t>should be</w:t>
      </w:r>
      <w:r>
        <w:t xml:space="preserve"> evidence of an adequate and fit-for-purpose risk assessment that underpins the ALARP demonstration.</w:t>
      </w:r>
      <w:r w:rsidR="00F82761">
        <w:t xml:space="preserve"> </w:t>
      </w:r>
      <w:r w:rsidR="00D74605">
        <w:t>(refer to</w:t>
      </w:r>
      <w:r w:rsidR="00D166B0">
        <w:t xml:space="preserve"> </w:t>
      </w:r>
      <w:r w:rsidR="009F743C">
        <w:t>Section 5.2</w:t>
      </w:r>
      <w:r w:rsidR="00D166B0">
        <w:t>)</w:t>
      </w:r>
    </w:p>
    <w:p w14:paraId="3E3143D3" w14:textId="27F61BC1" w:rsidR="001F4B9D" w:rsidRDefault="001F4B9D" w:rsidP="00825890">
      <w:pPr>
        <w:pStyle w:val="Bulletlist1"/>
      </w:pPr>
      <w:r>
        <w:t xml:space="preserve">The </w:t>
      </w:r>
      <w:r w:rsidR="00216180">
        <w:t xml:space="preserve">dutyholder’s </w:t>
      </w:r>
      <w:r>
        <w:t xml:space="preserve">risk assessment and ALARP demonstration </w:t>
      </w:r>
      <w:r w:rsidR="002C2B86">
        <w:t xml:space="preserve">should </w:t>
      </w:r>
      <w:r>
        <w:t xml:space="preserve">take adequate account of all relevant types of </w:t>
      </w:r>
      <w:r w:rsidR="00F050B5">
        <w:t xml:space="preserve">foreseeable </w:t>
      </w:r>
      <w:r>
        <w:t xml:space="preserve">risks </w:t>
      </w:r>
      <w:r w:rsidR="00F050B5">
        <w:t>that are</w:t>
      </w:r>
      <w:r>
        <w:t xml:space="preserve"> under </w:t>
      </w:r>
      <w:r w:rsidR="00F050B5">
        <w:t>their control</w:t>
      </w:r>
      <w:r w:rsidR="00D166B0">
        <w:t>.</w:t>
      </w:r>
      <w:r w:rsidR="00AF5E91">
        <w:t xml:space="preserve"> </w:t>
      </w:r>
      <w:r w:rsidR="00F050B5">
        <w:t xml:space="preserve">This should include all permitted operating states and different levels of defence in depth. On complex high hazard facilities this </w:t>
      </w:r>
      <w:r w:rsidR="00A64DCE">
        <w:t>will almost certainly involve utilising PSA</w:t>
      </w:r>
      <w:r w:rsidR="00BF682F">
        <w:t xml:space="preserve"> to completement a deterministic safety demonstration</w:t>
      </w:r>
      <w:r w:rsidR="00971691">
        <w:t xml:space="preserve">. </w:t>
      </w:r>
      <w:r w:rsidR="00D74605">
        <w:t>(refer to</w:t>
      </w:r>
      <w:r w:rsidR="00AF5E91">
        <w:t xml:space="preserve"> </w:t>
      </w:r>
      <w:r w:rsidR="009F743C">
        <w:t>Section 5.2.</w:t>
      </w:r>
      <w:r w:rsidR="00D87A44">
        <w:t>1 and 5.2.3</w:t>
      </w:r>
      <w:r w:rsidR="00AF5E91">
        <w:t>)</w:t>
      </w:r>
    </w:p>
    <w:p w14:paraId="320927EE" w14:textId="7F9D9C91" w:rsidR="00971691" w:rsidRDefault="00971691" w:rsidP="00825890">
      <w:pPr>
        <w:pStyle w:val="Bulletlist1"/>
      </w:pPr>
      <w:r>
        <w:t>There are nine numerical targets in the SAPs</w:t>
      </w:r>
      <w:r w:rsidR="00992CD3">
        <w:t>. These should be used to target ONR’s attention for nuclear safety hazards.</w:t>
      </w:r>
    </w:p>
    <w:p w14:paraId="0EE3D3A1" w14:textId="4EA55B3A" w:rsidR="00992CD3" w:rsidRDefault="000F7416" w:rsidP="00825890">
      <w:pPr>
        <w:pStyle w:val="Bulletlist1"/>
      </w:pPr>
      <w:r w:rsidRPr="000F7416">
        <w:t xml:space="preserve">Where dutyholders </w:t>
      </w:r>
      <w:r w:rsidR="0056234B">
        <w:t>have provided</w:t>
      </w:r>
      <w:r w:rsidRPr="000F7416">
        <w:t xml:space="preserve"> a quantitative risk </w:t>
      </w:r>
      <w:r w:rsidR="0056234B">
        <w:t>assessment</w:t>
      </w:r>
      <w:r w:rsidRPr="000F7416">
        <w:t xml:space="preserve"> such as a reactor PSA, inspectors should be mindful </w:t>
      </w:r>
      <w:r w:rsidR="00BF682F">
        <w:t>of</w:t>
      </w:r>
      <w:r w:rsidRPr="000F7416">
        <w:t xml:space="preserve"> any limitations in such </w:t>
      </w:r>
      <w:r w:rsidR="0056234B">
        <w:t>assessment</w:t>
      </w:r>
      <w:r w:rsidR="00BF682F">
        <w:t>, which should include a deterministic safety assessment</w:t>
      </w:r>
      <w:r w:rsidRPr="000F7416">
        <w:t xml:space="preserve"> in </w:t>
      </w:r>
      <w:r w:rsidR="0056234B">
        <w:t xml:space="preserve">the </w:t>
      </w:r>
      <w:r w:rsidRPr="000F7416">
        <w:t xml:space="preserve">overall ALARP </w:t>
      </w:r>
      <w:r w:rsidR="000E6ED1">
        <w:t>argument</w:t>
      </w:r>
      <w:r w:rsidRPr="000F7416">
        <w:t xml:space="preserve">. For example, </w:t>
      </w:r>
      <w:r w:rsidR="00083304">
        <w:t xml:space="preserve">a </w:t>
      </w:r>
      <w:r w:rsidRPr="000F7416">
        <w:t xml:space="preserve">reactor PSA may not address the full scope and modes of operations such as routine and maintenance operations.  </w:t>
      </w:r>
    </w:p>
    <w:p w14:paraId="7FD0C366" w14:textId="60EC0729" w:rsidR="00F332E4" w:rsidRDefault="00F332E4" w:rsidP="00825890">
      <w:pPr>
        <w:pStyle w:val="Bulletlist1"/>
      </w:pPr>
      <w:r>
        <w:t xml:space="preserve">RGP is a generic term for those control measures, standards, policies and other practices which are relevant to a situation and that, if implemented, would usually be considered to meet a goal-setting obligation or expectation. These must be good practices that are sufficient to meet the overall legal requirement (e.g. </w:t>
      </w:r>
      <w:r w:rsidR="00890D87">
        <w:t>reducing</w:t>
      </w:r>
      <w:r>
        <w:t xml:space="preserve"> risk </w:t>
      </w:r>
      <w:r w:rsidR="00890D87">
        <w:t xml:space="preserve">to </w:t>
      </w:r>
      <w:r>
        <w:t>ALARP</w:t>
      </w:r>
      <w:r w:rsidRPr="00986624">
        <w:t>)</w:t>
      </w:r>
      <w:r w:rsidR="00890D87" w:rsidRPr="00986624">
        <w:t xml:space="preserve">, </w:t>
      </w:r>
      <w:r w:rsidR="002D5653" w:rsidRPr="00986624">
        <w:t>and not</w:t>
      </w:r>
      <w:r w:rsidRPr="00986624">
        <w:t xml:space="preserve"> best practices which go beyond the legal requirement. </w:t>
      </w:r>
      <w:r w:rsidR="00D74605">
        <w:t>(refer to</w:t>
      </w:r>
      <w:r w:rsidR="00465B08" w:rsidRPr="00986624">
        <w:t xml:space="preserve"> Section</w:t>
      </w:r>
      <w:r w:rsidR="00986624" w:rsidRPr="00986624">
        <w:t>s</w:t>
      </w:r>
      <w:r w:rsidR="00465B08" w:rsidRPr="00986624">
        <w:t xml:space="preserve"> 5.1.6</w:t>
      </w:r>
      <w:r w:rsidR="007668B3" w:rsidRPr="00986624">
        <w:t>.1, 5.1.6.2</w:t>
      </w:r>
      <w:r w:rsidR="00465B08" w:rsidRPr="00986624">
        <w:t xml:space="preserve"> and</w:t>
      </w:r>
      <w:r w:rsidR="00986624" w:rsidRPr="00986624">
        <w:t xml:space="preserve"> 5.2.4</w:t>
      </w:r>
      <w:r w:rsidR="00465B08" w:rsidRPr="00986624">
        <w:t>)</w:t>
      </w:r>
    </w:p>
    <w:p w14:paraId="06E512EC" w14:textId="57D230DD" w:rsidR="00F332E4" w:rsidRDefault="00F332E4" w:rsidP="00825890">
      <w:pPr>
        <w:pStyle w:val="Bulletlist1"/>
      </w:pPr>
      <w:r>
        <w:t xml:space="preserve">RGP is a regulatory concept and not the law. A dutyholder is always free to do something </w:t>
      </w:r>
      <w:r w:rsidRPr="00986624">
        <w:t>different providing it meets the legal requirement</w:t>
      </w:r>
      <w:r w:rsidR="00991B26" w:rsidRPr="00986624">
        <w:t xml:space="preserve"> to reduce the risk to ALARP</w:t>
      </w:r>
      <w:r w:rsidRPr="00986624">
        <w:t>.</w:t>
      </w:r>
      <w:r w:rsidR="0008348F" w:rsidRPr="00986624">
        <w:t xml:space="preserve"> </w:t>
      </w:r>
      <w:r w:rsidR="00D74605">
        <w:t>(refer to</w:t>
      </w:r>
      <w:r w:rsidR="0008348F" w:rsidRPr="00986624">
        <w:t xml:space="preserve"> Section 5.1.6.1)</w:t>
      </w:r>
    </w:p>
    <w:p w14:paraId="1D13ACBF" w14:textId="3EC1A8A9" w:rsidR="00F332E4" w:rsidRPr="00986624" w:rsidRDefault="00BF682F" w:rsidP="00825890">
      <w:pPr>
        <w:pStyle w:val="Bulletlist1"/>
      </w:pPr>
      <w:r>
        <w:t>F</w:t>
      </w:r>
      <w:r w:rsidR="00F332E4">
        <w:t>or commonly-encountered situations where the control measures are well-established and understood</w:t>
      </w:r>
      <w:r>
        <w:t>, application of RGP may be sufficient to demonstrate risks are reduced to ALARP</w:t>
      </w:r>
      <w:r w:rsidR="00F332E4">
        <w:t xml:space="preserve">. In novel or unusual circumstances, or in </w:t>
      </w:r>
      <w:r w:rsidR="00F332E4" w:rsidRPr="00986624">
        <w:t>cases where the underlying risk is high, RGP is usually only a starting point to a more detailed assessment against the legal requirement.</w:t>
      </w:r>
      <w:r w:rsidR="0008348F" w:rsidRPr="00986624">
        <w:t xml:space="preserve"> </w:t>
      </w:r>
      <w:r w:rsidR="00D74605">
        <w:t>(refer to</w:t>
      </w:r>
      <w:r w:rsidR="0008348F" w:rsidRPr="00986624">
        <w:t xml:space="preserve"> Section 5.1.6.</w:t>
      </w:r>
      <w:r w:rsidR="001866F2" w:rsidRPr="00986624">
        <w:t>3</w:t>
      </w:r>
      <w:r w:rsidR="0008348F" w:rsidRPr="00986624">
        <w:t>)</w:t>
      </w:r>
    </w:p>
    <w:p w14:paraId="108FF70B" w14:textId="38751EF4" w:rsidR="007668B3" w:rsidRPr="00986624" w:rsidRDefault="007668B3" w:rsidP="00825890">
      <w:pPr>
        <w:pStyle w:val="Bulletlist1"/>
      </w:pPr>
      <w:r w:rsidRPr="00986624">
        <w:t xml:space="preserve">It is </w:t>
      </w:r>
      <w:r w:rsidR="00BF682F">
        <w:t>role of the</w:t>
      </w:r>
      <w:r w:rsidRPr="00986624">
        <w:t xml:space="preserve"> ONR specialism</w:t>
      </w:r>
      <w:r w:rsidR="00A75800" w:rsidRPr="00986624">
        <w:t>s</w:t>
      </w:r>
      <w:r w:rsidRPr="00986624">
        <w:t xml:space="preserve"> and regulatory teams to determine what is the appropriate RGP from a range of potential good practices, if available, for their particular interventions, especially in permissioning and assessment. </w:t>
      </w:r>
      <w:r w:rsidR="00D74605">
        <w:t>(refer to</w:t>
      </w:r>
      <w:r w:rsidRPr="00986624">
        <w:t xml:space="preserve"> Section 5.1.6.4)</w:t>
      </w:r>
    </w:p>
    <w:p w14:paraId="2E607C32" w14:textId="7F060F0F" w:rsidR="00AF0F0B" w:rsidRDefault="00AF0F0B" w:rsidP="00825890">
      <w:pPr>
        <w:pStyle w:val="Bulletlist1"/>
      </w:pPr>
      <w:r>
        <w:t>Dutyholder</w:t>
      </w:r>
      <w:r w:rsidR="001D7416">
        <w:t>s</w:t>
      </w:r>
      <w:r>
        <w:t xml:space="preserve"> should </w:t>
      </w:r>
      <w:r w:rsidR="005B6131" w:rsidRPr="00986624">
        <w:t>implement measures to reduce risks to ALARP</w:t>
      </w:r>
      <w:r w:rsidR="009E18EB" w:rsidRPr="00986624">
        <w:t xml:space="preserve"> unless they can demonstrate mesure</w:t>
      </w:r>
      <w:r w:rsidR="001D7416" w:rsidRPr="00986624">
        <w:t>s</w:t>
      </w:r>
      <w:r w:rsidR="009E18EB" w:rsidRPr="00986624">
        <w:t xml:space="preserve"> are not reasonably practicable by applying the </w:t>
      </w:r>
      <w:r w:rsidR="00185669" w:rsidRPr="00986624">
        <w:t xml:space="preserve">the test of </w:t>
      </w:r>
      <w:r w:rsidR="009E18EB" w:rsidRPr="00986624">
        <w:t xml:space="preserve">‘gross disporpotion’. </w:t>
      </w:r>
      <w:r w:rsidR="00D74605">
        <w:t>(refer to</w:t>
      </w:r>
      <w:r w:rsidR="000555AA" w:rsidRPr="00986624">
        <w:t xml:space="preserve"> Section</w:t>
      </w:r>
      <w:r w:rsidR="00EA04B0" w:rsidRPr="00986624">
        <w:t xml:space="preserve"> 5.1.4)</w:t>
      </w:r>
    </w:p>
    <w:p w14:paraId="2938FDEC" w14:textId="2CB4B7F5" w:rsidR="00052B4C" w:rsidRDefault="00052B4C" w:rsidP="00825890">
      <w:pPr>
        <w:pStyle w:val="Bulletlist1"/>
      </w:pPr>
      <w:r>
        <w:lastRenderedPageBreak/>
        <w:t xml:space="preserve">Where measures are </w:t>
      </w:r>
      <w:r w:rsidR="00BF682F">
        <w:t>concluded</w:t>
      </w:r>
      <w:r>
        <w:t xml:space="preserve"> not </w:t>
      </w:r>
      <w:r w:rsidR="00BF682F">
        <w:t xml:space="preserve">to be </w:t>
      </w:r>
      <w:r>
        <w:t>reasonably practicable by the dutyholder, partial implementation</w:t>
      </w:r>
      <w:r w:rsidR="00245C21">
        <w:t xml:space="preserve"> or alternative measures</w:t>
      </w:r>
      <w:r>
        <w:t xml:space="preserve"> </w:t>
      </w:r>
      <w:r w:rsidR="00245C21">
        <w:t>should have</w:t>
      </w:r>
      <w:r>
        <w:t xml:space="preserve"> been considered</w:t>
      </w:r>
      <w:r w:rsidR="004D56EB">
        <w:t xml:space="preserve"> before applying </w:t>
      </w:r>
      <w:r w:rsidR="00185669">
        <w:t xml:space="preserve">the test of </w:t>
      </w:r>
      <w:r w:rsidR="004D56EB">
        <w:t xml:space="preserve">‘gross </w:t>
      </w:r>
      <w:r w:rsidR="003946FB">
        <w:t>dis</w:t>
      </w:r>
      <w:r w:rsidR="004D56EB">
        <w:t>propotion’</w:t>
      </w:r>
      <w:r>
        <w:t>.</w:t>
      </w:r>
      <w:r w:rsidR="004D56EB">
        <w:t xml:space="preserve"> </w:t>
      </w:r>
    </w:p>
    <w:p w14:paraId="4EC6EB58" w14:textId="1860167E" w:rsidR="00E517AC" w:rsidRDefault="0064100D" w:rsidP="00825890">
      <w:pPr>
        <w:pStyle w:val="Bulletlist1"/>
      </w:pPr>
      <w:r>
        <w:t xml:space="preserve">A </w:t>
      </w:r>
      <w:r w:rsidR="00507535">
        <w:t xml:space="preserve">CBA </w:t>
      </w:r>
      <w:r w:rsidR="00E517AC">
        <w:t>on its own is not acceptable as a</w:t>
      </w:r>
      <w:r w:rsidR="00B55446">
        <w:t xml:space="preserve"> standalone</w:t>
      </w:r>
      <w:r w:rsidR="00E517AC">
        <w:t xml:space="preserve"> ALARP </w:t>
      </w:r>
      <w:r w:rsidR="005F38A4">
        <w:t>demonstration</w:t>
      </w:r>
      <w:r w:rsidR="009C6985">
        <w:t xml:space="preserve"> and should only be used if necessary</w:t>
      </w:r>
      <w:r w:rsidR="00DB5345">
        <w:t xml:space="preserve"> </w:t>
      </w:r>
      <w:r w:rsidR="00D74605">
        <w:t>(refer to</w:t>
      </w:r>
      <w:r w:rsidR="00DB5345">
        <w:t xml:space="preserve"> Appendix 1)</w:t>
      </w:r>
      <w:r w:rsidR="00E517AC">
        <w:t>.</w:t>
      </w:r>
    </w:p>
    <w:p w14:paraId="1D19A957" w14:textId="27CC3CD7" w:rsidR="00350859" w:rsidRDefault="00350859" w:rsidP="00825890">
      <w:pPr>
        <w:pStyle w:val="Bulletlist1"/>
      </w:pPr>
      <w:r>
        <w:t xml:space="preserve">All relevant options </w:t>
      </w:r>
      <w:r w:rsidR="009C6985">
        <w:t>at different stage</w:t>
      </w:r>
      <w:r w:rsidR="00427E9D">
        <w:t>s</w:t>
      </w:r>
      <w:r w:rsidR="009C6985">
        <w:t xml:space="preserve"> of </w:t>
      </w:r>
      <w:r w:rsidR="00427E9D">
        <w:t xml:space="preserve">the </w:t>
      </w:r>
      <w:r w:rsidR="009C6985">
        <w:t>lifecy</w:t>
      </w:r>
      <w:r w:rsidR="00DC6644">
        <w:t>c</w:t>
      </w:r>
      <w:r w:rsidR="009C6985">
        <w:t xml:space="preserve">le of </w:t>
      </w:r>
      <w:r w:rsidR="00281182">
        <w:t>the plant/facility/installation/project/establishment</w:t>
      </w:r>
      <w:r w:rsidR="009C6985">
        <w:t xml:space="preserve"> should </w:t>
      </w:r>
      <w:r>
        <w:t xml:space="preserve">have been considered by the </w:t>
      </w:r>
      <w:r w:rsidR="00C54908">
        <w:t>dutyholder</w:t>
      </w:r>
      <w:r>
        <w:t xml:space="preserve"> and the </w:t>
      </w:r>
      <w:r w:rsidR="00C54908">
        <w:t>optioneering</w:t>
      </w:r>
      <w:r>
        <w:t xml:space="preserve"> </w:t>
      </w:r>
      <w:r w:rsidR="00C54908">
        <w:t>should start</w:t>
      </w:r>
      <w:r>
        <w:t xml:space="preserve"> with the </w:t>
      </w:r>
      <w:r w:rsidR="003D181C">
        <w:t>option that reduces the risk the most</w:t>
      </w:r>
      <w:r>
        <w:t xml:space="preserve"> (as opposed to the cheapest).</w:t>
      </w:r>
      <w:r w:rsidR="00C54908">
        <w:t xml:space="preserve"> </w:t>
      </w:r>
      <w:r w:rsidR="00D74605">
        <w:t>(refer to</w:t>
      </w:r>
      <w:r w:rsidR="00C54908">
        <w:t xml:space="preserve"> </w:t>
      </w:r>
      <w:r w:rsidR="00D02976">
        <w:t xml:space="preserve">Section </w:t>
      </w:r>
      <w:r w:rsidR="00EB0084">
        <w:t>5.2.2</w:t>
      </w:r>
      <w:r w:rsidR="007776E5">
        <w:t xml:space="preserve"> and </w:t>
      </w:r>
      <w:r w:rsidR="00C54908">
        <w:t>Appendix 3)</w:t>
      </w:r>
    </w:p>
    <w:p w14:paraId="67EA4FAB" w14:textId="2C01FBA9" w:rsidR="009577FD" w:rsidRDefault="00B35B6E" w:rsidP="00575314">
      <w:pPr>
        <w:pStyle w:val="F9-Paragraph"/>
      </w:pPr>
      <w:r>
        <w:t xml:space="preserve">It is important to ensure appropriate cross-discipline working within ONR to make balanced and proportionate judgements. ONR Inspectors and relevant staff are advised to seek advice from the ALARP Working Group and relevant technical </w:t>
      </w:r>
      <w:r w:rsidR="009577FD">
        <w:t>specialists</w:t>
      </w:r>
      <w:r w:rsidR="00135B11">
        <w:t xml:space="preserve"> in making their judgements, especially </w:t>
      </w:r>
      <w:r w:rsidR="00355BAC">
        <w:t>on complex and/or novel cases</w:t>
      </w:r>
      <w:r w:rsidR="009577FD">
        <w:t>.</w:t>
      </w:r>
      <w:r w:rsidR="009577FD" w:rsidRPr="00AB7033">
        <w:t xml:space="preserve"> </w:t>
      </w:r>
    </w:p>
    <w:p w14:paraId="08F0172B" w14:textId="5EB76E7A" w:rsidR="00671550" w:rsidRDefault="00671550" w:rsidP="00C311EC">
      <w:pPr>
        <w:pStyle w:val="F9-Paragraph"/>
        <w:numPr>
          <w:ilvl w:val="0"/>
          <w:numId w:val="0"/>
        </w:numPr>
        <w:ind w:left="851"/>
        <w:sectPr w:rsidR="00671550" w:rsidSect="007E1540">
          <w:pgSz w:w="11906" w:h="16838" w:code="9"/>
          <w:pgMar w:top="1440" w:right="1440" w:bottom="1440" w:left="1440" w:header="397" w:footer="397" w:gutter="0"/>
          <w:cols w:space="312"/>
          <w:docGrid w:linePitch="360"/>
        </w:sectPr>
      </w:pPr>
    </w:p>
    <w:bookmarkStart w:id="10" w:name="_Toc146287635" w:displacedByCustomXml="next"/>
    <w:sdt>
      <w:sdtPr>
        <w:rPr>
          <w:color w:val="auto"/>
          <w:sz w:val="24"/>
        </w:rPr>
        <w:id w:val="-284124854"/>
        <w:docPartObj>
          <w:docPartGallery w:val="Bibliographies"/>
          <w:docPartUnique/>
        </w:docPartObj>
      </w:sdtPr>
      <w:sdtContent>
        <w:p w14:paraId="04BBBDD0" w14:textId="55494929" w:rsidR="00F7687C" w:rsidRDefault="00F7687C" w:rsidP="00904152">
          <w:pPr>
            <w:pStyle w:val="Heading1"/>
          </w:pPr>
          <w:r>
            <w:t>References</w:t>
          </w:r>
          <w:bookmarkEnd w:id="10"/>
        </w:p>
        <w:sdt>
          <w:sdtPr>
            <w:id w:val="700524479"/>
            <w:bibliography/>
          </w:sdtPr>
          <w:sdtContent>
            <w:p w14:paraId="0F55590C" w14:textId="77777777" w:rsidR="005B2054" w:rsidRDefault="00F7687C" w:rsidP="00F7687C">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3" w:type="pct"/>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56"/>
                <w:gridCol w:w="8175"/>
              </w:tblGrid>
              <w:tr w:rsidR="005B2054" w14:paraId="7A0D1AD1" w14:textId="77777777" w:rsidTr="00FE072C">
                <w:trPr>
                  <w:divId w:val="349333021"/>
                </w:trPr>
                <w:tc>
                  <w:tcPr>
                    <w:tcW w:w="474" w:type="pct"/>
                    <w:hideMark/>
                  </w:tcPr>
                  <w:p w14:paraId="06E328FE" w14:textId="57FC910C" w:rsidR="005B2054" w:rsidRDefault="005B2054" w:rsidP="00FE072C">
                    <w:pPr>
                      <w:pStyle w:val="Bibliography"/>
                      <w:spacing w:before="60" w:after="60" w:line="240" w:lineRule="auto"/>
                      <w:rPr>
                        <w:noProof/>
                        <w:szCs w:val="24"/>
                      </w:rPr>
                    </w:pPr>
                    <w:r>
                      <w:rPr>
                        <w:noProof/>
                      </w:rPr>
                      <w:t xml:space="preserve">[1] </w:t>
                    </w:r>
                  </w:p>
                </w:tc>
                <w:tc>
                  <w:tcPr>
                    <w:tcW w:w="4526" w:type="pct"/>
                    <w:hideMark/>
                  </w:tcPr>
                  <w:p w14:paraId="53A84933" w14:textId="77777777" w:rsidR="005B2054" w:rsidRDefault="005B2054" w:rsidP="00FE072C">
                    <w:pPr>
                      <w:pStyle w:val="Bibliography"/>
                      <w:spacing w:before="60" w:after="60" w:line="240" w:lineRule="auto"/>
                      <w:rPr>
                        <w:noProof/>
                      </w:rPr>
                    </w:pPr>
                    <w:r>
                      <w:rPr>
                        <w:noProof/>
                      </w:rPr>
                      <w:t>ONR, “Safety Assessment Principles (SAPs) for Nuclear Facilities - 2014 Edition (Revision 1),” January 2020. [Online]. Available: https://www.onr.org.uk/saps/saps2014.pdf.</w:t>
                    </w:r>
                  </w:p>
                </w:tc>
              </w:tr>
              <w:tr w:rsidR="005B2054" w14:paraId="19DAABC6" w14:textId="77777777" w:rsidTr="00FE072C">
                <w:trPr>
                  <w:divId w:val="349333021"/>
                </w:trPr>
                <w:tc>
                  <w:tcPr>
                    <w:tcW w:w="474" w:type="pct"/>
                    <w:hideMark/>
                  </w:tcPr>
                  <w:p w14:paraId="63CAB657" w14:textId="77777777" w:rsidR="005B2054" w:rsidRDefault="005B2054" w:rsidP="00FE072C">
                    <w:pPr>
                      <w:pStyle w:val="Bibliography"/>
                      <w:spacing w:before="60" w:after="60" w:line="240" w:lineRule="auto"/>
                      <w:rPr>
                        <w:noProof/>
                      </w:rPr>
                    </w:pPr>
                    <w:r>
                      <w:rPr>
                        <w:noProof/>
                      </w:rPr>
                      <w:t xml:space="preserve">[2] </w:t>
                    </w:r>
                  </w:p>
                </w:tc>
                <w:tc>
                  <w:tcPr>
                    <w:tcW w:w="4526" w:type="pct"/>
                    <w:hideMark/>
                  </w:tcPr>
                  <w:p w14:paraId="72C20F87" w14:textId="77777777" w:rsidR="005B2054" w:rsidRDefault="005B2054" w:rsidP="00FE072C">
                    <w:pPr>
                      <w:pStyle w:val="Bibliography"/>
                      <w:spacing w:before="60" w:after="60" w:line="240" w:lineRule="auto"/>
                      <w:rPr>
                        <w:noProof/>
                      </w:rPr>
                    </w:pPr>
                    <w:r>
                      <w:rPr>
                        <w:noProof/>
                      </w:rPr>
                      <w:t xml:space="preserve">ONR, Risk Informed Regulatory Decision Making (under revision), 2024. </w:t>
                    </w:r>
                  </w:p>
                </w:tc>
              </w:tr>
              <w:tr w:rsidR="005B2054" w14:paraId="31375812" w14:textId="77777777" w:rsidTr="00FE072C">
                <w:trPr>
                  <w:divId w:val="349333021"/>
                </w:trPr>
                <w:tc>
                  <w:tcPr>
                    <w:tcW w:w="474" w:type="pct"/>
                    <w:hideMark/>
                  </w:tcPr>
                  <w:p w14:paraId="74FC9CF9" w14:textId="77777777" w:rsidR="005B2054" w:rsidRDefault="005B2054" w:rsidP="00FE072C">
                    <w:pPr>
                      <w:pStyle w:val="Bibliography"/>
                      <w:spacing w:before="60" w:after="60" w:line="240" w:lineRule="auto"/>
                      <w:rPr>
                        <w:noProof/>
                      </w:rPr>
                    </w:pPr>
                    <w:r>
                      <w:rPr>
                        <w:noProof/>
                      </w:rPr>
                      <w:t xml:space="preserve">[3] </w:t>
                    </w:r>
                  </w:p>
                </w:tc>
                <w:tc>
                  <w:tcPr>
                    <w:tcW w:w="4526" w:type="pct"/>
                    <w:hideMark/>
                  </w:tcPr>
                  <w:p w14:paraId="1A1EF8B1" w14:textId="77777777" w:rsidR="005B2054" w:rsidRDefault="005B2054" w:rsidP="00FE072C">
                    <w:pPr>
                      <w:pStyle w:val="Bibliography"/>
                      <w:spacing w:before="60" w:after="60" w:line="240" w:lineRule="auto"/>
                      <w:rPr>
                        <w:noProof/>
                      </w:rPr>
                    </w:pPr>
                    <w:r>
                      <w:rPr>
                        <w:noProof/>
                      </w:rPr>
                      <w:t>ONR, “Licensing Nuclear Installations,” 2021. [Online]. Available: https://www.onr.org.uk/licensing-nuclear-installations.pdf.</w:t>
                    </w:r>
                  </w:p>
                </w:tc>
              </w:tr>
              <w:tr w:rsidR="005B2054" w14:paraId="54349D85" w14:textId="77777777" w:rsidTr="00FE072C">
                <w:trPr>
                  <w:divId w:val="349333021"/>
                </w:trPr>
                <w:tc>
                  <w:tcPr>
                    <w:tcW w:w="474" w:type="pct"/>
                    <w:hideMark/>
                  </w:tcPr>
                  <w:p w14:paraId="333A861A" w14:textId="77777777" w:rsidR="005B2054" w:rsidRDefault="005B2054" w:rsidP="00FE072C">
                    <w:pPr>
                      <w:pStyle w:val="Bibliography"/>
                      <w:spacing w:before="60" w:after="60" w:line="240" w:lineRule="auto"/>
                      <w:rPr>
                        <w:noProof/>
                      </w:rPr>
                    </w:pPr>
                    <w:r>
                      <w:rPr>
                        <w:noProof/>
                      </w:rPr>
                      <w:t xml:space="preserve">[4] </w:t>
                    </w:r>
                  </w:p>
                </w:tc>
                <w:tc>
                  <w:tcPr>
                    <w:tcW w:w="4526" w:type="pct"/>
                    <w:hideMark/>
                  </w:tcPr>
                  <w:p w14:paraId="67376BEF" w14:textId="77777777" w:rsidR="005B2054" w:rsidRDefault="005B2054" w:rsidP="00FE072C">
                    <w:pPr>
                      <w:pStyle w:val="Bibliography"/>
                      <w:spacing w:before="60" w:after="60" w:line="240" w:lineRule="auto"/>
                      <w:rPr>
                        <w:noProof/>
                      </w:rPr>
                    </w:pPr>
                    <w:r>
                      <w:rPr>
                        <w:noProof/>
                      </w:rPr>
                      <w:t>Health and Safety Executive (HSE), “ALARP suite of guidance,” [Online]. Available: https://www.hse.gov.uk/managing/theory/index.htm.</w:t>
                    </w:r>
                  </w:p>
                </w:tc>
              </w:tr>
              <w:tr w:rsidR="005B2054" w14:paraId="5FDDC1A7" w14:textId="77777777" w:rsidTr="00FE072C">
                <w:trPr>
                  <w:divId w:val="349333021"/>
                </w:trPr>
                <w:tc>
                  <w:tcPr>
                    <w:tcW w:w="474" w:type="pct"/>
                    <w:hideMark/>
                  </w:tcPr>
                  <w:p w14:paraId="018BCE2A" w14:textId="77777777" w:rsidR="005B2054" w:rsidRDefault="005B2054" w:rsidP="00FE072C">
                    <w:pPr>
                      <w:pStyle w:val="Bibliography"/>
                      <w:spacing w:before="60" w:after="60" w:line="240" w:lineRule="auto"/>
                      <w:rPr>
                        <w:noProof/>
                      </w:rPr>
                    </w:pPr>
                    <w:r>
                      <w:rPr>
                        <w:noProof/>
                      </w:rPr>
                      <w:t xml:space="preserve">[5] </w:t>
                    </w:r>
                  </w:p>
                </w:tc>
                <w:tc>
                  <w:tcPr>
                    <w:tcW w:w="4526" w:type="pct"/>
                    <w:hideMark/>
                  </w:tcPr>
                  <w:p w14:paraId="6B70C260" w14:textId="77777777" w:rsidR="005B2054" w:rsidRDefault="005B2054" w:rsidP="00FE072C">
                    <w:pPr>
                      <w:pStyle w:val="Bibliography"/>
                      <w:spacing w:before="60" w:after="60" w:line="240" w:lineRule="auto"/>
                      <w:rPr>
                        <w:noProof/>
                      </w:rPr>
                    </w:pPr>
                    <w:r>
                      <w:rPr>
                        <w:noProof/>
                      </w:rPr>
                      <w:t>IAEA, “IAEA Safety Standards,” [Online]. Available: https://www.iaea.org/resources/safety-standards/search.</w:t>
                    </w:r>
                  </w:p>
                </w:tc>
              </w:tr>
              <w:tr w:rsidR="005B2054" w14:paraId="3F3D9FD5" w14:textId="77777777" w:rsidTr="00FE072C">
                <w:trPr>
                  <w:divId w:val="349333021"/>
                </w:trPr>
                <w:tc>
                  <w:tcPr>
                    <w:tcW w:w="474" w:type="pct"/>
                    <w:hideMark/>
                  </w:tcPr>
                  <w:p w14:paraId="595B14E2" w14:textId="77777777" w:rsidR="005B2054" w:rsidRDefault="005B2054" w:rsidP="00FE072C">
                    <w:pPr>
                      <w:pStyle w:val="Bibliography"/>
                      <w:spacing w:before="60" w:after="60" w:line="240" w:lineRule="auto"/>
                      <w:rPr>
                        <w:noProof/>
                      </w:rPr>
                    </w:pPr>
                    <w:r>
                      <w:rPr>
                        <w:noProof/>
                      </w:rPr>
                      <w:t xml:space="preserve">[6] </w:t>
                    </w:r>
                  </w:p>
                </w:tc>
                <w:tc>
                  <w:tcPr>
                    <w:tcW w:w="4526" w:type="pct"/>
                    <w:hideMark/>
                  </w:tcPr>
                  <w:p w14:paraId="163D0D8D" w14:textId="77777777" w:rsidR="005B2054" w:rsidRDefault="005B2054" w:rsidP="00FE072C">
                    <w:pPr>
                      <w:pStyle w:val="Bibliography"/>
                      <w:spacing w:before="60" w:after="60" w:line="240" w:lineRule="auto"/>
                      <w:rPr>
                        <w:noProof/>
                      </w:rPr>
                    </w:pPr>
                    <w:r>
                      <w:rPr>
                        <w:noProof/>
                      </w:rPr>
                      <w:t>WENRA, “Safety Reference Levels (SRLs) for existing reactors,” 2020. [Online]. Available: https://www.wenra.eu/sites/default/files/publications/wenra_safety_reference_level_for_existing_reactors_2020.pdf.</w:t>
                    </w:r>
                  </w:p>
                </w:tc>
              </w:tr>
              <w:tr w:rsidR="005B2054" w14:paraId="75C1A92A" w14:textId="77777777" w:rsidTr="00FE072C">
                <w:trPr>
                  <w:divId w:val="349333021"/>
                </w:trPr>
                <w:tc>
                  <w:tcPr>
                    <w:tcW w:w="474" w:type="pct"/>
                    <w:hideMark/>
                  </w:tcPr>
                  <w:p w14:paraId="3A297E67" w14:textId="77777777" w:rsidR="005B2054" w:rsidRDefault="005B2054" w:rsidP="00FE072C">
                    <w:pPr>
                      <w:pStyle w:val="Bibliography"/>
                      <w:spacing w:before="60" w:after="60" w:line="240" w:lineRule="auto"/>
                      <w:rPr>
                        <w:noProof/>
                      </w:rPr>
                    </w:pPr>
                    <w:r>
                      <w:rPr>
                        <w:noProof/>
                      </w:rPr>
                      <w:t xml:space="preserve">[7] </w:t>
                    </w:r>
                  </w:p>
                </w:tc>
                <w:tc>
                  <w:tcPr>
                    <w:tcW w:w="4526" w:type="pct"/>
                    <w:hideMark/>
                  </w:tcPr>
                  <w:p w14:paraId="64E30EF5" w14:textId="77777777" w:rsidR="005B2054" w:rsidRDefault="005B2054" w:rsidP="00FE072C">
                    <w:pPr>
                      <w:pStyle w:val="Bibliography"/>
                      <w:spacing w:before="60" w:after="60" w:line="240" w:lineRule="auto"/>
                      <w:rPr>
                        <w:noProof/>
                      </w:rPr>
                    </w:pPr>
                    <w:r>
                      <w:rPr>
                        <w:noProof/>
                      </w:rPr>
                      <w:t>WENRA, “Safety Reference Levels (SRLs) for waste and spent fuel storage,” 2014. [Online]. Available: https://www.wenra.eu/sites/default/files/publications/wgwd_storage_report_final.pdf.</w:t>
                    </w:r>
                  </w:p>
                </w:tc>
              </w:tr>
              <w:tr w:rsidR="005B2054" w14:paraId="7796D3F9" w14:textId="77777777" w:rsidTr="00FE072C">
                <w:trPr>
                  <w:divId w:val="349333021"/>
                </w:trPr>
                <w:tc>
                  <w:tcPr>
                    <w:tcW w:w="474" w:type="pct"/>
                    <w:hideMark/>
                  </w:tcPr>
                  <w:p w14:paraId="21839A22" w14:textId="77777777" w:rsidR="005B2054" w:rsidRDefault="005B2054" w:rsidP="00FE072C">
                    <w:pPr>
                      <w:pStyle w:val="Bibliography"/>
                      <w:spacing w:before="60" w:after="60" w:line="240" w:lineRule="auto"/>
                      <w:rPr>
                        <w:noProof/>
                      </w:rPr>
                    </w:pPr>
                    <w:r>
                      <w:rPr>
                        <w:noProof/>
                      </w:rPr>
                      <w:t xml:space="preserve">[8] </w:t>
                    </w:r>
                  </w:p>
                </w:tc>
                <w:tc>
                  <w:tcPr>
                    <w:tcW w:w="4526" w:type="pct"/>
                    <w:hideMark/>
                  </w:tcPr>
                  <w:p w14:paraId="50BCD727" w14:textId="77777777" w:rsidR="005B2054" w:rsidRDefault="005B2054" w:rsidP="00FE072C">
                    <w:pPr>
                      <w:pStyle w:val="Bibliography"/>
                      <w:spacing w:before="60" w:after="60" w:line="240" w:lineRule="auto"/>
                      <w:rPr>
                        <w:noProof/>
                      </w:rPr>
                    </w:pPr>
                    <w:r>
                      <w:rPr>
                        <w:noProof/>
                      </w:rPr>
                      <w:t>WENRA, “Safety Reference Levels (SRLs) for radioactive waste disposal facilities,” 2015. [Online]. Available: https://www.wenra.eu/sites/default/files/publications/srl_disposal_final_version_2014_12_22.pdf.</w:t>
                    </w:r>
                  </w:p>
                </w:tc>
              </w:tr>
              <w:tr w:rsidR="005B2054" w14:paraId="3FAACF71" w14:textId="77777777" w:rsidTr="00FE072C">
                <w:trPr>
                  <w:divId w:val="349333021"/>
                </w:trPr>
                <w:tc>
                  <w:tcPr>
                    <w:tcW w:w="474" w:type="pct"/>
                    <w:hideMark/>
                  </w:tcPr>
                  <w:p w14:paraId="704EEB5E" w14:textId="77777777" w:rsidR="005B2054" w:rsidRDefault="005B2054" w:rsidP="00FE072C">
                    <w:pPr>
                      <w:pStyle w:val="Bibliography"/>
                      <w:spacing w:before="60" w:after="60" w:line="240" w:lineRule="auto"/>
                      <w:rPr>
                        <w:noProof/>
                      </w:rPr>
                    </w:pPr>
                    <w:r>
                      <w:rPr>
                        <w:noProof/>
                      </w:rPr>
                      <w:t xml:space="preserve">[9] </w:t>
                    </w:r>
                  </w:p>
                </w:tc>
                <w:tc>
                  <w:tcPr>
                    <w:tcW w:w="4526" w:type="pct"/>
                    <w:hideMark/>
                  </w:tcPr>
                  <w:p w14:paraId="1EA8755A" w14:textId="77777777" w:rsidR="005B2054" w:rsidRDefault="005B2054" w:rsidP="00FE072C">
                    <w:pPr>
                      <w:pStyle w:val="Bibliography"/>
                      <w:spacing w:before="60" w:after="60" w:line="240" w:lineRule="auto"/>
                      <w:rPr>
                        <w:noProof/>
                      </w:rPr>
                    </w:pPr>
                    <w:r>
                      <w:rPr>
                        <w:noProof/>
                      </w:rPr>
                      <w:t>WENRA, “Safety Reference Levels (SRLs) for decommissioning,” 2015. [Online]. Available: https://www.wenra.eu/sites/default/files/publications/wgwd_report_decommissioning_srls_v2_2.pdf.</w:t>
                    </w:r>
                  </w:p>
                </w:tc>
              </w:tr>
              <w:tr w:rsidR="005B2054" w14:paraId="3A9FA361" w14:textId="77777777" w:rsidTr="00FE072C">
                <w:trPr>
                  <w:divId w:val="349333021"/>
                </w:trPr>
                <w:tc>
                  <w:tcPr>
                    <w:tcW w:w="474" w:type="pct"/>
                    <w:hideMark/>
                  </w:tcPr>
                  <w:p w14:paraId="16E50269" w14:textId="77777777" w:rsidR="005B2054" w:rsidRDefault="005B2054" w:rsidP="00FE072C">
                    <w:pPr>
                      <w:pStyle w:val="Bibliography"/>
                      <w:spacing w:before="60" w:after="60" w:line="240" w:lineRule="auto"/>
                      <w:rPr>
                        <w:noProof/>
                      </w:rPr>
                    </w:pPr>
                    <w:r>
                      <w:rPr>
                        <w:noProof/>
                      </w:rPr>
                      <w:t xml:space="preserve">[10] </w:t>
                    </w:r>
                  </w:p>
                </w:tc>
                <w:tc>
                  <w:tcPr>
                    <w:tcW w:w="4526" w:type="pct"/>
                    <w:hideMark/>
                  </w:tcPr>
                  <w:p w14:paraId="6A9A403F" w14:textId="77777777" w:rsidR="005B2054" w:rsidRDefault="005B2054" w:rsidP="00FE072C">
                    <w:pPr>
                      <w:pStyle w:val="Bibliography"/>
                      <w:spacing w:before="60" w:after="60" w:line="240" w:lineRule="auto"/>
                      <w:rPr>
                        <w:noProof/>
                      </w:rPr>
                    </w:pPr>
                    <w:r>
                      <w:rPr>
                        <w:noProof/>
                      </w:rPr>
                      <w:t>WENRA, “Safety Reference Levels (SRLs) for radioactive waste treatment and conditioning,” 2018. [Online]. Available: https://www.wenra.eu/sites/default/files/publications/report_radioactive_waste_treatment_and_conditioning_safety_reference_levels.pdf.</w:t>
                    </w:r>
                  </w:p>
                </w:tc>
              </w:tr>
              <w:tr w:rsidR="005B2054" w14:paraId="6C0D53F1" w14:textId="77777777" w:rsidTr="00FE072C">
                <w:trPr>
                  <w:divId w:val="349333021"/>
                </w:trPr>
                <w:tc>
                  <w:tcPr>
                    <w:tcW w:w="474" w:type="pct"/>
                    <w:hideMark/>
                  </w:tcPr>
                  <w:p w14:paraId="194B88B2" w14:textId="77777777" w:rsidR="005B2054" w:rsidRDefault="005B2054" w:rsidP="00FE072C">
                    <w:pPr>
                      <w:pStyle w:val="Bibliography"/>
                      <w:spacing w:before="60" w:after="60" w:line="240" w:lineRule="auto"/>
                      <w:rPr>
                        <w:noProof/>
                      </w:rPr>
                    </w:pPr>
                    <w:r>
                      <w:rPr>
                        <w:noProof/>
                      </w:rPr>
                      <w:t xml:space="preserve">[11] </w:t>
                    </w:r>
                  </w:p>
                </w:tc>
                <w:tc>
                  <w:tcPr>
                    <w:tcW w:w="4526" w:type="pct"/>
                    <w:hideMark/>
                  </w:tcPr>
                  <w:p w14:paraId="01C7E0F2" w14:textId="77777777" w:rsidR="005B2054" w:rsidRDefault="005B2054" w:rsidP="00FE072C">
                    <w:pPr>
                      <w:pStyle w:val="Bibliography"/>
                      <w:spacing w:before="60" w:after="60" w:line="240" w:lineRule="auto"/>
                      <w:rPr>
                        <w:noProof/>
                      </w:rPr>
                    </w:pPr>
                    <w:r>
                      <w:rPr>
                        <w:noProof/>
                      </w:rPr>
                      <w:t>WENRA, “Safety Reference Levels (SRLs) for research reactors,” 2020. [Online]. Available: https://www.wenra.eu/sites/default/files/publications/wenra_safety_reference_levels_for_research_reactors__final__november_2020.pdf.</w:t>
                    </w:r>
                  </w:p>
                </w:tc>
              </w:tr>
              <w:tr w:rsidR="005B2054" w14:paraId="01E0FF66" w14:textId="77777777" w:rsidTr="00FE072C">
                <w:trPr>
                  <w:divId w:val="349333021"/>
                </w:trPr>
                <w:tc>
                  <w:tcPr>
                    <w:tcW w:w="474" w:type="pct"/>
                    <w:hideMark/>
                  </w:tcPr>
                  <w:p w14:paraId="565A2EF3" w14:textId="77777777" w:rsidR="005B2054" w:rsidRDefault="005B2054" w:rsidP="00FE072C">
                    <w:pPr>
                      <w:pStyle w:val="Bibliography"/>
                      <w:spacing w:before="60" w:after="60" w:line="240" w:lineRule="auto"/>
                      <w:rPr>
                        <w:noProof/>
                      </w:rPr>
                    </w:pPr>
                    <w:r>
                      <w:rPr>
                        <w:noProof/>
                      </w:rPr>
                      <w:lastRenderedPageBreak/>
                      <w:t xml:space="preserve">[12] </w:t>
                    </w:r>
                  </w:p>
                </w:tc>
                <w:tc>
                  <w:tcPr>
                    <w:tcW w:w="4526" w:type="pct"/>
                    <w:hideMark/>
                  </w:tcPr>
                  <w:p w14:paraId="5CC80E7F" w14:textId="77777777" w:rsidR="005B2054" w:rsidRDefault="005B2054" w:rsidP="00FE072C">
                    <w:pPr>
                      <w:pStyle w:val="Bibliography"/>
                      <w:spacing w:before="60" w:after="60" w:line="240" w:lineRule="auto"/>
                      <w:rPr>
                        <w:noProof/>
                      </w:rPr>
                    </w:pPr>
                    <w:r>
                      <w:rPr>
                        <w:noProof/>
                      </w:rPr>
                      <w:t>WENRA, “Safety Objectives for new nuclear power plants,” 2009. [Online]. Available: https://www.wenra.eu/sites/default/files/publications/rhwg_report_newnpp_dec2009.pdf.</w:t>
                    </w:r>
                  </w:p>
                </w:tc>
              </w:tr>
              <w:tr w:rsidR="005B2054" w14:paraId="02DE7E90" w14:textId="77777777" w:rsidTr="00FE072C">
                <w:trPr>
                  <w:divId w:val="349333021"/>
                </w:trPr>
                <w:tc>
                  <w:tcPr>
                    <w:tcW w:w="474" w:type="pct"/>
                    <w:hideMark/>
                  </w:tcPr>
                  <w:p w14:paraId="2FB296B1" w14:textId="77777777" w:rsidR="005B2054" w:rsidRDefault="005B2054" w:rsidP="00FE072C">
                    <w:pPr>
                      <w:pStyle w:val="Bibliography"/>
                      <w:spacing w:before="60" w:after="60" w:line="240" w:lineRule="auto"/>
                      <w:rPr>
                        <w:noProof/>
                      </w:rPr>
                    </w:pPr>
                    <w:r>
                      <w:rPr>
                        <w:noProof/>
                      </w:rPr>
                      <w:t xml:space="preserve">[13] </w:t>
                    </w:r>
                  </w:p>
                </w:tc>
                <w:tc>
                  <w:tcPr>
                    <w:tcW w:w="4526" w:type="pct"/>
                    <w:hideMark/>
                  </w:tcPr>
                  <w:p w14:paraId="714BC557" w14:textId="77777777" w:rsidR="005B2054" w:rsidRDefault="005B2054" w:rsidP="00FE072C">
                    <w:pPr>
                      <w:pStyle w:val="Bibliography"/>
                      <w:spacing w:before="60" w:after="60" w:line="240" w:lineRule="auto"/>
                      <w:rPr>
                        <w:noProof/>
                      </w:rPr>
                    </w:pPr>
                    <w:r>
                      <w:rPr>
                        <w:noProof/>
                      </w:rPr>
                      <w:t>ONR, “A guide to enabling regulation,” August 2020. [Online]. Available: https://www.onr.org.uk/documents/2020/a-guide-to-enabling-regulation-2020.pdf.</w:t>
                    </w:r>
                  </w:p>
                </w:tc>
              </w:tr>
              <w:tr w:rsidR="005B2054" w14:paraId="1B3FC7FD" w14:textId="77777777" w:rsidTr="00FE072C">
                <w:trPr>
                  <w:divId w:val="349333021"/>
                </w:trPr>
                <w:tc>
                  <w:tcPr>
                    <w:tcW w:w="474" w:type="pct"/>
                    <w:hideMark/>
                  </w:tcPr>
                  <w:p w14:paraId="2CAA19C7" w14:textId="77777777" w:rsidR="005B2054" w:rsidRDefault="005B2054" w:rsidP="00FE072C">
                    <w:pPr>
                      <w:pStyle w:val="Bibliography"/>
                      <w:spacing w:before="60" w:after="60" w:line="240" w:lineRule="auto"/>
                      <w:rPr>
                        <w:noProof/>
                      </w:rPr>
                    </w:pPr>
                    <w:r>
                      <w:rPr>
                        <w:noProof/>
                      </w:rPr>
                      <w:t xml:space="preserve">[14] </w:t>
                    </w:r>
                  </w:p>
                </w:tc>
                <w:tc>
                  <w:tcPr>
                    <w:tcW w:w="4526" w:type="pct"/>
                    <w:hideMark/>
                  </w:tcPr>
                  <w:p w14:paraId="14ABBB5E" w14:textId="77777777" w:rsidR="005B2054" w:rsidRDefault="005B2054" w:rsidP="00FE072C">
                    <w:pPr>
                      <w:pStyle w:val="Bibliography"/>
                      <w:spacing w:before="60" w:after="60" w:line="240" w:lineRule="auto"/>
                      <w:rPr>
                        <w:noProof/>
                      </w:rPr>
                    </w:pPr>
                    <w:r>
                      <w:rPr>
                        <w:noProof/>
                      </w:rPr>
                      <w:t>IAEA, “Fundamental Safety Principles: Safety Fundamentals No. SF-1,” 2006. [Online]. Available: http://www-pub.iaea.org/MTCD/publications/PDF/Pub1273_web.pdf.</w:t>
                    </w:r>
                  </w:p>
                </w:tc>
              </w:tr>
              <w:tr w:rsidR="005B2054" w14:paraId="76A51070" w14:textId="77777777" w:rsidTr="00FE072C">
                <w:trPr>
                  <w:divId w:val="349333021"/>
                </w:trPr>
                <w:tc>
                  <w:tcPr>
                    <w:tcW w:w="474" w:type="pct"/>
                    <w:hideMark/>
                  </w:tcPr>
                  <w:p w14:paraId="78E7E948" w14:textId="77777777" w:rsidR="005B2054" w:rsidRDefault="005B2054" w:rsidP="00FE072C">
                    <w:pPr>
                      <w:pStyle w:val="Bibliography"/>
                      <w:spacing w:before="60" w:after="60" w:line="240" w:lineRule="auto"/>
                      <w:rPr>
                        <w:noProof/>
                      </w:rPr>
                    </w:pPr>
                    <w:r>
                      <w:rPr>
                        <w:noProof/>
                      </w:rPr>
                      <w:t xml:space="preserve">[15] </w:t>
                    </w:r>
                  </w:p>
                </w:tc>
                <w:tc>
                  <w:tcPr>
                    <w:tcW w:w="4526" w:type="pct"/>
                    <w:hideMark/>
                  </w:tcPr>
                  <w:p w14:paraId="73ED6E15" w14:textId="77777777" w:rsidR="005B2054" w:rsidRDefault="005B2054" w:rsidP="00FE072C">
                    <w:pPr>
                      <w:pStyle w:val="Bibliography"/>
                      <w:spacing w:before="60" w:after="60" w:line="240" w:lineRule="auto"/>
                      <w:rPr>
                        <w:noProof/>
                      </w:rPr>
                    </w:pPr>
                    <w:r>
                      <w:rPr>
                        <w:noProof/>
                      </w:rPr>
                      <w:t>ONR and other agencies, “Memorandum of Understanding / General Agreements,” [Online]. Available: https://www.onr.org.uk/agency-agreements-mou.htm.</w:t>
                    </w:r>
                  </w:p>
                </w:tc>
              </w:tr>
              <w:tr w:rsidR="005B2054" w14:paraId="0AADD9B4" w14:textId="77777777" w:rsidTr="00FE072C">
                <w:trPr>
                  <w:divId w:val="349333021"/>
                </w:trPr>
                <w:tc>
                  <w:tcPr>
                    <w:tcW w:w="474" w:type="pct"/>
                    <w:hideMark/>
                  </w:tcPr>
                  <w:p w14:paraId="35749FC9" w14:textId="77777777" w:rsidR="005B2054" w:rsidRDefault="005B2054" w:rsidP="00FE072C">
                    <w:pPr>
                      <w:pStyle w:val="Bibliography"/>
                      <w:spacing w:before="60" w:after="60" w:line="240" w:lineRule="auto"/>
                      <w:rPr>
                        <w:noProof/>
                      </w:rPr>
                    </w:pPr>
                    <w:r>
                      <w:rPr>
                        <w:noProof/>
                      </w:rPr>
                      <w:t xml:space="preserve">[16] </w:t>
                    </w:r>
                  </w:p>
                </w:tc>
                <w:tc>
                  <w:tcPr>
                    <w:tcW w:w="4526" w:type="pct"/>
                    <w:hideMark/>
                  </w:tcPr>
                  <w:p w14:paraId="5622A8AD" w14:textId="77777777" w:rsidR="005B2054" w:rsidRDefault="005B2054" w:rsidP="00FE072C">
                    <w:pPr>
                      <w:pStyle w:val="Bibliography"/>
                      <w:spacing w:before="60" w:after="60" w:line="240" w:lineRule="auto"/>
                      <w:rPr>
                        <w:noProof/>
                      </w:rPr>
                    </w:pPr>
                    <w:r>
                      <w:rPr>
                        <w:noProof/>
                      </w:rPr>
                      <w:t>ONR, “Construction (Design and Management) Regulations, NS-INSP-GD-074 (Issue 2),” 2023. [Online]. Available: https://view.officeapps.live.com/op/view.aspx?src=https%3A%2F%2Fwww.onr.org.uk%2Foperational%2Ftech_insp_guides%2Fns-insp-gd-074.docx&amp;wdOrigin=BROWSELINK.</w:t>
                    </w:r>
                  </w:p>
                </w:tc>
              </w:tr>
              <w:tr w:rsidR="005B2054" w14:paraId="54EDD2D8" w14:textId="77777777" w:rsidTr="00FE072C">
                <w:trPr>
                  <w:divId w:val="349333021"/>
                </w:trPr>
                <w:tc>
                  <w:tcPr>
                    <w:tcW w:w="474" w:type="pct"/>
                    <w:hideMark/>
                  </w:tcPr>
                  <w:p w14:paraId="4A859499" w14:textId="77777777" w:rsidR="005B2054" w:rsidRDefault="005B2054" w:rsidP="00FE072C">
                    <w:pPr>
                      <w:pStyle w:val="Bibliography"/>
                      <w:spacing w:before="60" w:after="60" w:line="240" w:lineRule="auto"/>
                      <w:rPr>
                        <w:noProof/>
                      </w:rPr>
                    </w:pPr>
                    <w:r>
                      <w:rPr>
                        <w:noProof/>
                      </w:rPr>
                      <w:t xml:space="preserve">[17] </w:t>
                    </w:r>
                  </w:p>
                </w:tc>
                <w:tc>
                  <w:tcPr>
                    <w:tcW w:w="4526" w:type="pct"/>
                    <w:hideMark/>
                  </w:tcPr>
                  <w:p w14:paraId="01A292FE" w14:textId="77777777" w:rsidR="005B2054" w:rsidRDefault="005B2054" w:rsidP="00FE072C">
                    <w:pPr>
                      <w:pStyle w:val="Bibliography"/>
                      <w:spacing w:before="60" w:after="60" w:line="240" w:lineRule="auto"/>
                      <w:rPr>
                        <w:noProof/>
                      </w:rPr>
                    </w:pPr>
                    <w:r>
                      <w:rPr>
                        <w:noProof/>
                      </w:rPr>
                      <w:t>ONR, “Periodic Safety Reviews (PSR), NS-TAST-GD-050 (Issue 8.1),” 2022. [Online]. Available: https://view.officeapps.live.com/op/view.aspx?src=https%3A%2F%2Fwww.onr.org.uk%2Foperational%2Ftech_asst_guides%2Fns-tast-gd-050.docx&amp;wdOrigin=BROWSELINK.</w:t>
                    </w:r>
                  </w:p>
                </w:tc>
              </w:tr>
              <w:tr w:rsidR="005B2054" w14:paraId="3ECD5A5A" w14:textId="77777777" w:rsidTr="00FE072C">
                <w:trPr>
                  <w:divId w:val="349333021"/>
                </w:trPr>
                <w:tc>
                  <w:tcPr>
                    <w:tcW w:w="474" w:type="pct"/>
                    <w:hideMark/>
                  </w:tcPr>
                  <w:p w14:paraId="42BE87A1" w14:textId="77777777" w:rsidR="005B2054" w:rsidRDefault="005B2054" w:rsidP="00FE072C">
                    <w:pPr>
                      <w:pStyle w:val="Bibliography"/>
                      <w:spacing w:before="60" w:after="60" w:line="240" w:lineRule="auto"/>
                      <w:rPr>
                        <w:noProof/>
                      </w:rPr>
                    </w:pPr>
                    <w:r>
                      <w:rPr>
                        <w:noProof/>
                      </w:rPr>
                      <w:t xml:space="preserve">[18] </w:t>
                    </w:r>
                  </w:p>
                </w:tc>
                <w:tc>
                  <w:tcPr>
                    <w:tcW w:w="4526" w:type="pct"/>
                    <w:hideMark/>
                  </w:tcPr>
                  <w:p w14:paraId="226604A8" w14:textId="77777777" w:rsidR="005B2054" w:rsidRDefault="005B2054" w:rsidP="00FE072C">
                    <w:pPr>
                      <w:pStyle w:val="Bibliography"/>
                      <w:spacing w:before="60" w:after="60" w:line="240" w:lineRule="auto"/>
                      <w:rPr>
                        <w:noProof/>
                      </w:rPr>
                    </w:pPr>
                    <w:r>
                      <w:rPr>
                        <w:noProof/>
                      </w:rPr>
                      <w:t>ONR, “So Far As Is Reasonably Practicable (SFAIRP), ONR-GEN-GD-018, 2019/92014,” 2022.</w:t>
                    </w:r>
                  </w:p>
                </w:tc>
              </w:tr>
              <w:tr w:rsidR="005B2054" w14:paraId="3A9BE1F5" w14:textId="77777777" w:rsidTr="00FE072C">
                <w:trPr>
                  <w:divId w:val="349333021"/>
                </w:trPr>
                <w:tc>
                  <w:tcPr>
                    <w:tcW w:w="474" w:type="pct"/>
                    <w:hideMark/>
                  </w:tcPr>
                  <w:p w14:paraId="671006CF" w14:textId="77777777" w:rsidR="005B2054" w:rsidRDefault="005B2054" w:rsidP="00FE072C">
                    <w:pPr>
                      <w:pStyle w:val="Bibliography"/>
                      <w:spacing w:before="60" w:after="60" w:line="240" w:lineRule="auto"/>
                      <w:rPr>
                        <w:noProof/>
                      </w:rPr>
                    </w:pPr>
                    <w:r>
                      <w:rPr>
                        <w:noProof/>
                      </w:rPr>
                      <w:t xml:space="preserve">[19] </w:t>
                    </w:r>
                  </w:p>
                </w:tc>
                <w:tc>
                  <w:tcPr>
                    <w:tcW w:w="4526" w:type="pct"/>
                    <w:hideMark/>
                  </w:tcPr>
                  <w:p w14:paraId="6CE2246A" w14:textId="77777777" w:rsidR="005B2054" w:rsidRDefault="005B2054" w:rsidP="00FE072C">
                    <w:pPr>
                      <w:pStyle w:val="Bibliography"/>
                      <w:spacing w:before="60" w:after="60" w:line="240" w:lineRule="auto"/>
                      <w:rPr>
                        <w:noProof/>
                      </w:rPr>
                    </w:pPr>
                    <w:r>
                      <w:rPr>
                        <w:noProof/>
                      </w:rPr>
                      <w:t>Health and Safety Executive (HSE), “The Tolerability of Risk From Nuclear Power Stations,” 1992. [Online]. Available: https://www.onr.org.uk/documents/tolerability.pdf.</w:t>
                    </w:r>
                  </w:p>
                </w:tc>
              </w:tr>
              <w:tr w:rsidR="005B2054" w14:paraId="7EF348C4" w14:textId="77777777" w:rsidTr="00FE072C">
                <w:trPr>
                  <w:divId w:val="349333021"/>
                </w:trPr>
                <w:tc>
                  <w:tcPr>
                    <w:tcW w:w="474" w:type="pct"/>
                    <w:hideMark/>
                  </w:tcPr>
                  <w:p w14:paraId="093839C4" w14:textId="77777777" w:rsidR="005B2054" w:rsidRDefault="005B2054" w:rsidP="00FE072C">
                    <w:pPr>
                      <w:pStyle w:val="Bibliography"/>
                      <w:spacing w:before="60" w:after="60" w:line="240" w:lineRule="auto"/>
                      <w:rPr>
                        <w:noProof/>
                      </w:rPr>
                    </w:pPr>
                    <w:r>
                      <w:rPr>
                        <w:noProof/>
                      </w:rPr>
                      <w:t xml:space="preserve">[20] </w:t>
                    </w:r>
                  </w:p>
                </w:tc>
                <w:tc>
                  <w:tcPr>
                    <w:tcW w:w="4526" w:type="pct"/>
                    <w:hideMark/>
                  </w:tcPr>
                  <w:p w14:paraId="4D0CCBCD" w14:textId="77777777" w:rsidR="005B2054" w:rsidRDefault="005B2054" w:rsidP="00FE072C">
                    <w:pPr>
                      <w:pStyle w:val="Bibliography"/>
                      <w:spacing w:before="60" w:after="60" w:line="240" w:lineRule="auto"/>
                      <w:rPr>
                        <w:noProof/>
                      </w:rPr>
                    </w:pPr>
                    <w:r>
                      <w:rPr>
                        <w:noProof/>
                      </w:rPr>
                      <w:t>Health and Safety Executive (HSE), “Reduce Risk and Protecting People (R2P2),” 2001. [Online]. Available: https://www.hse.gov.uk/managing/theory/r2p2.pdf.</w:t>
                    </w:r>
                  </w:p>
                </w:tc>
              </w:tr>
              <w:tr w:rsidR="005B2054" w14:paraId="35689B0C" w14:textId="77777777" w:rsidTr="00FE072C">
                <w:trPr>
                  <w:divId w:val="349333021"/>
                </w:trPr>
                <w:tc>
                  <w:tcPr>
                    <w:tcW w:w="474" w:type="pct"/>
                    <w:hideMark/>
                  </w:tcPr>
                  <w:p w14:paraId="563B8A7A" w14:textId="77777777" w:rsidR="005B2054" w:rsidRDefault="005B2054" w:rsidP="00FE072C">
                    <w:pPr>
                      <w:pStyle w:val="Bibliography"/>
                      <w:spacing w:before="60" w:after="60" w:line="240" w:lineRule="auto"/>
                      <w:rPr>
                        <w:noProof/>
                      </w:rPr>
                    </w:pPr>
                    <w:r>
                      <w:rPr>
                        <w:noProof/>
                      </w:rPr>
                      <w:t xml:space="preserve">[21] </w:t>
                    </w:r>
                  </w:p>
                </w:tc>
                <w:tc>
                  <w:tcPr>
                    <w:tcW w:w="4526" w:type="pct"/>
                    <w:hideMark/>
                  </w:tcPr>
                  <w:p w14:paraId="453C4D27" w14:textId="77777777" w:rsidR="005B2054" w:rsidRDefault="005B2054" w:rsidP="00FE072C">
                    <w:pPr>
                      <w:pStyle w:val="Bibliography"/>
                      <w:spacing w:before="60" w:after="60" w:line="240" w:lineRule="auto"/>
                      <w:rPr>
                        <w:noProof/>
                      </w:rPr>
                    </w:pPr>
                    <w:r>
                      <w:rPr>
                        <w:noProof/>
                      </w:rPr>
                      <w:t>ONR, “Enforcement Policy Statement,” December 2020. [Online]. Available: https://www.onr.org.uk/documents/enforcement-policy-statement.pdf.</w:t>
                    </w:r>
                  </w:p>
                </w:tc>
              </w:tr>
              <w:tr w:rsidR="005B2054" w14:paraId="72F96772" w14:textId="77777777" w:rsidTr="00FE072C">
                <w:trPr>
                  <w:divId w:val="349333021"/>
                </w:trPr>
                <w:tc>
                  <w:tcPr>
                    <w:tcW w:w="474" w:type="pct"/>
                    <w:hideMark/>
                  </w:tcPr>
                  <w:p w14:paraId="0910F8F3" w14:textId="77777777" w:rsidR="005B2054" w:rsidRDefault="005B2054" w:rsidP="00FE072C">
                    <w:pPr>
                      <w:pStyle w:val="Bibliography"/>
                      <w:spacing w:before="60" w:after="60" w:line="240" w:lineRule="auto"/>
                      <w:rPr>
                        <w:noProof/>
                      </w:rPr>
                    </w:pPr>
                    <w:r>
                      <w:rPr>
                        <w:noProof/>
                      </w:rPr>
                      <w:t xml:space="preserve">[22] </w:t>
                    </w:r>
                  </w:p>
                </w:tc>
                <w:tc>
                  <w:tcPr>
                    <w:tcW w:w="4526" w:type="pct"/>
                    <w:hideMark/>
                  </w:tcPr>
                  <w:p w14:paraId="6B2B30BB" w14:textId="77777777" w:rsidR="005B2054" w:rsidRDefault="005B2054" w:rsidP="00FE072C">
                    <w:pPr>
                      <w:pStyle w:val="Bibliography"/>
                      <w:spacing w:before="60" w:after="60" w:line="240" w:lineRule="auto"/>
                      <w:rPr>
                        <w:noProof/>
                      </w:rPr>
                    </w:pPr>
                    <w:r>
                      <w:rPr>
                        <w:noProof/>
                      </w:rPr>
                      <w:t>ONR, “Asset Management, NS-TAST-GD-098 (Issue 2.1),” 2022. [Online]. Available: https://view.officeapps.live.com/op/view.aspx?src=https%3A%2F%2Fwww.onr.org.uk%2Foperational%2Ftech_asst_guides%2Fns-tast-gd-098.docx&amp;wdOrigin=BROWSELINK.</w:t>
                    </w:r>
                  </w:p>
                </w:tc>
              </w:tr>
              <w:tr w:rsidR="005B2054" w14:paraId="640CC44D" w14:textId="77777777" w:rsidTr="00FE072C">
                <w:trPr>
                  <w:divId w:val="349333021"/>
                </w:trPr>
                <w:tc>
                  <w:tcPr>
                    <w:tcW w:w="474" w:type="pct"/>
                    <w:hideMark/>
                  </w:tcPr>
                  <w:p w14:paraId="650287CF" w14:textId="77777777" w:rsidR="005B2054" w:rsidRDefault="005B2054" w:rsidP="00FE072C">
                    <w:pPr>
                      <w:pStyle w:val="Bibliography"/>
                      <w:spacing w:before="60" w:after="60" w:line="240" w:lineRule="auto"/>
                      <w:rPr>
                        <w:noProof/>
                      </w:rPr>
                    </w:pPr>
                    <w:r>
                      <w:rPr>
                        <w:noProof/>
                      </w:rPr>
                      <w:lastRenderedPageBreak/>
                      <w:t xml:space="preserve">[23] </w:t>
                    </w:r>
                  </w:p>
                </w:tc>
                <w:tc>
                  <w:tcPr>
                    <w:tcW w:w="4526" w:type="pct"/>
                    <w:hideMark/>
                  </w:tcPr>
                  <w:p w14:paraId="2D20F2BB" w14:textId="77777777" w:rsidR="005B2054" w:rsidRDefault="005B2054" w:rsidP="00FE072C">
                    <w:pPr>
                      <w:pStyle w:val="Bibliography"/>
                      <w:spacing w:before="60" w:after="60" w:line="240" w:lineRule="auto"/>
                      <w:rPr>
                        <w:noProof/>
                      </w:rPr>
                    </w:pPr>
                    <w:r>
                      <w:rPr>
                        <w:noProof/>
                      </w:rPr>
                      <w:t>ONR, “Decommissioning, NS-TAST-GD-026 (Issue 5.1),” 2022. [Online]. Available: https://view.officeapps.live.com/op/view.aspx?src=https%3A%2F%2Fwww.onr.org.uk%2Foperational%2Ftech_asst_guides%2Fns-tast-gd-026.docx&amp;wdOrigin=BROWSELINK.</w:t>
                    </w:r>
                  </w:p>
                </w:tc>
              </w:tr>
              <w:tr w:rsidR="005B2054" w14:paraId="6D7EFDAA" w14:textId="77777777" w:rsidTr="00FE072C">
                <w:trPr>
                  <w:divId w:val="349333021"/>
                </w:trPr>
                <w:tc>
                  <w:tcPr>
                    <w:tcW w:w="474" w:type="pct"/>
                    <w:hideMark/>
                  </w:tcPr>
                  <w:p w14:paraId="58D3AC0B" w14:textId="77777777" w:rsidR="005B2054" w:rsidRDefault="005B2054" w:rsidP="00FE072C">
                    <w:pPr>
                      <w:pStyle w:val="Bibliography"/>
                      <w:spacing w:before="60" w:after="60" w:line="240" w:lineRule="auto"/>
                      <w:rPr>
                        <w:noProof/>
                      </w:rPr>
                    </w:pPr>
                    <w:r>
                      <w:rPr>
                        <w:noProof/>
                      </w:rPr>
                      <w:t xml:space="preserve">[24] </w:t>
                    </w:r>
                  </w:p>
                </w:tc>
                <w:tc>
                  <w:tcPr>
                    <w:tcW w:w="4526" w:type="pct"/>
                    <w:hideMark/>
                  </w:tcPr>
                  <w:p w14:paraId="4B7BF551" w14:textId="77777777" w:rsidR="005B2054" w:rsidRDefault="005B2054" w:rsidP="00FE072C">
                    <w:pPr>
                      <w:pStyle w:val="Bibliography"/>
                      <w:spacing w:before="60" w:after="60" w:line="240" w:lineRule="auto"/>
                      <w:rPr>
                        <w:noProof/>
                      </w:rPr>
                    </w:pPr>
                    <w:r>
                      <w:rPr>
                        <w:noProof/>
                      </w:rPr>
                      <w:t>ONR, “Strategy for the Regulation of Replication on Sizewell C, 2023/11377,” 2023.</w:t>
                    </w:r>
                  </w:p>
                </w:tc>
              </w:tr>
            </w:tbl>
            <w:p w14:paraId="3BD64969" w14:textId="77777777" w:rsidR="005B2054" w:rsidRDefault="005B2054">
              <w:pPr>
                <w:divId w:val="349333021"/>
                <w:rPr>
                  <w:rFonts w:eastAsia="Times New Roman"/>
                  <w:noProof/>
                </w:rPr>
              </w:pPr>
            </w:p>
            <w:p w14:paraId="1DC90079" w14:textId="4952DBCF" w:rsidR="00F7687C" w:rsidRDefault="00F7687C" w:rsidP="00F7687C">
              <w:pPr>
                <w:sectPr w:rsidR="00F7687C" w:rsidSect="007E1540">
                  <w:pgSz w:w="11906" w:h="16838" w:code="9"/>
                  <w:pgMar w:top="1440" w:right="1440" w:bottom="1440" w:left="1440" w:header="397" w:footer="397" w:gutter="0"/>
                  <w:cols w:space="312"/>
                  <w:docGrid w:linePitch="360"/>
                </w:sectPr>
              </w:pPr>
              <w:r>
                <w:rPr>
                  <w:b/>
                  <w:bCs/>
                  <w:noProof/>
                </w:rPr>
                <w:fldChar w:fldCharType="end"/>
              </w:r>
            </w:p>
          </w:sdtContent>
        </w:sdt>
      </w:sdtContent>
    </w:sdt>
    <w:p w14:paraId="4323F5E0" w14:textId="5E23822E" w:rsidR="00F7687C" w:rsidRPr="003B4701" w:rsidRDefault="00F7687C" w:rsidP="007349E9">
      <w:pPr>
        <w:pStyle w:val="Heading1"/>
      </w:pPr>
      <w:bookmarkStart w:id="11" w:name="_Toc89268373"/>
      <w:bookmarkStart w:id="12" w:name="_Toc146287636"/>
      <w:r w:rsidRPr="003B4701">
        <w:lastRenderedPageBreak/>
        <w:t>Glossary and Abbreviations</w:t>
      </w:r>
      <w:bookmarkEnd w:id="11"/>
      <w:bookmarkEnd w:id="12"/>
    </w:p>
    <w:p w14:paraId="71EAF72D" w14:textId="77777777" w:rsidR="00C218DA" w:rsidRDefault="00C218DA" w:rsidP="00C218DA">
      <w:pPr>
        <w:tabs>
          <w:tab w:val="left" w:pos="1440"/>
        </w:tabs>
        <w:spacing w:line="240" w:lineRule="auto"/>
        <w:contextualSpacing/>
      </w:pPr>
      <w:r>
        <w:t>ACoP</w:t>
      </w:r>
      <w:r>
        <w:tab/>
        <w:t>Approved Code of Practice</w:t>
      </w:r>
    </w:p>
    <w:p w14:paraId="5E196F22" w14:textId="77777777" w:rsidR="00C218DA" w:rsidRDefault="00C218DA" w:rsidP="00C218DA">
      <w:pPr>
        <w:tabs>
          <w:tab w:val="left" w:pos="1440"/>
        </w:tabs>
        <w:spacing w:line="240" w:lineRule="auto"/>
        <w:contextualSpacing/>
      </w:pPr>
      <w:r>
        <w:t>ALARA</w:t>
      </w:r>
      <w:r>
        <w:tab/>
        <w:t>As low as reasonably achievable</w:t>
      </w:r>
    </w:p>
    <w:p w14:paraId="10C959E0" w14:textId="77777777" w:rsidR="00C218DA" w:rsidRDefault="00C218DA" w:rsidP="00C218DA">
      <w:pPr>
        <w:tabs>
          <w:tab w:val="left" w:pos="1440"/>
        </w:tabs>
        <w:spacing w:line="240" w:lineRule="auto"/>
        <w:contextualSpacing/>
      </w:pPr>
      <w:r w:rsidRPr="00DF6255">
        <w:t>ALARP</w:t>
      </w:r>
      <w:r w:rsidRPr="00DF6255">
        <w:tab/>
        <w:t>As low as reasonably practicable</w:t>
      </w:r>
    </w:p>
    <w:p w14:paraId="178996C8" w14:textId="466AAFF3" w:rsidR="00C218DA" w:rsidRPr="0009500B" w:rsidRDefault="00C218DA" w:rsidP="00C218DA">
      <w:pPr>
        <w:tabs>
          <w:tab w:val="left" w:pos="1440"/>
        </w:tabs>
        <w:spacing w:line="240" w:lineRule="auto"/>
        <w:contextualSpacing/>
      </w:pPr>
      <w:r>
        <w:t>BAT</w:t>
      </w:r>
      <w:r>
        <w:tab/>
      </w:r>
      <w:r w:rsidRPr="0009500B">
        <w:t>Best Available Technique</w:t>
      </w:r>
    </w:p>
    <w:p w14:paraId="49D35585" w14:textId="77777777" w:rsidR="00C218DA" w:rsidRDefault="00C218DA" w:rsidP="00C218DA">
      <w:pPr>
        <w:tabs>
          <w:tab w:val="left" w:pos="1440"/>
        </w:tabs>
        <w:spacing w:line="240" w:lineRule="auto"/>
        <w:contextualSpacing/>
      </w:pPr>
      <w:r w:rsidRPr="0009500B">
        <w:t>BSL</w:t>
      </w:r>
      <w:r w:rsidRPr="0009500B">
        <w:tab/>
        <w:t>Basic Safety Level</w:t>
      </w:r>
    </w:p>
    <w:p w14:paraId="125BAEAA" w14:textId="1F0279DF" w:rsidR="00B23818" w:rsidRPr="0009500B" w:rsidRDefault="00B23818" w:rsidP="00C218DA">
      <w:pPr>
        <w:tabs>
          <w:tab w:val="left" w:pos="1440"/>
        </w:tabs>
        <w:spacing w:line="240" w:lineRule="auto"/>
        <w:contextualSpacing/>
      </w:pPr>
      <w:r>
        <w:t>BSO</w:t>
      </w:r>
      <w:r>
        <w:tab/>
        <w:t>Basic Safety Objective</w:t>
      </w:r>
    </w:p>
    <w:p w14:paraId="781DB2D6" w14:textId="30B7A4B0" w:rsidR="00623E20" w:rsidRDefault="00623E20" w:rsidP="00C218DA">
      <w:pPr>
        <w:tabs>
          <w:tab w:val="left" w:pos="1440"/>
        </w:tabs>
        <w:spacing w:line="240" w:lineRule="auto"/>
        <w:contextualSpacing/>
      </w:pPr>
      <w:r>
        <w:t>BPM</w:t>
      </w:r>
      <w:r>
        <w:tab/>
        <w:t>B</w:t>
      </w:r>
      <w:r w:rsidRPr="001E1021">
        <w:t xml:space="preserve">est </w:t>
      </w:r>
      <w:r>
        <w:t>P</w:t>
      </w:r>
      <w:r w:rsidRPr="001E1021">
        <w:t xml:space="preserve">racticable </w:t>
      </w:r>
      <w:r>
        <w:t>M</w:t>
      </w:r>
      <w:r w:rsidRPr="001E1021">
        <w:t>eans</w:t>
      </w:r>
    </w:p>
    <w:p w14:paraId="656D79D7" w14:textId="7FABAD20" w:rsidR="00A008CC" w:rsidRDefault="00A008CC" w:rsidP="00C218DA">
      <w:pPr>
        <w:tabs>
          <w:tab w:val="left" w:pos="1440"/>
        </w:tabs>
        <w:spacing w:line="240" w:lineRule="auto"/>
        <w:contextualSpacing/>
      </w:pPr>
      <w:r>
        <w:t>CAA</w:t>
      </w:r>
      <w:r>
        <w:tab/>
        <w:t xml:space="preserve">Civil Aviation Authority </w:t>
      </w:r>
    </w:p>
    <w:p w14:paraId="27C87A3B" w14:textId="7799E184" w:rsidR="00F62F1C" w:rsidRDefault="00F62F1C" w:rsidP="00C218DA">
      <w:pPr>
        <w:tabs>
          <w:tab w:val="left" w:pos="1440"/>
        </w:tabs>
        <w:spacing w:line="240" w:lineRule="auto"/>
        <w:contextualSpacing/>
      </w:pPr>
      <w:r>
        <w:t>CAR</w:t>
      </w:r>
      <w:r>
        <w:tab/>
        <w:t>Control of Asbestos Regulations 2012</w:t>
      </w:r>
    </w:p>
    <w:p w14:paraId="35336834" w14:textId="77DB0129" w:rsidR="00C218DA" w:rsidRDefault="00C218DA" w:rsidP="00C218DA">
      <w:pPr>
        <w:tabs>
          <w:tab w:val="left" w:pos="1440"/>
        </w:tabs>
        <w:spacing w:line="240" w:lineRule="auto"/>
        <w:contextualSpacing/>
      </w:pPr>
      <w:r>
        <w:t>CBA</w:t>
      </w:r>
      <w:r>
        <w:tab/>
        <w:t>Cost Benefit Analysis</w:t>
      </w:r>
    </w:p>
    <w:p w14:paraId="5E81C9B3" w14:textId="04A572A5" w:rsidR="00E66C57" w:rsidRDefault="00E66C57" w:rsidP="00C218DA">
      <w:pPr>
        <w:tabs>
          <w:tab w:val="left" w:pos="1440"/>
        </w:tabs>
        <w:spacing w:line="240" w:lineRule="auto"/>
        <w:contextualSpacing/>
      </w:pPr>
      <w:r>
        <w:t>CDM</w:t>
      </w:r>
      <w:r w:rsidR="00D85D26">
        <w:t>15</w:t>
      </w:r>
      <w:r>
        <w:tab/>
        <w:t>The Construction (Design and Management) Regulations 2015</w:t>
      </w:r>
    </w:p>
    <w:p w14:paraId="420C81B1" w14:textId="7799B355" w:rsidR="002A0615" w:rsidRDefault="002A0615" w:rsidP="00C218DA">
      <w:pPr>
        <w:tabs>
          <w:tab w:val="left" w:pos="1440"/>
        </w:tabs>
        <w:spacing w:line="240" w:lineRule="auto"/>
        <w:contextualSpacing/>
      </w:pPr>
      <w:r>
        <w:t>COMAH</w:t>
      </w:r>
      <w:r>
        <w:tab/>
        <w:t>The Control of Major Accident Hazards Regulations 2015</w:t>
      </w:r>
    </w:p>
    <w:p w14:paraId="59BE3182" w14:textId="08DF7468" w:rsidR="002A0615" w:rsidRDefault="002A0615" w:rsidP="00C218DA">
      <w:pPr>
        <w:tabs>
          <w:tab w:val="left" w:pos="1440"/>
        </w:tabs>
        <w:spacing w:line="240" w:lineRule="auto"/>
        <w:contextualSpacing/>
      </w:pPr>
      <w:r>
        <w:t>COSHH</w:t>
      </w:r>
      <w:r>
        <w:tab/>
        <w:t xml:space="preserve">The Control of Substances Hazards to Health Regulations 2002 </w:t>
      </w:r>
    </w:p>
    <w:p w14:paraId="4ECD2DD5" w14:textId="56FF47C1" w:rsidR="002A0615" w:rsidRDefault="002A0615" w:rsidP="00C218DA">
      <w:pPr>
        <w:tabs>
          <w:tab w:val="left" w:pos="1440"/>
        </w:tabs>
        <w:spacing w:line="240" w:lineRule="auto"/>
        <w:contextualSpacing/>
      </w:pPr>
      <w:r>
        <w:t>DSEAR</w:t>
      </w:r>
      <w:r>
        <w:tab/>
        <w:t xml:space="preserve">The </w:t>
      </w:r>
      <w:r w:rsidR="00B3632A">
        <w:t>Dangerous Substances and Explosive Atmospheres Regulations 2002</w:t>
      </w:r>
      <w:r>
        <w:t xml:space="preserve"> </w:t>
      </w:r>
    </w:p>
    <w:p w14:paraId="794357D9" w14:textId="41A7865E" w:rsidR="00C218DA" w:rsidRDefault="00C218DA" w:rsidP="00C218DA">
      <w:pPr>
        <w:tabs>
          <w:tab w:val="left" w:pos="1440"/>
        </w:tabs>
        <w:spacing w:line="240" w:lineRule="auto"/>
        <w:contextualSpacing/>
      </w:pPr>
      <w:r>
        <w:t>F</w:t>
      </w:r>
      <w:r w:rsidR="00A23C0F">
        <w:t>(</w:t>
      </w:r>
      <w:r>
        <w:t>S</w:t>
      </w:r>
      <w:r w:rsidR="00A23C0F">
        <w:t>)</w:t>
      </w:r>
      <w:r>
        <w:t>A</w:t>
      </w:r>
      <w:r>
        <w:tab/>
      </w:r>
      <w:r w:rsidR="00EC4E3E">
        <w:t xml:space="preserve">The </w:t>
      </w:r>
      <w:r>
        <w:t>Fir</w:t>
      </w:r>
      <w:r w:rsidR="009172AE">
        <w:t>e</w:t>
      </w:r>
      <w:r>
        <w:t xml:space="preserve"> (Scotland) Act 2005</w:t>
      </w:r>
    </w:p>
    <w:p w14:paraId="762DFFE7" w14:textId="697DA1CF" w:rsidR="00D531E9" w:rsidRDefault="00D531E9" w:rsidP="00C218DA">
      <w:pPr>
        <w:tabs>
          <w:tab w:val="left" w:pos="1440"/>
        </w:tabs>
        <w:spacing w:line="240" w:lineRule="auto"/>
        <w:contextualSpacing/>
      </w:pPr>
      <w:r>
        <w:t>FSO</w:t>
      </w:r>
      <w:r>
        <w:tab/>
      </w:r>
      <w:r w:rsidR="00EC4E3E">
        <w:t xml:space="preserve">The </w:t>
      </w:r>
      <w:r>
        <w:t>Regulatory Reform (Fire Safety) Order 2005</w:t>
      </w:r>
    </w:p>
    <w:p w14:paraId="3B7AEED9" w14:textId="5C439C0B" w:rsidR="00BF682F" w:rsidRDefault="00BF682F" w:rsidP="00C218DA">
      <w:pPr>
        <w:tabs>
          <w:tab w:val="left" w:pos="1440"/>
        </w:tabs>
        <w:spacing w:line="240" w:lineRule="auto"/>
        <w:contextualSpacing/>
      </w:pPr>
      <w:r>
        <w:t>GB</w:t>
      </w:r>
      <w:r>
        <w:tab/>
        <w:t>Great Britain</w:t>
      </w:r>
    </w:p>
    <w:p w14:paraId="10DA7D54" w14:textId="734F1238" w:rsidR="00C218DA" w:rsidRDefault="00C218DA" w:rsidP="00C218DA">
      <w:pPr>
        <w:tabs>
          <w:tab w:val="left" w:pos="1440"/>
        </w:tabs>
        <w:spacing w:line="240" w:lineRule="auto"/>
        <w:contextualSpacing/>
      </w:pPr>
      <w:r>
        <w:t>GDA</w:t>
      </w:r>
      <w:r>
        <w:tab/>
        <w:t>Generic Design Assessment</w:t>
      </w:r>
    </w:p>
    <w:p w14:paraId="03EA8AF9" w14:textId="77777777" w:rsidR="00C218DA" w:rsidRDefault="00C218DA" w:rsidP="00C218DA">
      <w:pPr>
        <w:tabs>
          <w:tab w:val="left" w:pos="1440"/>
        </w:tabs>
        <w:spacing w:line="240" w:lineRule="auto"/>
        <w:contextualSpacing/>
      </w:pPr>
      <w:r>
        <w:t>HSE</w:t>
      </w:r>
      <w:r>
        <w:tab/>
        <w:t>The Health and Safety Executive</w:t>
      </w:r>
    </w:p>
    <w:p w14:paraId="57E2166C" w14:textId="77777777" w:rsidR="00C218DA" w:rsidRDefault="00C218DA" w:rsidP="00C218DA">
      <w:pPr>
        <w:tabs>
          <w:tab w:val="left" w:pos="1440"/>
        </w:tabs>
        <w:spacing w:line="240" w:lineRule="auto"/>
        <w:contextualSpacing/>
      </w:pPr>
      <w:r>
        <w:t>HSWA</w:t>
      </w:r>
      <w:r>
        <w:tab/>
        <w:t>The Health and Safety at Work etc. Act 1974</w:t>
      </w:r>
    </w:p>
    <w:p w14:paraId="17830E45" w14:textId="77777777" w:rsidR="00C218DA" w:rsidRDefault="00C218DA" w:rsidP="00C218DA">
      <w:pPr>
        <w:tabs>
          <w:tab w:val="left" w:pos="1440"/>
        </w:tabs>
        <w:spacing w:line="240" w:lineRule="auto"/>
        <w:contextualSpacing/>
      </w:pPr>
      <w:r w:rsidRPr="0003328B">
        <w:t>IAEA</w:t>
      </w:r>
      <w:r w:rsidRPr="0003328B">
        <w:tab/>
        <w:t>International Atomic Energy Agency</w:t>
      </w:r>
    </w:p>
    <w:p w14:paraId="69C8C281" w14:textId="0442DBB1" w:rsidR="002A0615" w:rsidRDefault="002A0615" w:rsidP="00C218DA">
      <w:pPr>
        <w:tabs>
          <w:tab w:val="left" w:pos="1440"/>
        </w:tabs>
        <w:spacing w:line="240" w:lineRule="auto"/>
        <w:contextualSpacing/>
      </w:pPr>
      <w:r>
        <w:t>IRR17</w:t>
      </w:r>
      <w:r>
        <w:tab/>
        <w:t>The Ionising Radiation Regulations 2017</w:t>
      </w:r>
    </w:p>
    <w:p w14:paraId="231E8C9D" w14:textId="5886D52B" w:rsidR="00C218DA" w:rsidRDefault="00C218DA" w:rsidP="00C27260">
      <w:pPr>
        <w:tabs>
          <w:tab w:val="left" w:pos="1440"/>
        </w:tabs>
        <w:spacing w:line="240" w:lineRule="auto"/>
        <w:contextualSpacing/>
      </w:pPr>
      <w:r>
        <w:t>LC</w:t>
      </w:r>
      <w:r>
        <w:tab/>
        <w:t>Licence Condition</w:t>
      </w:r>
    </w:p>
    <w:p w14:paraId="4C661825" w14:textId="6EEBCED1" w:rsidR="00944CD8" w:rsidRDefault="00944CD8" w:rsidP="00C27260">
      <w:pPr>
        <w:tabs>
          <w:tab w:val="left" w:pos="1440"/>
        </w:tabs>
        <w:spacing w:line="240" w:lineRule="auto"/>
        <w:contextualSpacing/>
      </w:pPr>
      <w:r>
        <w:t>MHSWR</w:t>
      </w:r>
      <w:r>
        <w:tab/>
        <w:t>The Management of Health and Safety at Work Regulations 1999</w:t>
      </w:r>
    </w:p>
    <w:p w14:paraId="660537ED" w14:textId="5DA79326" w:rsidR="00C218DA" w:rsidRDefault="00C218DA" w:rsidP="00C218DA">
      <w:pPr>
        <w:tabs>
          <w:tab w:val="left" w:pos="1440"/>
        </w:tabs>
        <w:spacing w:line="240" w:lineRule="auto"/>
        <w:contextualSpacing/>
      </w:pPr>
      <w:r>
        <w:t>NIA 1965</w:t>
      </w:r>
      <w:r>
        <w:tab/>
        <w:t xml:space="preserve">The Nuclear Installations Act 1965 </w:t>
      </w:r>
    </w:p>
    <w:p w14:paraId="2ADB6BF7" w14:textId="77777777" w:rsidR="00C218DA" w:rsidRDefault="00C218DA" w:rsidP="00C218DA">
      <w:pPr>
        <w:tabs>
          <w:tab w:val="left" w:pos="1440"/>
        </w:tabs>
        <w:spacing w:line="240" w:lineRule="auto"/>
        <w:contextualSpacing/>
      </w:pPr>
      <w:r>
        <w:t>ONR</w:t>
      </w:r>
      <w:r>
        <w:tab/>
        <w:t>Office for Nuclear Regulation</w:t>
      </w:r>
    </w:p>
    <w:p w14:paraId="2B4CC496" w14:textId="2FFDD33A" w:rsidR="00A008CC" w:rsidRDefault="00A008CC" w:rsidP="00C218DA">
      <w:pPr>
        <w:tabs>
          <w:tab w:val="left" w:pos="1440"/>
        </w:tabs>
        <w:spacing w:line="240" w:lineRule="auto"/>
        <w:contextualSpacing/>
      </w:pPr>
      <w:r>
        <w:t>ORR</w:t>
      </w:r>
      <w:r>
        <w:tab/>
        <w:t xml:space="preserve">Office of Rail and Road </w:t>
      </w:r>
    </w:p>
    <w:p w14:paraId="2D12FA72" w14:textId="54FDE526" w:rsidR="00C218DA" w:rsidRDefault="00C218DA" w:rsidP="00C218DA">
      <w:pPr>
        <w:tabs>
          <w:tab w:val="left" w:pos="1440"/>
        </w:tabs>
        <w:spacing w:line="240" w:lineRule="auto"/>
        <w:contextualSpacing/>
      </w:pPr>
      <w:r>
        <w:t>PSA</w:t>
      </w:r>
      <w:r>
        <w:tab/>
        <w:t>Probabilistic Safety Analysis</w:t>
      </w:r>
    </w:p>
    <w:p w14:paraId="4C1EC021" w14:textId="77777777" w:rsidR="00C218DA" w:rsidRPr="0003328B" w:rsidRDefault="00C218DA" w:rsidP="00C218DA">
      <w:pPr>
        <w:tabs>
          <w:tab w:val="left" w:pos="1440"/>
        </w:tabs>
        <w:spacing w:line="240" w:lineRule="auto"/>
        <w:contextualSpacing/>
      </w:pPr>
      <w:r>
        <w:t>PSR</w:t>
      </w:r>
      <w:r>
        <w:tab/>
        <w:t>Periodic Safety Review</w:t>
      </w:r>
    </w:p>
    <w:p w14:paraId="52BD8E39" w14:textId="77777777" w:rsidR="00C218DA" w:rsidRDefault="00C218DA" w:rsidP="00C218DA">
      <w:pPr>
        <w:tabs>
          <w:tab w:val="left" w:pos="1440"/>
        </w:tabs>
        <w:spacing w:line="240" w:lineRule="auto"/>
        <w:contextualSpacing/>
      </w:pPr>
      <w:r>
        <w:t>R2P2</w:t>
      </w:r>
      <w:r>
        <w:tab/>
        <w:t>Reducing Risk and Protecting People</w:t>
      </w:r>
    </w:p>
    <w:p w14:paraId="4D06118C" w14:textId="77777777" w:rsidR="00C218DA" w:rsidRDefault="00C218DA" w:rsidP="00C218DA">
      <w:pPr>
        <w:tabs>
          <w:tab w:val="left" w:pos="1440"/>
        </w:tabs>
        <w:spacing w:line="240" w:lineRule="auto"/>
        <w:contextualSpacing/>
      </w:pPr>
      <w:r>
        <w:t>RGP</w:t>
      </w:r>
      <w:r>
        <w:tab/>
        <w:t>Relevant Good Practice</w:t>
      </w:r>
    </w:p>
    <w:p w14:paraId="10560C1D" w14:textId="45E85F9E" w:rsidR="00A23C0F" w:rsidRDefault="00A23C0F" w:rsidP="00C218DA">
      <w:pPr>
        <w:tabs>
          <w:tab w:val="left" w:pos="1440"/>
        </w:tabs>
        <w:spacing w:line="240" w:lineRule="auto"/>
        <w:contextualSpacing/>
      </w:pPr>
      <w:r>
        <w:t>RR(FS)O</w:t>
      </w:r>
      <w:r>
        <w:tab/>
      </w:r>
      <w:r w:rsidR="00EF5395">
        <w:t xml:space="preserve">The </w:t>
      </w:r>
      <w:r>
        <w:t xml:space="preserve">Regulatory Reform (Fire Safety) Order 2005 </w:t>
      </w:r>
    </w:p>
    <w:p w14:paraId="22649D3B" w14:textId="3381A9A6" w:rsidR="00C218DA" w:rsidRDefault="00C218DA" w:rsidP="00C218DA">
      <w:pPr>
        <w:tabs>
          <w:tab w:val="left" w:pos="1440"/>
        </w:tabs>
        <w:spacing w:line="240" w:lineRule="auto"/>
        <w:contextualSpacing/>
      </w:pPr>
      <w:r w:rsidRPr="0003328B">
        <w:t>SAP</w:t>
      </w:r>
      <w:r w:rsidRPr="0003328B">
        <w:tab/>
        <w:t xml:space="preserve">Safety Assessment Principle(s) </w:t>
      </w:r>
    </w:p>
    <w:p w14:paraId="39ADF4E4" w14:textId="77777777" w:rsidR="00C218DA" w:rsidRDefault="00C218DA" w:rsidP="00C218DA">
      <w:pPr>
        <w:tabs>
          <w:tab w:val="left" w:pos="1440"/>
        </w:tabs>
        <w:spacing w:line="240" w:lineRule="auto"/>
        <w:contextualSpacing/>
      </w:pPr>
      <w:r>
        <w:t>SFAIRP</w:t>
      </w:r>
      <w:r>
        <w:tab/>
        <w:t>So far is reasonably practicable</w:t>
      </w:r>
    </w:p>
    <w:p w14:paraId="6198AF56" w14:textId="77777777" w:rsidR="00C218DA" w:rsidRDefault="00C218DA" w:rsidP="00C218DA">
      <w:pPr>
        <w:tabs>
          <w:tab w:val="left" w:pos="1440"/>
        </w:tabs>
        <w:spacing w:line="240" w:lineRule="auto"/>
        <w:contextualSpacing/>
      </w:pPr>
      <w:r>
        <w:t>SRL</w:t>
      </w:r>
      <w:r>
        <w:tab/>
        <w:t>WENRA’s Safety Reference Levels</w:t>
      </w:r>
    </w:p>
    <w:p w14:paraId="30470A68" w14:textId="77777777" w:rsidR="00C218DA" w:rsidRDefault="00C218DA" w:rsidP="00C218DA">
      <w:pPr>
        <w:tabs>
          <w:tab w:val="left" w:pos="1440"/>
        </w:tabs>
        <w:spacing w:line="240" w:lineRule="auto"/>
        <w:contextualSpacing/>
      </w:pPr>
      <w:r>
        <w:t>TEA</w:t>
      </w:r>
      <w:r>
        <w:tab/>
        <w:t>The Energy Act 2013</w:t>
      </w:r>
    </w:p>
    <w:p w14:paraId="7A9DAF24" w14:textId="644383E1" w:rsidR="00C218DA" w:rsidRDefault="00C218DA" w:rsidP="00503862">
      <w:pPr>
        <w:tabs>
          <w:tab w:val="left" w:pos="1440"/>
        </w:tabs>
        <w:spacing w:line="240" w:lineRule="auto"/>
        <w:ind w:left="1440" w:hanging="1440"/>
        <w:contextualSpacing/>
      </w:pPr>
      <w:r>
        <w:t>TOR</w:t>
      </w:r>
      <w:r>
        <w:tab/>
        <w:t>Tolerability of Risk</w:t>
      </w:r>
    </w:p>
    <w:p w14:paraId="56139C56" w14:textId="24681013" w:rsidR="00BF682F" w:rsidRDefault="00BF682F" w:rsidP="00C218DA">
      <w:pPr>
        <w:tabs>
          <w:tab w:val="left" w:pos="1440"/>
        </w:tabs>
        <w:spacing w:line="240" w:lineRule="auto"/>
        <w:contextualSpacing/>
      </w:pPr>
      <w:r>
        <w:t>UK</w:t>
      </w:r>
      <w:r>
        <w:tab/>
        <w:t>United Kingdom</w:t>
      </w:r>
    </w:p>
    <w:p w14:paraId="5C626E03" w14:textId="28C62F5C" w:rsidR="00C218DA" w:rsidRDefault="00C218DA" w:rsidP="00C218DA">
      <w:pPr>
        <w:tabs>
          <w:tab w:val="left" w:pos="1440"/>
        </w:tabs>
        <w:spacing w:line="240" w:lineRule="auto"/>
        <w:contextualSpacing/>
      </w:pPr>
      <w:r w:rsidRPr="0003328B">
        <w:t>WENRA</w:t>
      </w:r>
      <w:r w:rsidRPr="0003328B">
        <w:tab/>
        <w:t>Western European Nuclear Regulators’ Association</w:t>
      </w:r>
    </w:p>
    <w:p w14:paraId="3955FB11" w14:textId="77777777" w:rsidR="009C22B3" w:rsidRDefault="009C22B3" w:rsidP="00F7687C">
      <w:pPr>
        <w:tabs>
          <w:tab w:val="left" w:pos="1440"/>
        </w:tabs>
        <w:spacing w:line="240" w:lineRule="auto"/>
        <w:contextualSpacing/>
        <w:sectPr w:rsidR="009C22B3" w:rsidSect="007E1540">
          <w:pgSz w:w="11906" w:h="16838" w:code="9"/>
          <w:pgMar w:top="1440" w:right="1440" w:bottom="1440" w:left="1440" w:header="397" w:footer="397" w:gutter="0"/>
          <w:cols w:space="312"/>
          <w:docGrid w:linePitch="360"/>
        </w:sectPr>
      </w:pPr>
    </w:p>
    <w:p w14:paraId="04CCA155" w14:textId="78F64103" w:rsidR="009C22B3" w:rsidRDefault="009C22B3" w:rsidP="007349E9">
      <w:pPr>
        <w:pStyle w:val="Heading1"/>
      </w:pPr>
      <w:bookmarkStart w:id="13" w:name="_Toc146287637"/>
      <w:r w:rsidRPr="00AB6C95">
        <w:lastRenderedPageBreak/>
        <w:t>A</w:t>
      </w:r>
      <w:r w:rsidR="00A06206" w:rsidRPr="00AB6C95">
        <w:t>ppendix 1</w:t>
      </w:r>
      <w:r w:rsidR="007349E9" w:rsidRPr="00AB6C95">
        <w:t>:</w:t>
      </w:r>
      <w:r w:rsidR="00A06206" w:rsidRPr="00AB6C95">
        <w:t xml:space="preserve"> Cost Benefit Analysis</w:t>
      </w:r>
      <w:r w:rsidR="00F866DD">
        <w:t xml:space="preserve"> (CBA)</w:t>
      </w:r>
      <w:bookmarkEnd w:id="13"/>
    </w:p>
    <w:p w14:paraId="6378607F" w14:textId="6D50A636" w:rsidR="00FF1B65" w:rsidRDefault="00BF682F" w:rsidP="005B2054">
      <w:pPr>
        <w:pStyle w:val="F9-Paragraph"/>
        <w:numPr>
          <w:ilvl w:val="0"/>
          <w:numId w:val="45"/>
        </w:numPr>
        <w:ind w:left="851" w:hanging="851"/>
      </w:pPr>
      <w:r>
        <w:t>There may be circumstances</w:t>
      </w:r>
      <w:r w:rsidR="0029099D">
        <w:t xml:space="preserve"> where established good practice does not exist, or is out of date, or </w:t>
      </w:r>
      <w:r w:rsidR="00B36675">
        <w:t>w</w:t>
      </w:r>
      <w:r w:rsidR="00B36675" w:rsidRPr="00B36675">
        <w:t>here multiple hazards are present and the RGP for one hazard is not foreseen in the RGP for another</w:t>
      </w:r>
      <w:r>
        <w:t>. This</w:t>
      </w:r>
      <w:r w:rsidR="00C15123">
        <w:t xml:space="preserve"> may </w:t>
      </w:r>
      <w:r w:rsidR="00B36675" w:rsidRPr="00B36675">
        <w:t>introduce conflict</w:t>
      </w:r>
      <w:r w:rsidR="00C15123">
        <w:t>s between RGPs</w:t>
      </w:r>
      <w:r w:rsidR="00496DE7">
        <w:t>,</w:t>
      </w:r>
      <w:r w:rsidR="001A164A">
        <w:t xml:space="preserve"> </w:t>
      </w:r>
      <w:r>
        <w:t xml:space="preserve">and </w:t>
      </w:r>
      <w:r w:rsidR="00496DE7" w:rsidRPr="00496DE7">
        <w:t xml:space="preserve">the ALARP judgement is </w:t>
      </w:r>
      <w:r>
        <w:t>complex</w:t>
      </w:r>
      <w:r w:rsidR="00496DE7">
        <w:t xml:space="preserve">. </w:t>
      </w:r>
      <w:r w:rsidR="001A164A">
        <w:t xml:space="preserve">CBA aids the </w:t>
      </w:r>
      <w:r w:rsidR="003164A3">
        <w:t>decision-making</w:t>
      </w:r>
      <w:r w:rsidR="001A164A">
        <w:t xml:space="preserve"> process by </w:t>
      </w:r>
      <w:r w:rsidR="00457612">
        <w:t xml:space="preserve">giving </w:t>
      </w:r>
      <w:r w:rsidR="002D0772">
        <w:t xml:space="preserve">the cost (sacrifice) and benefit </w:t>
      </w:r>
      <w:r w:rsidR="00457612">
        <w:t>a common unit, usually monetary values</w:t>
      </w:r>
      <w:r w:rsidR="002D0772">
        <w:t xml:space="preserve">, </w:t>
      </w:r>
      <w:r w:rsidR="00061AF7">
        <w:t xml:space="preserve">so the </w:t>
      </w:r>
      <w:r w:rsidR="00BC17D3">
        <w:t xml:space="preserve">test of ‘gross </w:t>
      </w:r>
      <w:r w:rsidR="00FF1B65">
        <w:t>dis</w:t>
      </w:r>
      <w:r w:rsidR="00BC17D3">
        <w:t xml:space="preserve">proportion’ </w:t>
      </w:r>
      <w:r w:rsidR="00D74605">
        <w:t>(refer to</w:t>
      </w:r>
      <w:r w:rsidR="00FF1B65" w:rsidRPr="00B15678">
        <w:t xml:space="preserve"> Section 5.1.4) </w:t>
      </w:r>
      <w:r w:rsidR="000C75EB">
        <w:t>is</w:t>
      </w:r>
      <w:r w:rsidR="0081751D" w:rsidRPr="00B15678">
        <w:t xml:space="preserve"> easier</w:t>
      </w:r>
      <w:r w:rsidR="0081751D">
        <w:t xml:space="preserve"> to understand </w:t>
      </w:r>
      <w:r w:rsidR="000700C2">
        <w:t>for</w:t>
      </w:r>
      <w:r w:rsidR="0081751D">
        <w:t xml:space="preserve"> the decision makers.</w:t>
      </w:r>
      <w:r w:rsidR="00457612">
        <w:t xml:space="preserve"> </w:t>
      </w:r>
    </w:p>
    <w:p w14:paraId="1B95EB33" w14:textId="77777777" w:rsidR="006A68DA" w:rsidRDefault="00FF1B65" w:rsidP="002D6834">
      <w:pPr>
        <w:pStyle w:val="F9-Paragraph"/>
      </w:pPr>
      <w:r>
        <w:t>It is important to note that a</w:t>
      </w:r>
      <w:r w:rsidR="00B008D7" w:rsidRPr="007F4AE5">
        <w:t xml:space="preserve"> CBA </w:t>
      </w:r>
      <w:r w:rsidR="00D9056C">
        <w:t>on its own</w:t>
      </w:r>
      <w:r w:rsidR="006A68DA">
        <w:t>:</w:t>
      </w:r>
    </w:p>
    <w:p w14:paraId="24241599" w14:textId="14BBB1F0" w:rsidR="006A68DA" w:rsidRDefault="00D9056C" w:rsidP="00910830">
      <w:pPr>
        <w:pStyle w:val="Bulletlist1"/>
      </w:pPr>
      <w:r>
        <w:t>does not constitute an ALARP case</w:t>
      </w:r>
      <w:r w:rsidR="006A68DA">
        <w:t>,</w:t>
      </w:r>
      <w:r>
        <w:t xml:space="preserve"> </w:t>
      </w:r>
    </w:p>
    <w:p w14:paraId="1BA8371E" w14:textId="77777777" w:rsidR="006A68DA" w:rsidRDefault="00D9056C" w:rsidP="00910830">
      <w:pPr>
        <w:pStyle w:val="Bulletlist1"/>
      </w:pPr>
      <w:r>
        <w:t>cannot be used to argue against legal duties</w:t>
      </w:r>
      <w:r w:rsidR="006A68DA">
        <w:t xml:space="preserve">, </w:t>
      </w:r>
      <w:r w:rsidR="008C0B1D">
        <w:t xml:space="preserve">and </w:t>
      </w:r>
    </w:p>
    <w:p w14:paraId="3C2885CC" w14:textId="2102ED9C" w:rsidR="00910830" w:rsidRDefault="008C0B1D" w:rsidP="00910830">
      <w:pPr>
        <w:pStyle w:val="Bulletlist1"/>
      </w:pPr>
      <w:r>
        <w:t xml:space="preserve">cannot justify risks that are intolerable or </w:t>
      </w:r>
      <w:r w:rsidR="00C4052A">
        <w:t xml:space="preserve">caused by </w:t>
      </w:r>
      <w:r>
        <w:t>evidently poor engineering</w:t>
      </w:r>
      <w:r w:rsidR="001B7C88">
        <w:t xml:space="preserve">. </w:t>
      </w:r>
    </w:p>
    <w:p w14:paraId="1ADE2ED4" w14:textId="1BCAB8AE" w:rsidR="00BA4EF0" w:rsidRDefault="001B7C88" w:rsidP="002D6834">
      <w:pPr>
        <w:pStyle w:val="F9-Paragraph"/>
      </w:pPr>
      <w:r>
        <w:t>A CBA cannot be</w:t>
      </w:r>
      <w:r w:rsidR="005D1E84">
        <w:t xml:space="preserve"> used to argue against the implementation of RGP, unless the alternative measures are demonstrated unequivocally to be </w:t>
      </w:r>
      <w:r w:rsidR="00C4052A">
        <w:t>at</w:t>
      </w:r>
      <w:r w:rsidR="005D1E84">
        <w:t xml:space="preserve"> least as effective</w:t>
      </w:r>
      <w:r w:rsidR="00284B03">
        <w:t xml:space="preserve">. </w:t>
      </w:r>
    </w:p>
    <w:p w14:paraId="6F27008A" w14:textId="1DCD0A87" w:rsidR="00A5057F" w:rsidRPr="008A35D2" w:rsidRDefault="00A5057F" w:rsidP="00BA4EF0">
      <w:pPr>
        <w:pStyle w:val="F9-Paragraph"/>
      </w:pPr>
      <w:r w:rsidRPr="006F2B77">
        <w:t>One of the difficulties in making a robust quantitative argument is that many of the factors, both in determining the sacrifice and safety benefits, are subject to sizeable uncertainties. Hence</w:t>
      </w:r>
      <w:r w:rsidR="00E97A00">
        <w:t>,</w:t>
      </w:r>
      <w:r w:rsidRPr="006F2B77">
        <w:t xml:space="preserve"> in making a case, particularly where it uses quantitative methods, </w:t>
      </w:r>
      <w:r w:rsidR="00BF682F">
        <w:t xml:space="preserve">appropriate </w:t>
      </w:r>
      <w:r w:rsidRPr="006F2B77">
        <w:t xml:space="preserve">sensitivity </w:t>
      </w:r>
      <w:r w:rsidRPr="008A35D2">
        <w:t xml:space="preserve">studies to test the robustness of the arguments </w:t>
      </w:r>
      <w:r w:rsidR="00BF682F">
        <w:t>are usually required</w:t>
      </w:r>
      <w:r w:rsidRPr="008A35D2">
        <w:t xml:space="preserve">. ONR SAPs (ref. </w:t>
      </w:r>
      <w:sdt>
        <w:sdtPr>
          <w:id w:val="-1811927133"/>
          <w:citation/>
        </w:sdtPr>
        <w:sdtContent>
          <w:r w:rsidR="008A35D2" w:rsidRPr="008A35D2">
            <w:fldChar w:fldCharType="begin"/>
          </w:r>
          <w:r w:rsidR="00C67755">
            <w:instrText xml:space="preserve">CITATION Placeholder1 \l 2057 </w:instrText>
          </w:r>
          <w:r w:rsidR="008A35D2" w:rsidRPr="008A35D2">
            <w:fldChar w:fldCharType="separate"/>
          </w:r>
          <w:r w:rsidR="00C67755">
            <w:rPr>
              <w:noProof/>
            </w:rPr>
            <w:t>[1]</w:t>
          </w:r>
          <w:r w:rsidR="008A35D2" w:rsidRPr="008A35D2">
            <w:fldChar w:fldCharType="end"/>
          </w:r>
        </w:sdtContent>
      </w:sdt>
      <w:r w:rsidRPr="008A35D2">
        <w:t xml:space="preserve"> para 30) follow the same precautionary approach as outlined in </w:t>
      </w:r>
      <w:r w:rsidR="00127130">
        <w:t xml:space="preserve">HSE’s publication </w:t>
      </w:r>
      <w:r w:rsidR="008651A3">
        <w:t>“</w:t>
      </w:r>
      <w:r w:rsidR="00127130">
        <w:t>Reducing Risk</w:t>
      </w:r>
      <w:r w:rsidR="008651A3">
        <w:t xml:space="preserve"> and</w:t>
      </w:r>
      <w:r w:rsidR="00127130">
        <w:t xml:space="preserve"> Protecting People</w:t>
      </w:r>
      <w:r w:rsidR="008651A3">
        <w:t>”</w:t>
      </w:r>
      <w:r w:rsidR="00127130">
        <w:t xml:space="preserve"> (</w:t>
      </w:r>
      <w:r w:rsidRPr="008A35D2">
        <w:t>R2P2</w:t>
      </w:r>
      <w:r w:rsidR="00127130">
        <w:t>)</w:t>
      </w:r>
      <w:r w:rsidRPr="008A35D2">
        <w:t xml:space="preserve"> (ref. </w:t>
      </w:r>
      <w:sdt>
        <w:sdtPr>
          <w:id w:val="-1009442581"/>
          <w:citation/>
        </w:sdtPr>
        <w:sdtContent>
          <w:r w:rsidR="008A35D2" w:rsidRPr="008A35D2">
            <w:fldChar w:fldCharType="begin"/>
          </w:r>
          <w:r w:rsidR="008A35D2" w:rsidRPr="008A35D2">
            <w:instrText xml:space="preserve"> CITATION Hea01 \l 2057 </w:instrText>
          </w:r>
          <w:r w:rsidR="008A35D2" w:rsidRPr="008A35D2">
            <w:fldChar w:fldCharType="separate"/>
          </w:r>
          <w:r w:rsidR="00576AF6">
            <w:rPr>
              <w:noProof/>
            </w:rPr>
            <w:t>[22]</w:t>
          </w:r>
          <w:r w:rsidR="008A35D2" w:rsidRPr="008A35D2">
            <w:fldChar w:fldCharType="end"/>
          </w:r>
        </w:sdtContent>
      </w:sdt>
      <w:r w:rsidRPr="008A35D2">
        <w:t xml:space="preserve"> para 89-93 and </w:t>
      </w:r>
      <w:r w:rsidR="00B15678">
        <w:t>a</w:t>
      </w:r>
      <w:r w:rsidRPr="008A35D2">
        <w:t>ppendix 1) in the face of uncertainty, i.e. assume that precautions should be taken unless there is good evidence to suggest that the risk is insignificant.</w:t>
      </w:r>
    </w:p>
    <w:p w14:paraId="60885892" w14:textId="3CCD2B52" w:rsidR="005D7513" w:rsidRPr="008A35D2" w:rsidRDefault="001B7C88" w:rsidP="003F27E1">
      <w:pPr>
        <w:pStyle w:val="F9-Paragraph"/>
      </w:pPr>
      <w:r w:rsidRPr="008A35D2">
        <w:t xml:space="preserve">Due to the uncertainties and limitations of CBA, </w:t>
      </w:r>
      <w:r w:rsidR="00D856D0" w:rsidRPr="008A35D2">
        <w:t xml:space="preserve">ONR does not expect dutyholders to undertake a detailed CBA for </w:t>
      </w:r>
      <w:r w:rsidR="00BD1BDA">
        <w:t>the majority of</w:t>
      </w:r>
      <w:r w:rsidR="00D856D0" w:rsidRPr="008A35D2">
        <w:t xml:space="preserve"> ALARP</w:t>
      </w:r>
      <w:r w:rsidR="00124459">
        <w:t xml:space="preserve"> demonstrations</w:t>
      </w:r>
      <w:r w:rsidR="00747121" w:rsidRPr="008A35D2">
        <w:t xml:space="preserve">. </w:t>
      </w:r>
      <w:r w:rsidR="002D6834" w:rsidRPr="008A35D2">
        <w:t xml:space="preserve">In circumstances where </w:t>
      </w:r>
      <w:r w:rsidR="003F27E1" w:rsidRPr="008A35D2">
        <w:t xml:space="preserve">a </w:t>
      </w:r>
      <w:r w:rsidR="002D6834" w:rsidRPr="008A35D2">
        <w:t>CBA is used</w:t>
      </w:r>
      <w:r w:rsidR="00166F08">
        <w:t xml:space="preserve"> by </w:t>
      </w:r>
      <w:r w:rsidR="00D10824">
        <w:t>a</w:t>
      </w:r>
      <w:r w:rsidR="00166F08">
        <w:t xml:space="preserve"> dutyholder</w:t>
      </w:r>
      <w:r w:rsidR="002D6834" w:rsidRPr="008A35D2">
        <w:t>, t</w:t>
      </w:r>
      <w:r w:rsidR="007E0755" w:rsidRPr="008A35D2">
        <w:t xml:space="preserve">he degree of quantification </w:t>
      </w:r>
      <w:r w:rsidR="007D76D2" w:rsidRPr="008A35D2">
        <w:t xml:space="preserve">in CBA </w:t>
      </w:r>
      <w:r w:rsidR="007E0755" w:rsidRPr="008A35D2">
        <w:t xml:space="preserve">is case dependent, but </w:t>
      </w:r>
      <w:r w:rsidR="00B008D7" w:rsidRPr="008A35D2">
        <w:t xml:space="preserve">it </w:t>
      </w:r>
      <w:r w:rsidR="0056471E">
        <w:t>should</w:t>
      </w:r>
      <w:r w:rsidR="007E0755" w:rsidRPr="008A35D2">
        <w:t xml:space="preserve"> be sufficient to make the case fit</w:t>
      </w:r>
      <w:r w:rsidR="00B008D7" w:rsidRPr="008A35D2">
        <w:t>-</w:t>
      </w:r>
      <w:r w:rsidR="007E0755" w:rsidRPr="008A35D2">
        <w:t>for</w:t>
      </w:r>
      <w:r w:rsidR="00B008D7" w:rsidRPr="008A35D2">
        <w:t>-</w:t>
      </w:r>
      <w:r w:rsidR="007E0755" w:rsidRPr="008A35D2">
        <w:t>purpose</w:t>
      </w:r>
      <w:r w:rsidR="003F27E1" w:rsidRPr="008A35D2">
        <w:t xml:space="preserve">, </w:t>
      </w:r>
      <w:r w:rsidR="004825F3" w:rsidRPr="008A35D2">
        <w:t>i.e. more rigour is required where the risk is higher</w:t>
      </w:r>
      <w:r w:rsidR="002B4395">
        <w:t>,</w:t>
      </w:r>
      <w:r w:rsidR="004825F3" w:rsidRPr="008A35D2">
        <w:t xml:space="preserve"> or the consequences themselves are </w:t>
      </w:r>
      <w:r w:rsidR="00E33EBB">
        <w:t>severe</w:t>
      </w:r>
      <w:r w:rsidR="00867B43">
        <w:t>,</w:t>
      </w:r>
      <w:r w:rsidR="00500897" w:rsidRPr="008A35D2">
        <w:t xml:space="preserve"> such as resulting in multiple fatalities</w:t>
      </w:r>
      <w:r w:rsidRPr="008A35D2">
        <w:t xml:space="preserve">. </w:t>
      </w:r>
      <w:r w:rsidR="008C0B1D" w:rsidRPr="008A35D2">
        <w:t>T</w:t>
      </w:r>
      <w:r w:rsidR="003F27E1" w:rsidRPr="008A35D2">
        <w:t xml:space="preserve">here should </w:t>
      </w:r>
      <w:r w:rsidRPr="008A35D2">
        <w:t xml:space="preserve">also </w:t>
      </w:r>
      <w:r w:rsidR="003F27E1" w:rsidRPr="008A35D2">
        <w:t>be a process of systematic identification and assessment of benefits and detriments, supported by a suitable sensitivity analysis</w:t>
      </w:r>
      <w:r w:rsidR="006B0D8C" w:rsidRPr="008A35D2">
        <w:t>.</w:t>
      </w:r>
      <w:r w:rsidR="007C7296" w:rsidRPr="008A35D2">
        <w:t xml:space="preserve"> In such cases, </w:t>
      </w:r>
      <w:r w:rsidR="006B0D8C" w:rsidRPr="008A35D2">
        <w:t>ONR will follow the published HSE guidance on CBA</w:t>
      </w:r>
      <w:r w:rsidR="00F9098A" w:rsidRPr="008A35D2">
        <w:t xml:space="preserve"> (ref. </w:t>
      </w:r>
      <w:sdt>
        <w:sdtPr>
          <w:id w:val="2080167307"/>
          <w:citation/>
        </w:sdtPr>
        <w:sdtContent>
          <w:r w:rsidR="00AF6EA3" w:rsidRPr="008A35D2">
            <w:fldChar w:fldCharType="begin"/>
          </w:r>
          <w:r w:rsidR="00AF6EA3" w:rsidRPr="008A35D2">
            <w:instrText xml:space="preserve"> CITATION Hea \l 2057 </w:instrText>
          </w:r>
          <w:r w:rsidR="00AF6EA3" w:rsidRPr="008A35D2">
            <w:fldChar w:fldCharType="separate"/>
          </w:r>
          <w:r w:rsidR="00576AF6">
            <w:rPr>
              <w:noProof/>
            </w:rPr>
            <w:t>[5]</w:t>
          </w:r>
          <w:r w:rsidR="00AF6EA3" w:rsidRPr="008A35D2">
            <w:fldChar w:fldCharType="end"/>
          </w:r>
        </w:sdtContent>
      </w:sdt>
      <w:r w:rsidR="00F9098A" w:rsidRPr="008A35D2">
        <w:t>) in support of making ALARP judgements</w:t>
      </w:r>
      <w:r w:rsidR="00677979" w:rsidRPr="008A35D2">
        <w:t xml:space="preserve"> on a case-by-case basis</w:t>
      </w:r>
      <w:r w:rsidR="00F9098A" w:rsidRPr="008A35D2">
        <w:t xml:space="preserve">. </w:t>
      </w:r>
    </w:p>
    <w:p w14:paraId="20184239" w14:textId="77777777" w:rsidR="003F4538" w:rsidRDefault="003F4538" w:rsidP="003F4538">
      <w:pPr>
        <w:pStyle w:val="Heading1"/>
        <w:sectPr w:rsidR="003F4538" w:rsidSect="007E1540">
          <w:pgSz w:w="11906" w:h="16838" w:code="9"/>
          <w:pgMar w:top="1440" w:right="1440" w:bottom="1440" w:left="1440" w:header="397" w:footer="397" w:gutter="0"/>
          <w:cols w:space="312"/>
          <w:docGrid w:linePitch="360"/>
        </w:sectPr>
      </w:pPr>
    </w:p>
    <w:p w14:paraId="38B11E2B" w14:textId="13989E3E" w:rsidR="003A62E4" w:rsidRDefault="003F4538" w:rsidP="003F4538">
      <w:pPr>
        <w:pStyle w:val="Heading1"/>
      </w:pPr>
      <w:bookmarkStart w:id="14" w:name="_Toc146287638"/>
      <w:r>
        <w:lastRenderedPageBreak/>
        <w:t>Appendix 2: Time at risk situation</w:t>
      </w:r>
      <w:r w:rsidR="0042230A">
        <w:t xml:space="preserve"> </w:t>
      </w:r>
      <w:r w:rsidR="00964513">
        <w:t xml:space="preserve">specific </w:t>
      </w:r>
      <w:r w:rsidR="0042230A">
        <w:t>considerations</w:t>
      </w:r>
      <w:bookmarkEnd w:id="14"/>
    </w:p>
    <w:p w14:paraId="6B98DC37" w14:textId="65BC3153" w:rsidR="003F4538" w:rsidRDefault="003F4538" w:rsidP="005B2054">
      <w:pPr>
        <w:pStyle w:val="F9-Paragraph"/>
        <w:numPr>
          <w:ilvl w:val="0"/>
          <w:numId w:val="46"/>
        </w:numPr>
        <w:ind w:left="851" w:hanging="851"/>
      </w:pPr>
      <w:r>
        <w:t>There are three</w:t>
      </w:r>
      <w:r w:rsidR="00F70B0D">
        <w:t xml:space="preserve"> main types of</w:t>
      </w:r>
      <w:r>
        <w:t xml:space="preserve"> situation</w:t>
      </w:r>
      <w:r w:rsidR="008F0B48">
        <w:t xml:space="preserve"> in which ONR </w:t>
      </w:r>
      <w:r w:rsidR="00FB7960">
        <w:t>may</w:t>
      </w:r>
      <w:r w:rsidR="008F0B48">
        <w:t xml:space="preserve"> consider the acceptability of increased risk for a short period for longer term benefit when making judgements</w:t>
      </w:r>
      <w:r w:rsidR="00BF682F">
        <w:t xml:space="preserve"> on whether risks are reduced to ALARP</w:t>
      </w:r>
      <w:r w:rsidR="008F0B48">
        <w:t xml:space="preserve"> </w:t>
      </w:r>
      <w:r w:rsidR="00D74605">
        <w:t>(refer to</w:t>
      </w:r>
      <w:r w:rsidR="001773B4">
        <w:t xml:space="preserve"> </w:t>
      </w:r>
      <w:r w:rsidR="00B15678">
        <w:t>Section 5.2.2</w:t>
      </w:r>
      <w:r w:rsidR="008F0B48" w:rsidRPr="00FC33B5">
        <w:t>)</w:t>
      </w:r>
      <w:r w:rsidR="00FE10A6" w:rsidRPr="00FC33B5">
        <w:t>:</w:t>
      </w:r>
      <w:r w:rsidR="00FE10A6">
        <w:t xml:space="preserve"> through</w:t>
      </w:r>
      <w:r w:rsidR="005D6A64">
        <w:t>-</w:t>
      </w:r>
      <w:r w:rsidR="00FE10A6">
        <w:t xml:space="preserve">life risk, residual facility life, and end of life </w:t>
      </w:r>
      <w:r w:rsidR="008F0B48">
        <w:t>legacy.</w:t>
      </w:r>
      <w:r w:rsidR="00FE10A6">
        <w:t xml:space="preserve"> </w:t>
      </w:r>
      <w:r w:rsidR="0019090E">
        <w:t xml:space="preserve">There are </w:t>
      </w:r>
      <w:r w:rsidR="008F0B48">
        <w:t>many</w:t>
      </w:r>
      <w:r w:rsidR="00325B23">
        <w:t xml:space="preserve"> reasons </w:t>
      </w:r>
      <w:r w:rsidR="00B56437">
        <w:t xml:space="preserve">that </w:t>
      </w:r>
      <w:r w:rsidR="00D90F67">
        <w:t xml:space="preserve">may </w:t>
      </w:r>
      <w:r w:rsidR="00B56437">
        <w:t>cause</w:t>
      </w:r>
      <w:r w:rsidR="00325B23">
        <w:t xml:space="preserve"> elevated short-term risk</w:t>
      </w:r>
      <w:r w:rsidR="00B56437">
        <w:t>s</w:t>
      </w:r>
      <w:r w:rsidR="00325B23">
        <w:t xml:space="preserve">, </w:t>
      </w:r>
      <w:r w:rsidR="0063790B">
        <w:t xml:space="preserve">as such, </w:t>
      </w:r>
      <w:r w:rsidR="00B56437">
        <w:t xml:space="preserve">ONR will </w:t>
      </w:r>
      <w:r w:rsidR="0063790B">
        <w:t>consider</w:t>
      </w:r>
      <w:r w:rsidR="00B56437">
        <w:t xml:space="preserve"> </w:t>
      </w:r>
      <w:r w:rsidR="0063790B">
        <w:t xml:space="preserve">each specific situation </w:t>
      </w:r>
      <w:r w:rsidR="008F0B48">
        <w:t>on</w:t>
      </w:r>
      <w:r w:rsidR="0063790B">
        <w:t xml:space="preserve"> a case-by-case basis.</w:t>
      </w:r>
    </w:p>
    <w:p w14:paraId="62450E75" w14:textId="0AE54550" w:rsidR="003F4538" w:rsidRDefault="003F4538" w:rsidP="00DF1CCF">
      <w:pPr>
        <w:pStyle w:val="Heading2"/>
        <w:ind w:left="851"/>
      </w:pPr>
      <w:r>
        <w:t>Through</w:t>
      </w:r>
      <w:r w:rsidR="005D6A64">
        <w:t>-l</w:t>
      </w:r>
      <w:r>
        <w:t>ife Risk</w:t>
      </w:r>
    </w:p>
    <w:p w14:paraId="0E488EAD" w14:textId="440251D9" w:rsidR="003F4538" w:rsidRDefault="004A13F2" w:rsidP="0055558D">
      <w:pPr>
        <w:pStyle w:val="F9-Paragraph"/>
      </w:pPr>
      <w:r>
        <w:t>This is the situation w</w:t>
      </w:r>
      <w:r w:rsidR="00F70B0D">
        <w:t xml:space="preserve">here a short-term </w:t>
      </w:r>
      <w:r w:rsidR="001134D2">
        <w:t>increase in</w:t>
      </w:r>
      <w:r w:rsidR="00F70B0D">
        <w:t xml:space="preserve"> risk </w:t>
      </w:r>
      <w:r w:rsidR="001134D2">
        <w:t xml:space="preserve">may be justified to enable </w:t>
      </w:r>
      <w:r w:rsidR="00017122">
        <w:t xml:space="preserve">the </w:t>
      </w:r>
      <w:r w:rsidR="00F70B0D">
        <w:t xml:space="preserve">continued normal operation of </w:t>
      </w:r>
      <w:r w:rsidR="00441C3B">
        <w:t>a</w:t>
      </w:r>
      <w:r w:rsidR="00F70B0D">
        <w:t xml:space="preserve"> facility. Examples include undertaking certain maintenance activities, temporary disconnection of safety measures to allow completion of essential tasks</w:t>
      </w:r>
      <w:r w:rsidR="001E6A0D">
        <w:t>,</w:t>
      </w:r>
      <w:r w:rsidR="00F70B0D">
        <w:t xml:space="preserve"> or other intermittent activities</w:t>
      </w:r>
      <w:r w:rsidR="000E5869">
        <w:t xml:space="preserve"> </w:t>
      </w:r>
      <w:r w:rsidR="00F70B0D">
        <w:t xml:space="preserve">that are required to sustain </w:t>
      </w:r>
      <w:r w:rsidR="000E5869">
        <w:t>safe operation of the facility</w:t>
      </w:r>
      <w:r w:rsidR="00CA7FB1">
        <w:t xml:space="preserve">, such as </w:t>
      </w:r>
      <w:r w:rsidR="00396B7A">
        <w:t>during</w:t>
      </w:r>
      <w:r w:rsidR="00CA7FB1">
        <w:t xml:space="preserve"> an emergency condition</w:t>
      </w:r>
      <w:r w:rsidR="00F70B0D">
        <w:t>.</w:t>
      </w:r>
    </w:p>
    <w:p w14:paraId="1096331B" w14:textId="4C2EA944" w:rsidR="003F4538" w:rsidRDefault="00C5442D" w:rsidP="003F4538">
      <w:pPr>
        <w:pStyle w:val="F9-Paragraph"/>
      </w:pPr>
      <w:r>
        <w:t xml:space="preserve">ONR </w:t>
      </w:r>
      <w:r w:rsidR="002D1E3B">
        <w:t>does not</w:t>
      </w:r>
      <w:r>
        <w:t xml:space="preserve"> accept cases based </w:t>
      </w:r>
      <w:r w:rsidR="00FE3FEF">
        <w:t>solely on the argument around t</w:t>
      </w:r>
      <w:r w:rsidR="003F4538">
        <w:t xml:space="preserve">he extent of </w:t>
      </w:r>
      <w:r w:rsidR="00D90C3D">
        <w:t xml:space="preserve">time, i.e. short-term, </w:t>
      </w:r>
      <w:r w:rsidR="003F4538">
        <w:t>for which the risk is increased</w:t>
      </w:r>
      <w:r w:rsidR="00307279">
        <w:t xml:space="preserve"> without considering appropriate RGP and </w:t>
      </w:r>
      <w:r w:rsidR="003F4538">
        <w:t xml:space="preserve">whether additional measures are necessary. </w:t>
      </w:r>
    </w:p>
    <w:p w14:paraId="6D334562" w14:textId="3709BF31" w:rsidR="003F4538" w:rsidRDefault="003F4538" w:rsidP="003F4538">
      <w:pPr>
        <w:pStyle w:val="F9-Paragraph"/>
      </w:pPr>
      <w:r>
        <w:t xml:space="preserve">During </w:t>
      </w:r>
      <w:r w:rsidR="00C86998">
        <w:t xml:space="preserve">those </w:t>
      </w:r>
      <w:r>
        <w:t xml:space="preserve">operations </w:t>
      </w:r>
      <w:r w:rsidR="00C86998">
        <w:t>that</w:t>
      </w:r>
      <w:r>
        <w:t xml:space="preserve"> impose a planned </w:t>
      </w:r>
      <w:r w:rsidR="007205CE">
        <w:t>and justifi</w:t>
      </w:r>
      <w:r w:rsidR="00697AE6">
        <w:t>ed</w:t>
      </w:r>
      <w:r w:rsidR="007205CE">
        <w:t xml:space="preserve"> increase in </w:t>
      </w:r>
      <w:r>
        <w:t xml:space="preserve">short-term risk, </w:t>
      </w:r>
      <w:r w:rsidR="00446C9F">
        <w:t xml:space="preserve">ONR expects </w:t>
      </w:r>
      <w:r w:rsidR="00EB1BF2">
        <w:t xml:space="preserve">the </w:t>
      </w:r>
      <w:r w:rsidR="00446C9F">
        <w:t xml:space="preserve">dutyholder to undertake </w:t>
      </w:r>
      <w:r>
        <w:t xml:space="preserve">additional monitoring of the actual plant state to ensure that the mode of operation and the time during which it persists meet the assumptions in the </w:t>
      </w:r>
      <w:r w:rsidR="00D90F67">
        <w:t>demonstration that risks are maintained at such level that is ALARP</w:t>
      </w:r>
      <w:r>
        <w:t>.</w:t>
      </w:r>
    </w:p>
    <w:p w14:paraId="62F9B1BE" w14:textId="1912E74E" w:rsidR="003F4538" w:rsidRPr="008A35D2" w:rsidRDefault="003F4538" w:rsidP="003F4538">
      <w:pPr>
        <w:pStyle w:val="F9-Paragraph"/>
      </w:pPr>
      <w:r w:rsidRPr="008A35D2">
        <w:t xml:space="preserve">Unexpected failures of plant and equipment may lead to an increase in </w:t>
      </w:r>
      <w:r w:rsidR="00A30710">
        <w:t xml:space="preserve">specific </w:t>
      </w:r>
      <w:r w:rsidRPr="008A35D2">
        <w:t>risk</w:t>
      </w:r>
      <w:r w:rsidR="00A30710">
        <w:t>s</w:t>
      </w:r>
      <w:r w:rsidRPr="008A35D2">
        <w:t xml:space="preserve"> that </w:t>
      </w:r>
      <w:r w:rsidR="00A30710">
        <w:t>are</w:t>
      </w:r>
      <w:r w:rsidRPr="008A35D2">
        <w:t xml:space="preserve"> </w:t>
      </w:r>
      <w:r w:rsidR="00D90F67">
        <w:t>elevated to a level such</w:t>
      </w:r>
      <w:r w:rsidRPr="008A35D2">
        <w:t xml:space="preserve"> that </w:t>
      </w:r>
      <w:r w:rsidR="00875EB9">
        <w:t>they</w:t>
      </w:r>
      <w:r w:rsidRPr="008A35D2">
        <w:t xml:space="preserve"> </w:t>
      </w:r>
      <w:r w:rsidR="00815677" w:rsidRPr="008A35D2">
        <w:t>are</w:t>
      </w:r>
      <w:r w:rsidRPr="008A35D2">
        <w:t xml:space="preserve"> judged </w:t>
      </w:r>
      <w:r w:rsidR="00E65893">
        <w:t xml:space="preserve">by ONR </w:t>
      </w:r>
      <w:r w:rsidR="009F26C6">
        <w:t xml:space="preserve">to be </w:t>
      </w:r>
      <w:r w:rsidRPr="008A35D2">
        <w:t>‘</w:t>
      </w:r>
      <w:r w:rsidR="00594859">
        <w:t>unacceptable</w:t>
      </w:r>
      <w:r w:rsidRPr="008A35D2">
        <w:t>’</w:t>
      </w:r>
      <w:r w:rsidR="00594859">
        <w:t xml:space="preserve"> </w:t>
      </w:r>
      <w:r w:rsidR="00791ACD">
        <w:t>using the</w:t>
      </w:r>
      <w:r w:rsidR="00594859">
        <w:t xml:space="preserve"> TOR framework </w:t>
      </w:r>
      <w:r w:rsidR="00D74605">
        <w:t>(refer to</w:t>
      </w:r>
      <w:r w:rsidR="00594859">
        <w:t xml:space="preserve"> Section </w:t>
      </w:r>
      <w:r w:rsidR="00B15678">
        <w:t>5.3</w:t>
      </w:r>
      <w:r w:rsidR="00594859">
        <w:t>)</w:t>
      </w:r>
      <w:r w:rsidRPr="008A35D2">
        <w:t xml:space="preserve">. In such cases the </w:t>
      </w:r>
      <w:r w:rsidR="00815677" w:rsidRPr="008A35D2">
        <w:t>dutyholder</w:t>
      </w:r>
      <w:r w:rsidRPr="008A35D2">
        <w:t xml:space="preserve"> should be actively managing and prioritising the situation to reduce the risks back to</w:t>
      </w:r>
      <w:r w:rsidR="00D90F67">
        <w:t xml:space="preserve"> at least a level that is tolerable and</w:t>
      </w:r>
      <w:r w:rsidRPr="008A35D2">
        <w:t xml:space="preserve"> ALARP</w:t>
      </w:r>
      <w:r w:rsidR="00D90F67">
        <w:t>,</w:t>
      </w:r>
      <w:r w:rsidRPr="008A35D2">
        <w:t xml:space="preserve"> as quickly as possible. </w:t>
      </w:r>
      <w:r w:rsidR="005B2E0A">
        <w:t xml:space="preserve">ONR expects </w:t>
      </w:r>
      <w:r w:rsidR="00791ACD">
        <w:t xml:space="preserve">the </w:t>
      </w:r>
      <w:r w:rsidR="005B2E0A">
        <w:t xml:space="preserve">dutyholder </w:t>
      </w:r>
      <w:r w:rsidR="006D72B1">
        <w:t xml:space="preserve">to </w:t>
      </w:r>
      <w:r w:rsidR="00F03926">
        <w:t xml:space="preserve">not </w:t>
      </w:r>
      <w:r w:rsidR="005B2E0A">
        <w:t>allow such</w:t>
      </w:r>
      <w:r w:rsidRPr="008A35D2">
        <w:t xml:space="preserve"> facility to operate at this level of risk</w:t>
      </w:r>
      <w:r w:rsidR="005D2664">
        <w:t>,</w:t>
      </w:r>
      <w:r w:rsidRPr="008A35D2">
        <w:t xml:space="preserve"> unless there is no </w:t>
      </w:r>
      <w:r w:rsidR="00A75246" w:rsidRPr="008A35D2">
        <w:t xml:space="preserve">safer </w:t>
      </w:r>
      <w:r w:rsidRPr="008A35D2">
        <w:t>alternative (</w:t>
      </w:r>
      <w:r w:rsidR="00A75246" w:rsidRPr="008A35D2">
        <w:t xml:space="preserve">ref. </w:t>
      </w:r>
      <w:sdt>
        <w:sdtPr>
          <w:id w:val="-1321263295"/>
          <w:citation/>
        </w:sdtPr>
        <w:sdtContent>
          <w:r w:rsidR="008A35D2" w:rsidRPr="008A35D2">
            <w:fldChar w:fldCharType="begin"/>
          </w:r>
          <w:r w:rsidR="00C67755">
            <w:instrText xml:space="preserve">CITATION Placeholder1 \l 2057 </w:instrText>
          </w:r>
          <w:r w:rsidR="008A35D2" w:rsidRPr="008A35D2">
            <w:fldChar w:fldCharType="separate"/>
          </w:r>
          <w:r w:rsidR="00C67755">
            <w:rPr>
              <w:noProof/>
            </w:rPr>
            <w:t>[1]</w:t>
          </w:r>
          <w:r w:rsidR="008A35D2" w:rsidRPr="008A35D2">
            <w:fldChar w:fldCharType="end"/>
          </w:r>
        </w:sdtContent>
      </w:sdt>
      <w:r w:rsidR="00437CB2" w:rsidRPr="008A35D2">
        <w:t>,</w:t>
      </w:r>
      <w:r w:rsidRPr="008A35D2">
        <w:t xml:space="preserve"> para 699-700).</w:t>
      </w:r>
    </w:p>
    <w:p w14:paraId="2024AAA8" w14:textId="69B61C73" w:rsidR="003F4538" w:rsidRDefault="003F4538" w:rsidP="00DF1CCF">
      <w:pPr>
        <w:pStyle w:val="Heading2"/>
        <w:ind w:left="851"/>
      </w:pPr>
      <w:r w:rsidRPr="008A35D2">
        <w:t>Residual Facility Life</w:t>
      </w:r>
    </w:p>
    <w:p w14:paraId="34E155F2" w14:textId="054472B8" w:rsidR="00F70B0D" w:rsidRDefault="00E70956" w:rsidP="00F70B0D">
      <w:pPr>
        <w:pStyle w:val="F9-Paragraph"/>
      </w:pPr>
      <w:r>
        <w:t xml:space="preserve">This is </w:t>
      </w:r>
      <w:r w:rsidRPr="008A35D2">
        <w:t>the situation where, a</w:t>
      </w:r>
      <w:r w:rsidR="00F70B0D" w:rsidRPr="008A35D2">
        <w:t>s a facility ages, its safety margins may be eroded</w:t>
      </w:r>
      <w:r w:rsidR="00437CB2" w:rsidRPr="008A35D2">
        <w:t xml:space="preserve"> (ref. </w:t>
      </w:r>
      <w:sdt>
        <w:sdtPr>
          <w:id w:val="-1827896727"/>
          <w:citation/>
        </w:sdtPr>
        <w:sdtContent>
          <w:r w:rsidR="008A35D2" w:rsidRPr="008A35D2">
            <w:fldChar w:fldCharType="begin"/>
          </w:r>
          <w:r w:rsidR="00C67755">
            <w:instrText xml:space="preserve">CITATION Placeholder1 \l 2057 </w:instrText>
          </w:r>
          <w:r w:rsidR="008A35D2" w:rsidRPr="008A35D2">
            <w:fldChar w:fldCharType="separate"/>
          </w:r>
          <w:r w:rsidR="00C67755">
            <w:rPr>
              <w:noProof/>
            </w:rPr>
            <w:t>[1]</w:t>
          </w:r>
          <w:r w:rsidR="008A35D2" w:rsidRPr="008A35D2">
            <w:fldChar w:fldCharType="end"/>
          </w:r>
        </w:sdtContent>
      </w:sdt>
      <w:r w:rsidR="008A35D2" w:rsidRPr="008A35D2">
        <w:t xml:space="preserve"> </w:t>
      </w:r>
      <w:r w:rsidR="00437CB2" w:rsidRPr="008A35D2">
        <w:t>para 35)</w:t>
      </w:r>
      <w:r w:rsidR="00F70B0D" w:rsidRPr="008A35D2">
        <w:t xml:space="preserve">, for example due to ageing effects, or its risks may appear high when compared to newer facilities designed to more modern standards. </w:t>
      </w:r>
      <w:r w:rsidR="00391585" w:rsidRPr="008A35D2">
        <w:t>Dutyholders</w:t>
      </w:r>
      <w:r w:rsidR="00F70B0D" w:rsidRPr="008A35D2">
        <w:t xml:space="preserve"> </w:t>
      </w:r>
      <w:r w:rsidR="003F791D">
        <w:t>might</w:t>
      </w:r>
      <w:r w:rsidR="00F70B0D" w:rsidRPr="008A35D2">
        <w:t xml:space="preserve"> </w:t>
      </w:r>
      <w:r w:rsidR="00AB3C41" w:rsidRPr="008A35D2">
        <w:t>argue</w:t>
      </w:r>
      <w:r w:rsidR="00F70B0D" w:rsidRPr="008A35D2">
        <w:t xml:space="preserve"> </w:t>
      </w:r>
      <w:r w:rsidR="003F791D">
        <w:t xml:space="preserve">in their ALARP justifications </w:t>
      </w:r>
      <w:r w:rsidR="00F70B0D" w:rsidRPr="008A35D2">
        <w:t>that the</w:t>
      </w:r>
      <w:r w:rsidR="00F70B0D">
        <w:t xml:space="preserve"> short remaining operating life of the facility means that investment </w:t>
      </w:r>
      <w:r w:rsidR="00FE060B">
        <w:t xml:space="preserve">required </w:t>
      </w:r>
      <w:r w:rsidR="00140DEE">
        <w:t xml:space="preserve">to upgrade the facility </w:t>
      </w:r>
      <w:r w:rsidR="00F70B0D">
        <w:t>is unreasonable.</w:t>
      </w:r>
    </w:p>
    <w:p w14:paraId="3B1ACAA6" w14:textId="021249EA" w:rsidR="003F4538" w:rsidRDefault="008349A6" w:rsidP="00FC23E0">
      <w:pPr>
        <w:pStyle w:val="F9-Paragraph"/>
      </w:pPr>
      <w:r>
        <w:lastRenderedPageBreak/>
        <w:t xml:space="preserve">In </w:t>
      </w:r>
      <w:r w:rsidR="00D90F67">
        <w:t>making judgements on these situations</w:t>
      </w:r>
      <w:r>
        <w:t>, ONR expects t</w:t>
      </w:r>
      <w:r w:rsidR="00642B76">
        <w:t>he remaining lifetime should be short in comparison to the total design or operational life of the facility</w:t>
      </w:r>
      <w:r w:rsidR="003F4538">
        <w:t xml:space="preserve">. This can be difficult where the ageing is gradual and there is no obvious transition from 'safe' to 'not </w:t>
      </w:r>
      <w:r w:rsidR="003F4538" w:rsidRPr="009B1155">
        <w:t xml:space="preserve">safe'. </w:t>
      </w:r>
      <w:r w:rsidR="00D90F67">
        <w:t>Therefore</w:t>
      </w:r>
      <w:r w:rsidR="003F4538" w:rsidRPr="009B1155">
        <w:t xml:space="preserve">, </w:t>
      </w:r>
      <w:r w:rsidRPr="009B1155">
        <w:t xml:space="preserve">ONR expects </w:t>
      </w:r>
      <w:r w:rsidR="0071317D">
        <w:t xml:space="preserve">the </w:t>
      </w:r>
      <w:r w:rsidRPr="009B1155">
        <w:t xml:space="preserve">dutyholder </w:t>
      </w:r>
      <w:r w:rsidR="008A6042" w:rsidRPr="009B1155">
        <w:t xml:space="preserve">to carry out </w:t>
      </w:r>
      <w:r w:rsidR="003F4538" w:rsidRPr="009B1155">
        <w:t xml:space="preserve">careful monitoring and regular review, as required through </w:t>
      </w:r>
      <w:r w:rsidR="008A6042" w:rsidRPr="009B1155">
        <w:t xml:space="preserve">the </w:t>
      </w:r>
      <w:r w:rsidR="003F4538" w:rsidRPr="009B1155">
        <w:t>compliance with their LC</w:t>
      </w:r>
      <w:r w:rsidR="006A53E3" w:rsidRPr="009B1155">
        <w:t xml:space="preserve"> </w:t>
      </w:r>
      <w:r w:rsidR="003F4538" w:rsidRPr="009B1155">
        <w:t xml:space="preserve">15 arrangements </w:t>
      </w:r>
      <w:r w:rsidR="00264F64">
        <w:t xml:space="preserve">on PSR </w:t>
      </w:r>
      <w:r w:rsidR="003F4538" w:rsidRPr="009B1155">
        <w:t>(</w:t>
      </w:r>
      <w:r w:rsidR="006A53E3" w:rsidRPr="009B1155">
        <w:t>ref</w:t>
      </w:r>
      <w:r w:rsidR="009B1155">
        <w:t>.</w:t>
      </w:r>
      <w:r w:rsidR="006A53E3" w:rsidRPr="009B1155">
        <w:t xml:space="preserve"> </w:t>
      </w:r>
      <w:sdt>
        <w:sdtPr>
          <w:id w:val="-1917079893"/>
          <w:citation/>
        </w:sdtPr>
        <w:sdtContent>
          <w:r w:rsidR="006A53E3" w:rsidRPr="009B1155">
            <w:fldChar w:fldCharType="begin"/>
          </w:r>
          <w:r w:rsidR="006A53E3" w:rsidRPr="009B1155">
            <w:instrText xml:space="preserve"> CITATION ONR221 \l 2057 </w:instrText>
          </w:r>
          <w:r w:rsidR="006A53E3" w:rsidRPr="009B1155">
            <w:fldChar w:fldCharType="separate"/>
          </w:r>
          <w:r w:rsidR="00576AF6">
            <w:rPr>
              <w:noProof/>
            </w:rPr>
            <w:t>[19]</w:t>
          </w:r>
          <w:r w:rsidR="006A53E3" w:rsidRPr="009B1155">
            <w:fldChar w:fldCharType="end"/>
          </w:r>
        </w:sdtContent>
      </w:sdt>
      <w:r w:rsidR="006A53E3" w:rsidRPr="009B1155">
        <w:t xml:space="preserve"> and </w:t>
      </w:r>
      <w:sdt>
        <w:sdtPr>
          <w:id w:val="1182404617"/>
          <w:citation/>
        </w:sdtPr>
        <w:sdtContent>
          <w:r w:rsidR="009B1155" w:rsidRPr="009B1155">
            <w:fldChar w:fldCharType="begin"/>
          </w:r>
          <w:r w:rsidR="009B1155" w:rsidRPr="009B1155">
            <w:instrText xml:space="preserve"> CITATION ONR223 \l 2057 </w:instrText>
          </w:r>
          <w:r w:rsidR="009B1155" w:rsidRPr="009B1155">
            <w:fldChar w:fldCharType="separate"/>
          </w:r>
          <w:r w:rsidR="00576AF6">
            <w:rPr>
              <w:noProof/>
            </w:rPr>
            <w:t>[23]</w:t>
          </w:r>
          <w:r w:rsidR="009B1155" w:rsidRPr="009B1155">
            <w:fldChar w:fldCharType="end"/>
          </w:r>
        </w:sdtContent>
      </w:sdt>
      <w:r w:rsidR="003F4538" w:rsidRPr="009B1155">
        <w:t>).</w:t>
      </w:r>
      <w:r w:rsidR="00642B76">
        <w:t xml:space="preserve"> </w:t>
      </w:r>
    </w:p>
    <w:p w14:paraId="7725E242" w14:textId="7BBBA276" w:rsidR="003F4538" w:rsidRDefault="00E32FCB" w:rsidP="003F4538">
      <w:pPr>
        <w:pStyle w:val="F9-Paragraph"/>
      </w:pPr>
      <w:r>
        <w:t>ONR expects dutyholders to update their</w:t>
      </w:r>
      <w:r w:rsidR="003F4538">
        <w:t xml:space="preserve"> </w:t>
      </w:r>
      <w:r w:rsidR="009A0B17">
        <w:t>ALARP demonstration</w:t>
      </w:r>
      <w:r w:rsidR="003F4538">
        <w:t xml:space="preserve"> </w:t>
      </w:r>
      <w:r>
        <w:t xml:space="preserve">to </w:t>
      </w:r>
      <w:r w:rsidR="003F4538">
        <w:t>take account of any relevant new knowledge or experience and data appropriate to the current and predicted future state and mode of operation of the facility. Comparison with modern standards of engineering and operation and risk criteria should be undertaken</w:t>
      </w:r>
      <w:r w:rsidR="008A4533">
        <w:t xml:space="preserve"> by the dutyholder</w:t>
      </w:r>
      <w:r w:rsidR="003F4538">
        <w:t>.</w:t>
      </w:r>
    </w:p>
    <w:p w14:paraId="0365E322" w14:textId="78AE3A6C" w:rsidR="003F4538" w:rsidRPr="006970EB" w:rsidRDefault="002577DD" w:rsidP="003F4538">
      <w:pPr>
        <w:pStyle w:val="F9-Paragraph"/>
      </w:pPr>
      <w:r>
        <w:t xml:space="preserve">ONR expects dutyholders </w:t>
      </w:r>
      <w:r w:rsidR="00217FE8">
        <w:t xml:space="preserve">to show that the </w:t>
      </w:r>
      <w:r w:rsidR="00D90F67">
        <w:t xml:space="preserve">risks from a </w:t>
      </w:r>
      <w:r w:rsidR="00217FE8">
        <w:t xml:space="preserve">facility </w:t>
      </w:r>
      <w:r w:rsidR="00D90F67">
        <w:t>remain</w:t>
      </w:r>
      <w:r w:rsidR="00217FE8">
        <w:t xml:space="preserve"> tolerable </w:t>
      </w:r>
      <w:r w:rsidR="00D90F67">
        <w:t xml:space="preserve">and ALARP </w:t>
      </w:r>
      <w:r w:rsidR="00217FE8">
        <w:t xml:space="preserve">for future operations through the </w:t>
      </w:r>
      <w:r w:rsidR="003F4538">
        <w:t>revised risk assessment. For example</w:t>
      </w:r>
      <w:r w:rsidR="00217EA3">
        <w:t>,</w:t>
      </w:r>
      <w:r w:rsidR="003F4538">
        <w:t xml:space="preserve"> the numerical risk</w:t>
      </w:r>
      <w:r w:rsidR="00217EA3">
        <w:t xml:space="preserve"> for nuclear safety</w:t>
      </w:r>
      <w:r w:rsidR="003F4538">
        <w:t xml:space="preserve"> estimates should not be greater than BSLs</w:t>
      </w:r>
      <w:r w:rsidR="00D86E79">
        <w:t xml:space="preserve"> (the ‘unacceptable’ region of TOR framework, </w:t>
      </w:r>
      <w:r w:rsidR="005B2054">
        <w:t>refer to</w:t>
      </w:r>
      <w:r w:rsidR="00D86E79">
        <w:t xml:space="preserve"> </w:t>
      </w:r>
      <w:r w:rsidR="00543F27">
        <w:t>Section 5.3</w:t>
      </w:r>
      <w:r w:rsidR="00D86E79">
        <w:t>)</w:t>
      </w:r>
      <w:r w:rsidR="003F4538">
        <w:t xml:space="preserve">. If </w:t>
      </w:r>
      <w:r w:rsidR="00750D2B">
        <w:t xml:space="preserve">ONR </w:t>
      </w:r>
      <w:r w:rsidR="00D90F67">
        <w:t>judge</w:t>
      </w:r>
      <w:r w:rsidR="00750D2B">
        <w:t xml:space="preserve">s </w:t>
      </w:r>
      <w:r w:rsidR="00D90F67">
        <w:t>risks</w:t>
      </w:r>
      <w:r w:rsidR="00750D2B">
        <w:t xml:space="preserve"> </w:t>
      </w:r>
      <w:r w:rsidR="003F4538">
        <w:t xml:space="preserve">to be </w:t>
      </w:r>
      <w:r w:rsidR="00A8115C">
        <w:t>intolerable,</w:t>
      </w:r>
      <w:r w:rsidR="003F4538">
        <w:t xml:space="preserve"> </w:t>
      </w:r>
      <w:r w:rsidR="00750D2B">
        <w:t>it</w:t>
      </w:r>
      <w:r w:rsidR="00F7377F">
        <w:t xml:space="preserve"> expects the dutyholder to </w:t>
      </w:r>
      <w:r w:rsidR="00D90F67">
        <w:t>stop operating the facility and not undertake further operations</w:t>
      </w:r>
      <w:r w:rsidR="00F867FF">
        <w:t>,</w:t>
      </w:r>
      <w:r w:rsidR="00217EA3">
        <w:t xml:space="preserve"> unless there is no safer alternative</w:t>
      </w:r>
      <w:r w:rsidR="00D90F67">
        <w:t xml:space="preserve"> or risks are reduced to a tolerable level</w:t>
      </w:r>
      <w:r w:rsidR="00217EA3">
        <w:t>.</w:t>
      </w:r>
      <w:r w:rsidR="00042898">
        <w:t xml:space="preserve"> Proposed limits on remaining lifetime may be invoked</w:t>
      </w:r>
      <w:r w:rsidR="00F7377F">
        <w:t xml:space="preserve"> by dutyholders</w:t>
      </w:r>
      <w:r w:rsidR="00042898">
        <w:t xml:space="preserve"> in making the ALARP </w:t>
      </w:r>
      <w:r w:rsidR="00D90F67">
        <w:t>argument</w:t>
      </w:r>
      <w:r w:rsidR="00042898">
        <w:t xml:space="preserve">, but </w:t>
      </w:r>
      <w:r w:rsidR="00042898" w:rsidRPr="006970EB">
        <w:t xml:space="preserve">this cannot be used </w:t>
      </w:r>
      <w:r w:rsidR="00F47F44">
        <w:t xml:space="preserve">by dutyholders </w:t>
      </w:r>
      <w:r w:rsidR="00042898" w:rsidRPr="006970EB">
        <w:t>to justify a facility operating in the intolerable region.</w:t>
      </w:r>
    </w:p>
    <w:p w14:paraId="4B057C5B" w14:textId="6591757F" w:rsidR="00AF17E3" w:rsidRDefault="00537DD5" w:rsidP="00AF17E3">
      <w:pPr>
        <w:pStyle w:val="F9-Paragraph"/>
      </w:pPr>
      <w:r w:rsidRPr="006970EB">
        <w:t xml:space="preserve">ONR </w:t>
      </w:r>
      <w:r w:rsidR="006970EB" w:rsidRPr="006970EB">
        <w:t xml:space="preserve">does not </w:t>
      </w:r>
      <w:r w:rsidRPr="006970EB">
        <w:t>accept</w:t>
      </w:r>
      <w:r w:rsidR="00610247">
        <w:t xml:space="preserve"> </w:t>
      </w:r>
      <w:r w:rsidR="0011438C">
        <w:t xml:space="preserve">arguments </w:t>
      </w:r>
      <w:r w:rsidR="00610247">
        <w:t xml:space="preserve">from </w:t>
      </w:r>
      <w:r w:rsidR="0011438C">
        <w:t xml:space="preserve">dutyholders </w:t>
      </w:r>
      <w:r w:rsidR="003F4538" w:rsidRPr="006970EB">
        <w:t xml:space="preserve">to </w:t>
      </w:r>
      <w:r w:rsidR="005025BB" w:rsidRPr="006970EB">
        <w:t xml:space="preserve">not </w:t>
      </w:r>
      <w:r w:rsidR="003F4538" w:rsidRPr="006970EB">
        <w:t>make an improvement based largely on limited future lifetime</w:t>
      </w:r>
      <w:r w:rsidR="00B67886">
        <w:t>,</w:t>
      </w:r>
      <w:r w:rsidR="003F4538" w:rsidRPr="006970EB">
        <w:t xml:space="preserve"> </w:t>
      </w:r>
      <w:r w:rsidR="005900A5" w:rsidRPr="006970EB">
        <w:t>unless</w:t>
      </w:r>
      <w:r w:rsidR="003F4538" w:rsidRPr="006970EB">
        <w:t xml:space="preserve"> where the maximum extent of the future operational life is irrevocably fixed. In cases where the planned lifetime is not irrevocably fixed, a minimum period of ten years (or the unavoidable necessary life of the facility, if longer) </w:t>
      </w:r>
      <w:r w:rsidR="006258EC" w:rsidRPr="006970EB">
        <w:t>would</w:t>
      </w:r>
      <w:r w:rsidR="003F4538" w:rsidRPr="006970EB">
        <w:t xml:space="preserve"> be considered</w:t>
      </w:r>
      <w:r w:rsidR="0011438C">
        <w:t xml:space="preserve"> by ONR</w:t>
      </w:r>
      <w:r w:rsidR="003F4538">
        <w:t xml:space="preserve"> for the purposes of the ALARP demonstration (</w:t>
      </w:r>
      <w:r w:rsidR="000F7670">
        <w:t xml:space="preserve">ref. </w:t>
      </w:r>
      <w:sdt>
        <w:sdtPr>
          <w:id w:val="250784126"/>
          <w:citation/>
        </w:sdtPr>
        <w:sdtContent>
          <w:r w:rsidR="000F7670">
            <w:fldChar w:fldCharType="begin"/>
          </w:r>
          <w:r w:rsidR="00C67755">
            <w:instrText xml:space="preserve">CITATION Placeholder1 \l 2057 </w:instrText>
          </w:r>
          <w:r w:rsidR="000F7670">
            <w:fldChar w:fldCharType="separate"/>
          </w:r>
          <w:r w:rsidR="00C67755">
            <w:rPr>
              <w:noProof/>
            </w:rPr>
            <w:t>[1]</w:t>
          </w:r>
          <w:r w:rsidR="000F7670">
            <w:fldChar w:fldCharType="end"/>
          </w:r>
        </w:sdtContent>
      </w:sdt>
      <w:r w:rsidR="00332FCD">
        <w:t xml:space="preserve"> </w:t>
      </w:r>
      <w:r w:rsidR="003F4538" w:rsidRPr="00332FCD">
        <w:t>para 35</w:t>
      </w:r>
      <w:r w:rsidR="003F4538">
        <w:t>).</w:t>
      </w:r>
    </w:p>
    <w:p w14:paraId="27B3FA44" w14:textId="24887842" w:rsidR="00AF17E3" w:rsidRDefault="003F4538" w:rsidP="00AF17E3">
      <w:pPr>
        <w:pStyle w:val="Heading2"/>
        <w:ind w:left="851"/>
      </w:pPr>
      <w:r>
        <w:t>End of Life Legacy</w:t>
      </w:r>
    </w:p>
    <w:p w14:paraId="66337F3A" w14:textId="4E100898" w:rsidR="00F70B0D" w:rsidRDefault="004B61E3" w:rsidP="003F4538">
      <w:pPr>
        <w:pStyle w:val="F9-Paragraph"/>
      </w:pPr>
      <w:r>
        <w:t>Thi</w:t>
      </w:r>
      <w:r w:rsidR="0072397F">
        <w:t>s is the situation where c</w:t>
      </w:r>
      <w:r w:rsidR="00F70B0D">
        <w:t>lean-out and decommissioning</w:t>
      </w:r>
      <w:r w:rsidR="0072397F">
        <w:t xml:space="preserve"> of a facility</w:t>
      </w:r>
      <w:r w:rsidR="00F70B0D">
        <w:t xml:space="preserve"> </w:t>
      </w:r>
      <w:r w:rsidR="00BE506A">
        <w:t xml:space="preserve">at its end of life that </w:t>
      </w:r>
      <w:r w:rsidR="00F70B0D">
        <w:t xml:space="preserve">may </w:t>
      </w:r>
      <w:r w:rsidR="0072397F">
        <w:t>lead to</w:t>
      </w:r>
      <w:r w:rsidR="00F70B0D">
        <w:t xml:space="preserve"> </w:t>
      </w:r>
      <w:r w:rsidR="009E1AAB">
        <w:t xml:space="preserve">justified increase in </w:t>
      </w:r>
      <w:r w:rsidR="00F70B0D">
        <w:t>risk</w:t>
      </w:r>
      <w:r w:rsidR="0072397F">
        <w:t>s</w:t>
      </w:r>
      <w:r w:rsidR="00F70B0D">
        <w:t xml:space="preserve"> </w:t>
      </w:r>
      <w:r w:rsidR="009E1AAB">
        <w:t xml:space="preserve">for </w:t>
      </w:r>
      <w:r w:rsidR="00D90F67">
        <w:t xml:space="preserve">the </w:t>
      </w:r>
      <w:r w:rsidR="009E1AAB">
        <w:t>short</w:t>
      </w:r>
      <w:r w:rsidR="00A66671">
        <w:t>-term</w:t>
      </w:r>
      <w:r w:rsidR="007645BB">
        <w:t xml:space="preserve"> </w:t>
      </w:r>
      <w:r w:rsidR="00441205">
        <w:t>to enable</w:t>
      </w:r>
      <w:r w:rsidR="007645BB">
        <w:t xml:space="preserve"> the long</w:t>
      </w:r>
      <w:r w:rsidR="00A66671">
        <w:t>er</w:t>
      </w:r>
      <w:r w:rsidR="007645BB">
        <w:t xml:space="preserve">-term risks </w:t>
      </w:r>
      <w:r w:rsidR="003F125C">
        <w:t>to</w:t>
      </w:r>
      <w:r w:rsidR="007645BB">
        <w:t xml:space="preserve"> be reduced or eliminated. </w:t>
      </w:r>
      <w:r w:rsidR="00BE506A">
        <w:t>Dutyholders</w:t>
      </w:r>
      <w:r w:rsidR="00F70B0D">
        <w:t xml:space="preserve"> may argue this is </w:t>
      </w:r>
      <w:r w:rsidR="00D90F67">
        <w:t>reasonably practicable</w:t>
      </w:r>
      <w:r w:rsidR="00F70B0D">
        <w:t xml:space="preserve"> if remediation of the facility is to be completed</w:t>
      </w:r>
      <w:r w:rsidR="00244C47">
        <w:t xml:space="preserve"> </w:t>
      </w:r>
      <w:r w:rsidR="00D90F67">
        <w:t>to reach a safer end state</w:t>
      </w:r>
      <w:r w:rsidR="00F70B0D">
        <w:t>.</w:t>
      </w:r>
    </w:p>
    <w:p w14:paraId="3DFD067E" w14:textId="77777777" w:rsidR="005B2054" w:rsidRDefault="005B2054" w:rsidP="00E1179C">
      <w:pPr>
        <w:pStyle w:val="F9-Paragraph"/>
        <w:sectPr w:rsidR="005B2054" w:rsidSect="007E1540">
          <w:pgSz w:w="11906" w:h="16838" w:code="9"/>
          <w:pgMar w:top="1440" w:right="1440" w:bottom="1440" w:left="1440" w:header="397" w:footer="397" w:gutter="0"/>
          <w:cols w:space="312"/>
          <w:docGrid w:linePitch="360"/>
        </w:sectPr>
      </w:pPr>
    </w:p>
    <w:p w14:paraId="026684E4" w14:textId="173E0832" w:rsidR="00215855" w:rsidRDefault="007445A3" w:rsidP="00E1179C">
      <w:pPr>
        <w:pStyle w:val="F9-Paragraph"/>
      </w:pPr>
      <w:r>
        <w:lastRenderedPageBreak/>
        <w:t>ONR expects dutyholders to balance s</w:t>
      </w:r>
      <w:r w:rsidR="003F4538">
        <w:t xml:space="preserve">uch increased risks against the continuing risks </w:t>
      </w:r>
      <w:r w:rsidR="00C25AC9">
        <w:t xml:space="preserve">arising </w:t>
      </w:r>
      <w:r w:rsidR="003F4538">
        <w:t>from doing nothing</w:t>
      </w:r>
      <w:r w:rsidR="00BD7438">
        <w:t>,</w:t>
      </w:r>
      <w:r w:rsidR="003F4538">
        <w:t xml:space="preserve"> and </w:t>
      </w:r>
      <w:r w:rsidR="00584CD6">
        <w:t xml:space="preserve">to take </w:t>
      </w:r>
      <w:r w:rsidR="003F4538">
        <w:t xml:space="preserve">due consideration of alternatives available to address the hazard. </w:t>
      </w:r>
      <w:r w:rsidR="00AF6E41">
        <w:t xml:space="preserve">During the course of hazard reduction, which may be for a significant </w:t>
      </w:r>
      <w:r w:rsidR="008B40AE">
        <w:t xml:space="preserve">period of </w:t>
      </w:r>
      <w:r w:rsidR="00AF6E41">
        <w:t xml:space="preserve">time, </w:t>
      </w:r>
      <w:r w:rsidR="00510259">
        <w:t xml:space="preserve">ONR expects dutyholders to put in place suitable engineering and/or operational arrangements to </w:t>
      </w:r>
      <w:r w:rsidR="00D90F67">
        <w:t>reduce</w:t>
      </w:r>
      <w:r w:rsidR="00510259">
        <w:t xml:space="preserve"> the magnitude and time of the higher risk</w:t>
      </w:r>
      <w:r w:rsidR="00D90F67">
        <w:t xml:space="preserve"> to ALARP. For example,</w:t>
      </w:r>
      <w:r w:rsidR="00510259">
        <w:t xml:space="preserve"> </w:t>
      </w:r>
      <w:r w:rsidR="002C6CA7">
        <w:t xml:space="preserve">balancing </w:t>
      </w:r>
      <w:r w:rsidR="00510259">
        <w:t xml:space="preserve">operational doses and the potential for accidental </w:t>
      </w:r>
      <w:r w:rsidR="00510259" w:rsidRPr="00314923">
        <w:t>releases</w:t>
      </w:r>
      <w:r w:rsidR="009C0F66" w:rsidRPr="00314923">
        <w:t xml:space="preserve"> (ref. </w:t>
      </w:r>
      <w:sdt>
        <w:sdtPr>
          <w:id w:val="-2055533484"/>
          <w:citation/>
        </w:sdtPr>
        <w:sdtContent>
          <w:r w:rsidR="00C14A76">
            <w:fldChar w:fldCharType="begin"/>
          </w:r>
          <w:r w:rsidR="00C14A76">
            <w:instrText xml:space="preserve"> CITATION ONR222 \l 2057 </w:instrText>
          </w:r>
          <w:r w:rsidR="00C14A76">
            <w:fldChar w:fldCharType="separate"/>
          </w:r>
          <w:r w:rsidR="00576AF6">
            <w:rPr>
              <w:noProof/>
            </w:rPr>
            <w:t>[24]</w:t>
          </w:r>
          <w:r w:rsidR="00C14A76">
            <w:fldChar w:fldCharType="end"/>
          </w:r>
        </w:sdtContent>
      </w:sdt>
      <w:r w:rsidR="00510259" w:rsidRPr="00314923">
        <w:t xml:space="preserve">). </w:t>
      </w:r>
      <w:r w:rsidR="00B2648B" w:rsidRPr="00314923">
        <w:t xml:space="preserve">ONR </w:t>
      </w:r>
      <w:r w:rsidR="008A4533">
        <w:t xml:space="preserve">does </w:t>
      </w:r>
      <w:r w:rsidR="00B2648B" w:rsidRPr="00314923">
        <w:t xml:space="preserve">not accept </w:t>
      </w:r>
      <w:r w:rsidR="002C6CA7">
        <w:t>arguments from dutyholders</w:t>
      </w:r>
      <w:r w:rsidR="003F4538" w:rsidRPr="00314923">
        <w:t xml:space="preserve"> for extensive delays to hazard reduction by invoking CBA with significantly discounted future co</w:t>
      </w:r>
      <w:r w:rsidR="003F4538">
        <w:t>sts</w:t>
      </w:r>
      <w:r w:rsidR="00EA4FB0">
        <w:t>,</w:t>
      </w:r>
      <w:r w:rsidR="008A2E9B">
        <w:t xml:space="preserve"> or based simply on time at risk arguments</w:t>
      </w:r>
      <w:r w:rsidR="0071316D">
        <w:t xml:space="preserve"> </w:t>
      </w:r>
      <w:r w:rsidR="00D74605">
        <w:t>(refer to</w:t>
      </w:r>
      <w:r w:rsidR="0071316D">
        <w:t xml:space="preserve"> Appendix 1)</w:t>
      </w:r>
      <w:r w:rsidR="003F4538">
        <w:t xml:space="preserve">. </w:t>
      </w:r>
    </w:p>
    <w:p w14:paraId="715C1157" w14:textId="77777777" w:rsidR="00215855" w:rsidRDefault="00215855" w:rsidP="00F7687C">
      <w:pPr>
        <w:tabs>
          <w:tab w:val="left" w:pos="1440"/>
        </w:tabs>
        <w:spacing w:line="240" w:lineRule="auto"/>
        <w:contextualSpacing/>
        <w:sectPr w:rsidR="00215855" w:rsidSect="007E1540">
          <w:pgSz w:w="11906" w:h="16838" w:code="9"/>
          <w:pgMar w:top="1440" w:right="1440" w:bottom="1440" w:left="1440" w:header="397" w:footer="397" w:gutter="0"/>
          <w:cols w:space="312"/>
          <w:docGrid w:linePitch="360"/>
        </w:sectPr>
      </w:pPr>
    </w:p>
    <w:p w14:paraId="17DA62B7" w14:textId="77777777" w:rsidR="00700A94" w:rsidRDefault="00A06206" w:rsidP="00700A94">
      <w:pPr>
        <w:pStyle w:val="Heading1"/>
      </w:pPr>
      <w:bookmarkStart w:id="15" w:name="_Toc146287639"/>
      <w:r>
        <w:lastRenderedPageBreak/>
        <w:t xml:space="preserve">Appendix </w:t>
      </w:r>
      <w:r w:rsidR="003F4538">
        <w:t>3</w:t>
      </w:r>
      <w:r w:rsidR="007349E9">
        <w:t>:</w:t>
      </w:r>
      <w:r>
        <w:t xml:space="preserve"> </w:t>
      </w:r>
      <w:r w:rsidR="00356561">
        <w:t>Optioneering</w:t>
      </w:r>
      <w:bookmarkEnd w:id="15"/>
    </w:p>
    <w:p w14:paraId="3009D47B" w14:textId="6436AF24" w:rsidR="00700A94" w:rsidRPr="004D65CD" w:rsidRDefault="002C6CA7" w:rsidP="005B2054">
      <w:pPr>
        <w:pStyle w:val="F9-Paragraph"/>
        <w:numPr>
          <w:ilvl w:val="0"/>
          <w:numId w:val="47"/>
        </w:numPr>
        <w:ind w:left="851" w:hanging="851"/>
      </w:pPr>
      <w:r>
        <w:t>I</w:t>
      </w:r>
      <w:r w:rsidR="00700A94" w:rsidRPr="004D65CD">
        <w:t xml:space="preserve">nspectors make judgements as to whether dutyholders are taking all reasonably practicable </w:t>
      </w:r>
      <w:r w:rsidR="00700A94">
        <w:t>steps</w:t>
      </w:r>
      <w:r w:rsidR="00700A94" w:rsidRPr="004D65CD">
        <w:t xml:space="preserve"> to ensure that risks are reduced </w:t>
      </w:r>
      <w:r w:rsidR="00787B9E">
        <w:t xml:space="preserve">to </w:t>
      </w:r>
      <w:r w:rsidR="00700A94" w:rsidRPr="004D65CD">
        <w:t xml:space="preserve">ALARP. </w:t>
      </w:r>
      <w:r w:rsidR="005B2054">
        <w:br/>
      </w:r>
      <w:r w:rsidR="00700A94" w:rsidRPr="004D65CD">
        <w:t xml:space="preserve">As a start to making these judgements, inspectors will generally look for evidence that a dutyholder has </w:t>
      </w:r>
      <w:r w:rsidR="004C60D2">
        <w:t>applied</w:t>
      </w:r>
      <w:r w:rsidR="00700A94" w:rsidRPr="004D65CD">
        <w:t xml:space="preserve"> appropriate RGP </w:t>
      </w:r>
      <w:r w:rsidR="004C60D2">
        <w:t>to control</w:t>
      </w:r>
      <w:r w:rsidR="00700A94" w:rsidRPr="004D65CD">
        <w:t xml:space="preserve"> the risks </w:t>
      </w:r>
      <w:r w:rsidR="00D74605">
        <w:t>(refer to</w:t>
      </w:r>
      <w:r w:rsidR="00700A94" w:rsidRPr="004D65CD">
        <w:t xml:space="preserve"> </w:t>
      </w:r>
      <w:r w:rsidR="00700A94">
        <w:t xml:space="preserve">Sections 5.1.6 and </w:t>
      </w:r>
      <w:r w:rsidR="00543F27">
        <w:t>5.2.4</w:t>
      </w:r>
      <w:r w:rsidR="00700A94" w:rsidRPr="004D65CD">
        <w:t xml:space="preserve">). When turning to specific risks under certain circumstances, inspectors may sometimes seek further evidence that the dutyholder has looked at a range of options and has good reasons for choosing a preferred option. Furthermore, when those risks are significant, novel, complex or uncertain, then inspectors may expect the dutyholder to have followed a methodical process for making that choice (known as “optioneering” </w:t>
      </w:r>
      <w:r w:rsidR="00543F27">
        <w:t>–</w:t>
      </w:r>
      <w:r w:rsidR="00700A94" w:rsidRPr="0006770B">
        <w:t xml:space="preserve"> </w:t>
      </w:r>
      <w:r w:rsidR="00FE072C">
        <w:t>refer to</w:t>
      </w:r>
      <w:r w:rsidR="00543F27">
        <w:t xml:space="preserve"> </w:t>
      </w:r>
      <w:r w:rsidR="00700A94" w:rsidRPr="0006770B">
        <w:t xml:space="preserve">Section </w:t>
      </w:r>
      <w:r w:rsidR="005E5FCC">
        <w:t>5.2</w:t>
      </w:r>
      <w:r w:rsidR="00AC7146">
        <w:t>.2</w:t>
      </w:r>
      <w:r w:rsidR="00700A94" w:rsidRPr="004D65CD">
        <w:t xml:space="preserve">). Inspectors may then expect the dutyholder to show </w:t>
      </w:r>
      <w:r w:rsidR="00380B6E">
        <w:t xml:space="preserve">a proportionate level of </w:t>
      </w:r>
      <w:r w:rsidR="00700A94" w:rsidRPr="004D65CD">
        <w:t xml:space="preserve">evidence of their optioneering in their safety case </w:t>
      </w:r>
      <w:r w:rsidR="005E3BE0">
        <w:t xml:space="preserve">or safety report </w:t>
      </w:r>
      <w:r w:rsidR="00700A94" w:rsidRPr="004D65CD">
        <w:t>document</w:t>
      </w:r>
      <w:r w:rsidR="007A56D3">
        <w:t>ation</w:t>
      </w:r>
      <w:r w:rsidR="00700A94" w:rsidRPr="004D65CD">
        <w:t xml:space="preserve">. This </w:t>
      </w:r>
      <w:r w:rsidR="00700A94">
        <w:t>a</w:t>
      </w:r>
      <w:r w:rsidR="00700A94" w:rsidRPr="004D65CD">
        <w:t xml:space="preserve">ppendix describes some </w:t>
      </w:r>
      <w:r w:rsidR="00EB6567">
        <w:t xml:space="preserve">of the </w:t>
      </w:r>
      <w:r w:rsidR="00700A94" w:rsidRPr="004D65CD">
        <w:t>characteristics</w:t>
      </w:r>
      <w:r w:rsidR="00700A94">
        <w:t xml:space="preserve"> </w:t>
      </w:r>
      <w:r w:rsidR="00DA2074">
        <w:t xml:space="preserve">that </w:t>
      </w:r>
      <w:r w:rsidR="00700A94" w:rsidRPr="004D65CD">
        <w:t>ONR considers a</w:t>
      </w:r>
      <w:r w:rsidR="006D4099">
        <w:t xml:space="preserve"> robust</w:t>
      </w:r>
      <w:r w:rsidR="00700A94" w:rsidRPr="004D65CD">
        <w:t xml:space="preserve"> optioneering process </w:t>
      </w:r>
      <w:r w:rsidR="00700A94">
        <w:t>should</w:t>
      </w:r>
      <w:r w:rsidR="00700A94" w:rsidRPr="004D65CD">
        <w:t xml:space="preserve"> have and </w:t>
      </w:r>
      <w:r w:rsidR="00700A94">
        <w:t>key steps it should cover</w:t>
      </w:r>
      <w:r w:rsidR="00700A94" w:rsidRPr="004D65CD">
        <w:t>.</w:t>
      </w:r>
    </w:p>
    <w:p w14:paraId="04294FE6" w14:textId="77777777" w:rsidR="00700A94" w:rsidRPr="00DD0479" w:rsidRDefault="00700A94" w:rsidP="00700A94">
      <w:pPr>
        <w:pStyle w:val="Heading2"/>
        <w:tabs>
          <w:tab w:val="left" w:pos="4403"/>
        </w:tabs>
        <w:ind w:left="851"/>
      </w:pPr>
      <w:r w:rsidRPr="00DD0479">
        <w:t xml:space="preserve">Transparency </w:t>
      </w:r>
      <w:r w:rsidRPr="00DD0479">
        <w:tab/>
      </w:r>
    </w:p>
    <w:p w14:paraId="3FEADC88" w14:textId="54F69E4F" w:rsidR="00700A94" w:rsidRPr="0006770B" w:rsidRDefault="00700A94" w:rsidP="00700A94">
      <w:pPr>
        <w:pStyle w:val="F9-Paragraph"/>
      </w:pPr>
      <w:r w:rsidRPr="00DD0479">
        <w:t xml:space="preserve">Optioneering should make clear the reasons why an option has been chosen and others discounted to support the overall demonstration that risks have been reduced </w:t>
      </w:r>
      <w:r w:rsidR="001C0EB6">
        <w:t xml:space="preserve">to </w:t>
      </w:r>
      <w:r w:rsidRPr="00DD0479">
        <w:t xml:space="preserve">ALARP. </w:t>
      </w:r>
      <w:r w:rsidRPr="00DD0479">
        <w:rPr>
          <w:iCs/>
        </w:rPr>
        <w:t>These reasons are expected to be presented in safety case documents produced by dutyholders</w:t>
      </w:r>
      <w:r w:rsidR="0002011C">
        <w:rPr>
          <w:iCs/>
        </w:rPr>
        <w:t>,</w:t>
      </w:r>
      <w:r w:rsidRPr="00DD0479">
        <w:rPr>
          <w:iCs/>
        </w:rPr>
        <w:t xml:space="preserve"> or by </w:t>
      </w:r>
      <w:r>
        <w:rPr>
          <w:iCs/>
        </w:rPr>
        <w:t>r</w:t>
      </w:r>
      <w:r w:rsidRPr="00DD0479">
        <w:rPr>
          <w:iCs/>
        </w:rPr>
        <w:t xml:space="preserve">equesting </w:t>
      </w:r>
      <w:r>
        <w:rPr>
          <w:iCs/>
        </w:rPr>
        <w:t>p</w:t>
      </w:r>
      <w:r w:rsidRPr="00DD0479">
        <w:rPr>
          <w:iCs/>
        </w:rPr>
        <w:t xml:space="preserve">arties under the GDA process </w:t>
      </w:r>
      <w:r w:rsidR="00D74605">
        <w:rPr>
          <w:iCs/>
        </w:rPr>
        <w:t>(refer to</w:t>
      </w:r>
      <w:r w:rsidRPr="00DD0479">
        <w:rPr>
          <w:iCs/>
        </w:rPr>
        <w:t xml:space="preserve"> paragraph 102 of </w:t>
      </w:r>
      <w:r w:rsidRPr="0006770B">
        <w:rPr>
          <w:iCs/>
        </w:rPr>
        <w:t>SAPs (ref.</w:t>
      </w:r>
      <w:sdt>
        <w:sdtPr>
          <w:rPr>
            <w:iCs/>
          </w:rPr>
          <w:id w:val="798800267"/>
          <w:citation/>
        </w:sdtPr>
        <w:sdtContent>
          <w:r w:rsidRPr="0006770B">
            <w:rPr>
              <w:iCs/>
            </w:rPr>
            <w:fldChar w:fldCharType="begin"/>
          </w:r>
          <w:r w:rsidR="00C67755">
            <w:rPr>
              <w:iCs/>
            </w:rPr>
            <w:instrText xml:space="preserve">CITATION Placeholder1 \l 2057 </w:instrText>
          </w:r>
          <w:r w:rsidRPr="0006770B">
            <w:rPr>
              <w:iCs/>
            </w:rPr>
            <w:fldChar w:fldCharType="separate"/>
          </w:r>
          <w:r w:rsidR="00C67755">
            <w:rPr>
              <w:iCs/>
              <w:noProof/>
            </w:rPr>
            <w:t xml:space="preserve"> </w:t>
          </w:r>
          <w:r w:rsidR="00C67755">
            <w:rPr>
              <w:noProof/>
            </w:rPr>
            <w:t>[1]</w:t>
          </w:r>
          <w:r w:rsidRPr="0006770B">
            <w:rPr>
              <w:iCs/>
            </w:rPr>
            <w:fldChar w:fldCharType="end"/>
          </w:r>
        </w:sdtContent>
      </w:sdt>
      <w:r w:rsidRPr="0006770B">
        <w:rPr>
          <w:iCs/>
        </w:rPr>
        <w:t>) concerning</w:t>
      </w:r>
      <w:r w:rsidRPr="00DD0479">
        <w:rPr>
          <w:iCs/>
        </w:rPr>
        <w:t xml:space="preserve"> safety case characteristics SC.4 which states</w:t>
      </w:r>
      <w:r>
        <w:rPr>
          <w:iCs/>
        </w:rPr>
        <w:t>:</w:t>
      </w:r>
      <w:r w:rsidRPr="00DD0479">
        <w:rPr>
          <w:iCs/>
        </w:rPr>
        <w:t xml:space="preserve"> </w:t>
      </w:r>
    </w:p>
    <w:p w14:paraId="301B2D2A" w14:textId="77777777" w:rsidR="00700A94" w:rsidRPr="00C35D86" w:rsidRDefault="00700A94" w:rsidP="00461C73">
      <w:pPr>
        <w:pStyle w:val="QuoteText"/>
      </w:pPr>
      <w:r w:rsidRPr="00C35D86">
        <w:t>“</w:t>
      </w:r>
      <w:r w:rsidRPr="000B1CF1">
        <w:t>the safety case should a) identify and document all the options considered for risk prevention or reduction b) provide evidence justifying the criteria used in decision making or option selection c) justify the options chosen</w:t>
      </w:r>
      <w:r>
        <w:t>”</w:t>
      </w:r>
    </w:p>
    <w:p w14:paraId="1DA08358" w14:textId="77777777" w:rsidR="00700A94" w:rsidRDefault="00700A94" w:rsidP="00700A94">
      <w:pPr>
        <w:pStyle w:val="Heading2"/>
        <w:tabs>
          <w:tab w:val="left" w:pos="6225"/>
        </w:tabs>
        <w:ind w:left="851"/>
      </w:pPr>
      <w:r w:rsidRPr="00763D3D">
        <w:t>Proportionality</w:t>
      </w:r>
      <w:r w:rsidRPr="00763D3D">
        <w:tab/>
      </w:r>
    </w:p>
    <w:p w14:paraId="31DB8DB4" w14:textId="2F32E1E0" w:rsidR="00700A94" w:rsidRDefault="00700A94" w:rsidP="00700A94">
      <w:pPr>
        <w:pStyle w:val="F9-Paragraph"/>
      </w:pPr>
      <w:r>
        <w:rPr>
          <w:iCs/>
          <w:kern w:val="32"/>
          <w:szCs w:val="28"/>
        </w:rPr>
        <w:t>O</w:t>
      </w:r>
      <w:r w:rsidRPr="00EC6605">
        <w:rPr>
          <w:iCs/>
          <w:kern w:val="32"/>
          <w:szCs w:val="28"/>
        </w:rPr>
        <w:t>ptioneering</w:t>
      </w:r>
      <w:r>
        <w:rPr>
          <w:iCs/>
          <w:kern w:val="32"/>
          <w:szCs w:val="28"/>
        </w:rPr>
        <w:t xml:space="preserve"> should give proportionate consideration to all options</w:t>
      </w:r>
      <w:r w:rsidRPr="00EC6605">
        <w:rPr>
          <w:iCs/>
          <w:kern w:val="32"/>
          <w:szCs w:val="28"/>
        </w:rPr>
        <w:t xml:space="preserve"> </w:t>
      </w:r>
      <w:r w:rsidRPr="00EC6605">
        <w:rPr>
          <w:iCs/>
        </w:rPr>
        <w:t>which could realistically improve safety, and then implement the option or combination of options</w:t>
      </w:r>
      <w:r w:rsidR="00E77B73">
        <w:rPr>
          <w:iCs/>
        </w:rPr>
        <w:t>,</w:t>
      </w:r>
      <w:r w:rsidRPr="00EC6605">
        <w:rPr>
          <w:iCs/>
        </w:rPr>
        <w:t xml:space="preserve"> which achieves the lowest level of risk provided this is reasonably </w:t>
      </w:r>
      <w:r w:rsidRPr="00F45C28">
        <w:rPr>
          <w:iCs/>
        </w:rPr>
        <w:t>practicable. The</w:t>
      </w:r>
      <w:r>
        <w:rPr>
          <w:iCs/>
        </w:rPr>
        <w:t xml:space="preserve"> depth and rigour of optioneering is always expected to be proportionate to the associated risk. </w:t>
      </w:r>
      <w:r w:rsidR="00F725F1">
        <w:t xml:space="preserve">For </w:t>
      </w:r>
      <w:r w:rsidR="00431168">
        <w:t xml:space="preserve">example, </w:t>
      </w:r>
      <w:r w:rsidR="00D27128">
        <w:t xml:space="preserve">for </w:t>
      </w:r>
      <w:r w:rsidR="002C6CA7">
        <w:t>situations</w:t>
      </w:r>
      <w:r w:rsidR="00124F75">
        <w:t xml:space="preserve"> </w:t>
      </w:r>
      <w:r w:rsidRPr="00EC6605">
        <w:t>wh</w:t>
      </w:r>
      <w:r w:rsidR="00F819C8">
        <w:t xml:space="preserve">ich lack </w:t>
      </w:r>
      <w:r w:rsidR="005F645B">
        <w:t xml:space="preserve">applicable </w:t>
      </w:r>
      <w:r w:rsidR="00F819C8">
        <w:t>RGP</w:t>
      </w:r>
      <w:r w:rsidR="00B80CE5">
        <w:t xml:space="preserve"> or</w:t>
      </w:r>
      <w:r w:rsidR="00973674">
        <w:t xml:space="preserve"> where</w:t>
      </w:r>
      <w:r w:rsidR="00F819C8">
        <w:t xml:space="preserve"> </w:t>
      </w:r>
      <w:r w:rsidR="00F41036">
        <w:t>the</w:t>
      </w:r>
      <w:r w:rsidR="009F17D7">
        <w:t xml:space="preserve"> solution </w:t>
      </w:r>
      <w:r w:rsidR="00977147">
        <w:t xml:space="preserve">has </w:t>
      </w:r>
      <w:r w:rsidRPr="00EC6605">
        <w:t>fall</w:t>
      </w:r>
      <w:r w:rsidR="00977147">
        <w:t>en</w:t>
      </w:r>
      <w:r w:rsidRPr="00EC6605">
        <w:t xml:space="preserve"> short </w:t>
      </w:r>
      <w:r w:rsidR="00BA5CFC">
        <w:t xml:space="preserve">of </w:t>
      </w:r>
      <w:r w:rsidR="005F645B">
        <w:t xml:space="preserve">applicable </w:t>
      </w:r>
      <w:r w:rsidR="00BA5CFC">
        <w:t>RGP</w:t>
      </w:r>
      <w:r w:rsidRPr="00EC6605">
        <w:t xml:space="preserve"> </w:t>
      </w:r>
      <w:r w:rsidR="00FB2B03">
        <w:t xml:space="preserve">in </w:t>
      </w:r>
      <w:r w:rsidRPr="00EC6605">
        <w:t>significant areas</w:t>
      </w:r>
      <w:r w:rsidR="00E11B4A">
        <w:t>,</w:t>
      </w:r>
      <w:r w:rsidR="00B60C7B">
        <w:t xml:space="preserve"> </w:t>
      </w:r>
      <w:r w:rsidRPr="00EC6605">
        <w:t xml:space="preserve">then </w:t>
      </w:r>
      <w:r w:rsidRPr="00F55EBF">
        <w:t>ONR expects the dutyholder to</w:t>
      </w:r>
      <w:r w:rsidR="008718C8">
        <w:t xml:space="preserve"> demonstrate that robust optioneering has been un</w:t>
      </w:r>
      <w:r w:rsidR="008C2478">
        <w:t>d</w:t>
      </w:r>
      <w:r w:rsidR="008718C8">
        <w:t>ertaken</w:t>
      </w:r>
      <w:r w:rsidR="008C2478">
        <w:t>.</w:t>
      </w:r>
      <w:r w:rsidRPr="00F55EBF">
        <w:t xml:space="preserve"> </w:t>
      </w:r>
    </w:p>
    <w:p w14:paraId="5FA91213" w14:textId="77777777" w:rsidR="005B2054" w:rsidRDefault="005B2054" w:rsidP="00700A94">
      <w:pPr>
        <w:pStyle w:val="F9-Paragraph"/>
        <w:sectPr w:rsidR="005B2054" w:rsidSect="007E1540">
          <w:pgSz w:w="11906" w:h="16838" w:code="9"/>
          <w:pgMar w:top="1440" w:right="1440" w:bottom="1440" w:left="1440" w:header="397" w:footer="397" w:gutter="0"/>
          <w:cols w:space="312"/>
          <w:docGrid w:linePitch="360"/>
        </w:sectPr>
      </w:pPr>
    </w:p>
    <w:p w14:paraId="5AB233F0" w14:textId="6326653F" w:rsidR="00700A94" w:rsidRDefault="00700A94" w:rsidP="00700A94">
      <w:pPr>
        <w:pStyle w:val="F9-Paragraph"/>
      </w:pPr>
      <w:r>
        <w:lastRenderedPageBreak/>
        <w:t xml:space="preserve">For design projects the optioneering should be proportionate to the scale and nature </w:t>
      </w:r>
      <w:r w:rsidRPr="002C675E">
        <w:t>of the project and should cover the whole intended life-cycle,</w:t>
      </w:r>
      <w:r>
        <w:t xml:space="preserve"> including end of operations and future decommissioning. </w:t>
      </w:r>
      <w:r w:rsidRPr="00EC6605">
        <w:t>For</w:t>
      </w:r>
      <w:r>
        <w:t xml:space="preserve"> major new, complex or novel projects </w:t>
      </w:r>
      <w:r w:rsidRPr="00EC6605">
        <w:t>involving staged safety case submissions</w:t>
      </w:r>
      <w:r w:rsidR="00D62C84">
        <w:t>,</w:t>
      </w:r>
      <w:r w:rsidRPr="00EC6605">
        <w:t xml:space="preserve"> optioneering</w:t>
      </w:r>
      <w:r>
        <w:t xml:space="preserve"> is expected to</w:t>
      </w:r>
      <w:r w:rsidRPr="00EC6605">
        <w:t xml:space="preserve"> </w:t>
      </w:r>
      <w:r>
        <w:t>branch out and cover individual functions of the design involving specialist disciplines. The process should converge upon a refined design solution covering each function while allowing root decision-making to be revisited</w:t>
      </w:r>
      <w:r w:rsidR="002C6CA7">
        <w:t xml:space="preserve">. If </w:t>
      </w:r>
      <w:r>
        <w:t xml:space="preserve">detailed options appear to challenge </w:t>
      </w:r>
      <w:r w:rsidRPr="00E82224">
        <w:t>good practice or</w:t>
      </w:r>
      <w:r>
        <w:t xml:space="preserve"> foreclose options covering other functions</w:t>
      </w:r>
      <w:r w:rsidR="002C6CA7">
        <w:t>, the process should allow for iteration</w:t>
      </w:r>
      <w:r>
        <w:t>. For simpler projects</w:t>
      </w:r>
      <w:r w:rsidR="00FE57B4">
        <w:t>,</w:t>
      </w:r>
      <w:r>
        <w:t xml:space="preserve"> only one </w:t>
      </w:r>
      <w:r w:rsidRPr="00C57F08">
        <w:t>iteration</w:t>
      </w:r>
      <w:r w:rsidRPr="00EC6605">
        <w:t xml:space="preserve"> </w:t>
      </w:r>
      <w:r>
        <w:t>may be required</w:t>
      </w:r>
      <w:r w:rsidR="00A902FB">
        <w:t>.</w:t>
      </w:r>
      <w:r>
        <w:t xml:space="preserve"> </w:t>
      </w:r>
      <w:r w:rsidR="00A902FB">
        <w:t>F</w:t>
      </w:r>
      <w:r>
        <w:t>or example</w:t>
      </w:r>
      <w:r w:rsidR="00F92F9F">
        <w:t>,</w:t>
      </w:r>
      <w:r>
        <w:t xml:space="preserve"> a modification to existing plant</w:t>
      </w:r>
      <w:r w:rsidR="00A976D4">
        <w:t>,</w:t>
      </w:r>
      <w:r>
        <w:t xml:space="preserve"> or where change is limited to the operation of the plant or its maintenance</w:t>
      </w:r>
      <w:r w:rsidR="00103144">
        <w:t>,</w:t>
      </w:r>
      <w:r>
        <w:t xml:space="preserve"> </w:t>
      </w:r>
      <w:r w:rsidR="00FB0ECD">
        <w:t>such as</w:t>
      </w:r>
      <w:r>
        <w:t xml:space="preserve"> de-rating of plant or enhanced inspection or monitoring. </w:t>
      </w:r>
    </w:p>
    <w:p w14:paraId="017F599B" w14:textId="77777777" w:rsidR="00700A94" w:rsidRDefault="00700A94" w:rsidP="00700A94">
      <w:pPr>
        <w:pStyle w:val="Heading2"/>
        <w:ind w:left="851"/>
      </w:pPr>
      <w:r w:rsidRPr="00361229">
        <w:t>Balance of Risk</w:t>
      </w:r>
    </w:p>
    <w:p w14:paraId="0D9D3381" w14:textId="0FDCDD24" w:rsidR="00700A94" w:rsidRPr="00BB769F" w:rsidRDefault="00700A94" w:rsidP="00700A94">
      <w:pPr>
        <w:pStyle w:val="F9-Paragraph"/>
      </w:pPr>
      <w:r w:rsidRPr="00284C8A">
        <w:t xml:space="preserve">Optioneering should </w:t>
      </w:r>
      <w:r w:rsidR="002C6CA7">
        <w:t>be</w:t>
      </w:r>
      <w:r w:rsidRPr="00284C8A">
        <w:t xml:space="preserve"> </w:t>
      </w:r>
      <w:r w:rsidR="00EE0DF9" w:rsidRPr="00284C8A">
        <w:t xml:space="preserve">proportionate </w:t>
      </w:r>
      <w:r w:rsidR="002C6CA7">
        <w:t>in taking into account</w:t>
      </w:r>
      <w:r w:rsidRPr="00284C8A">
        <w:t xml:space="preserve"> of the impact of all </w:t>
      </w:r>
      <w:r w:rsidR="00CE592C" w:rsidRPr="00284C8A">
        <w:t xml:space="preserve">relevant </w:t>
      </w:r>
      <w:r w:rsidR="00B62443" w:rsidRPr="00284C8A">
        <w:t xml:space="preserve">health and </w:t>
      </w:r>
      <w:r w:rsidR="00B62443" w:rsidRPr="00BB769F">
        <w:t xml:space="preserve">safety </w:t>
      </w:r>
      <w:r w:rsidRPr="00BB769F">
        <w:t xml:space="preserve">risks </w:t>
      </w:r>
      <w:r w:rsidR="00B62443" w:rsidRPr="00BB769F">
        <w:t xml:space="preserve">(including nuclear) </w:t>
      </w:r>
      <w:r w:rsidR="00A86650" w:rsidRPr="00BB769F">
        <w:t>along</w:t>
      </w:r>
      <w:r w:rsidR="001B5DDB" w:rsidRPr="00BB769F">
        <w:t>side</w:t>
      </w:r>
      <w:r w:rsidR="001D7D9D" w:rsidRPr="00BB769F">
        <w:t xml:space="preserve"> other constraints </w:t>
      </w:r>
      <w:r w:rsidRPr="00BB769F">
        <w:t xml:space="preserve">to reach a balanced decision. </w:t>
      </w:r>
      <w:r w:rsidR="00EA7FD2" w:rsidRPr="00BB769F">
        <w:rPr>
          <w:rStyle w:val="CommentReference"/>
          <w:sz w:val="24"/>
          <w:szCs w:val="24"/>
        </w:rPr>
        <w:t xml:space="preserve">Examples of </w:t>
      </w:r>
      <w:r w:rsidR="00942E55" w:rsidRPr="00BB769F">
        <w:rPr>
          <w:rStyle w:val="CommentReference"/>
          <w:sz w:val="24"/>
          <w:szCs w:val="24"/>
        </w:rPr>
        <w:t>other</w:t>
      </w:r>
      <w:r w:rsidR="00EA7FD2" w:rsidRPr="00BB769F">
        <w:rPr>
          <w:rStyle w:val="CommentReference"/>
          <w:sz w:val="24"/>
          <w:szCs w:val="24"/>
        </w:rPr>
        <w:t xml:space="preserve"> constraints </w:t>
      </w:r>
      <w:r w:rsidR="00D17B95" w:rsidRPr="00BB769F">
        <w:rPr>
          <w:rStyle w:val="CommentReference"/>
          <w:sz w:val="24"/>
          <w:szCs w:val="24"/>
        </w:rPr>
        <w:t>include</w:t>
      </w:r>
      <w:r w:rsidR="00EA7FD2" w:rsidRPr="00BB769F">
        <w:rPr>
          <w:rStyle w:val="CommentReference"/>
          <w:sz w:val="24"/>
          <w:szCs w:val="24"/>
        </w:rPr>
        <w:t xml:space="preserve"> other legislative requirements </w:t>
      </w:r>
      <w:r w:rsidR="00052BAA" w:rsidRPr="00BB769F">
        <w:rPr>
          <w:rStyle w:val="CommentReference"/>
          <w:sz w:val="24"/>
          <w:szCs w:val="24"/>
        </w:rPr>
        <w:t>covering</w:t>
      </w:r>
      <w:r w:rsidR="00EA7FD2" w:rsidRPr="00BB769F">
        <w:rPr>
          <w:rStyle w:val="CommentReference"/>
          <w:sz w:val="24"/>
          <w:szCs w:val="24"/>
        </w:rPr>
        <w:t xml:space="preserve"> </w:t>
      </w:r>
      <w:r w:rsidR="00BB769F">
        <w:rPr>
          <w:rStyle w:val="CommentReference"/>
          <w:sz w:val="24"/>
          <w:szCs w:val="24"/>
        </w:rPr>
        <w:t xml:space="preserve">safeguards, </w:t>
      </w:r>
      <w:r w:rsidR="00EA7FD2" w:rsidRPr="00BB769F">
        <w:rPr>
          <w:rStyle w:val="CommentReference"/>
          <w:sz w:val="24"/>
          <w:szCs w:val="24"/>
        </w:rPr>
        <w:t>security</w:t>
      </w:r>
      <w:r w:rsidR="00BB769F">
        <w:rPr>
          <w:rStyle w:val="CommentReference"/>
          <w:sz w:val="24"/>
          <w:szCs w:val="24"/>
        </w:rPr>
        <w:t>,</w:t>
      </w:r>
      <w:r w:rsidR="00EA7FD2" w:rsidRPr="00BB769F">
        <w:rPr>
          <w:rStyle w:val="CommentReference"/>
          <w:sz w:val="24"/>
          <w:szCs w:val="24"/>
        </w:rPr>
        <w:t xml:space="preserve"> and environment.</w:t>
      </w:r>
    </w:p>
    <w:p w14:paraId="62CD8513" w14:textId="77777777" w:rsidR="00700A94" w:rsidRPr="00BB769F" w:rsidRDefault="00700A94" w:rsidP="00700A94">
      <w:pPr>
        <w:pStyle w:val="Heading2"/>
        <w:ind w:left="851"/>
        <w:rPr>
          <w:color w:val="auto"/>
        </w:rPr>
      </w:pPr>
      <w:r w:rsidRPr="00E14388">
        <w:t>Key Optioneering Steps</w:t>
      </w:r>
    </w:p>
    <w:p w14:paraId="01770B80" w14:textId="271C5831" w:rsidR="00700A94" w:rsidRDefault="00700A94" w:rsidP="00700A94">
      <w:pPr>
        <w:pStyle w:val="F9-Paragraph"/>
      </w:pPr>
      <w:r w:rsidRPr="00313883">
        <w:t>Figure 3 illustrates an indicative optioneering process. This includes a number of steps up to the final decision-making step where one or more options may be selected for further design development and implementation.</w:t>
      </w:r>
    </w:p>
    <w:p w14:paraId="1D98ECBA" w14:textId="608CAE9C" w:rsidR="005B2054" w:rsidRPr="00EC6605" w:rsidRDefault="005B2054" w:rsidP="005B2054">
      <w:pPr>
        <w:pStyle w:val="F9-Paragraph"/>
      </w:pPr>
      <w:r w:rsidRPr="00206A92">
        <w:t xml:space="preserve">An optioneering process covering the key steps in </w:t>
      </w:r>
      <w:r w:rsidR="00543E80">
        <w:fldChar w:fldCharType="begin"/>
      </w:r>
      <w:r w:rsidR="00543E80">
        <w:instrText xml:space="preserve"> REF _Ref156484683 \h </w:instrText>
      </w:r>
      <w:r w:rsidR="00543E80">
        <w:fldChar w:fldCharType="separate"/>
      </w:r>
      <w:r w:rsidR="00543E80">
        <w:t xml:space="preserve">Figure </w:t>
      </w:r>
      <w:r w:rsidR="00543E80">
        <w:rPr>
          <w:noProof/>
        </w:rPr>
        <w:t>3</w:t>
      </w:r>
      <w:r w:rsidR="00543E80">
        <w:fldChar w:fldCharType="end"/>
      </w:r>
      <w:r w:rsidR="00543E80">
        <w:t xml:space="preserve"> </w:t>
      </w:r>
      <w:r w:rsidRPr="00206A92">
        <w:t xml:space="preserve">in a proportionate manner for the given circumstances could be considered </w:t>
      </w:r>
      <w:r>
        <w:t xml:space="preserve">by inspectors </w:t>
      </w:r>
      <w:r w:rsidRPr="00206A92">
        <w:t xml:space="preserve">to meet </w:t>
      </w:r>
      <w:r>
        <w:t>RGP</w:t>
      </w:r>
      <w:r w:rsidRPr="00206A92">
        <w:t>.</w:t>
      </w:r>
      <w:r>
        <w:t xml:space="preserve"> The points below expand upon these key steps:</w:t>
      </w:r>
    </w:p>
    <w:p w14:paraId="0EBE4F59" w14:textId="77777777" w:rsidR="005B2054" w:rsidRPr="00967E05" w:rsidRDefault="005B2054" w:rsidP="005B2054">
      <w:pPr>
        <w:pStyle w:val="Bulletlist1"/>
      </w:pPr>
      <w:r w:rsidRPr="00967E05">
        <w:t xml:space="preserve">Every option must meet the requirements/constraints informed by </w:t>
      </w:r>
      <w:r>
        <w:t xml:space="preserve">the applicable </w:t>
      </w:r>
      <w:r w:rsidRPr="00967E05">
        <w:t xml:space="preserve">defined standards, these being minimum standards </w:t>
      </w:r>
      <w:r>
        <w:t xml:space="preserve">as </w:t>
      </w:r>
      <w:r w:rsidRPr="00967E05">
        <w:t xml:space="preserve">specified by Acts, Regulations, Orders and </w:t>
      </w:r>
      <w:r>
        <w:t xml:space="preserve">appropriately informed by </w:t>
      </w:r>
      <w:r w:rsidRPr="00967E05">
        <w:t>ACoPs</w:t>
      </w:r>
      <w:r>
        <w:t>.</w:t>
      </w:r>
    </w:p>
    <w:p w14:paraId="35F6D084" w14:textId="77777777" w:rsidR="005B2054" w:rsidRPr="00967E05" w:rsidRDefault="005B2054" w:rsidP="005B2054">
      <w:pPr>
        <w:pStyle w:val="Bulletlist1"/>
      </w:pPr>
      <w:r w:rsidRPr="00967E05">
        <w:t xml:space="preserve">Each option </w:t>
      </w:r>
      <w:r>
        <w:t>should</w:t>
      </w:r>
      <w:r w:rsidRPr="00967E05">
        <w:t xml:space="preserve"> be informed by</w:t>
      </w:r>
      <w:r>
        <w:t xml:space="preserve"> </w:t>
      </w:r>
      <w:r w:rsidRPr="00967E05">
        <w:t>established standards, these being CoPs or other published or commonly known standards, for example SAPs</w:t>
      </w:r>
      <w:r>
        <w:t>.</w:t>
      </w:r>
      <w:r w:rsidRPr="00967E05">
        <w:t xml:space="preserve"> </w:t>
      </w:r>
    </w:p>
    <w:p w14:paraId="58AA20DB" w14:textId="77777777" w:rsidR="005B2054" w:rsidRPr="00967E05" w:rsidRDefault="005B2054" w:rsidP="005B2054">
      <w:pPr>
        <w:pStyle w:val="Bulletlist1"/>
      </w:pPr>
      <w:r w:rsidRPr="00967E05">
        <w:t xml:space="preserve">Each option should be evaluated against clearly selected factors including safety factors </w:t>
      </w:r>
      <w:r>
        <w:t>that</w:t>
      </w:r>
      <w:r w:rsidRPr="00967E05">
        <w:t xml:space="preserve"> cover all </w:t>
      </w:r>
      <w:r>
        <w:t xml:space="preserve">relevant </w:t>
      </w:r>
      <w:r w:rsidRPr="00967E05">
        <w:t xml:space="preserve">risks </w:t>
      </w:r>
      <w:r>
        <w:t xml:space="preserve">of harm </w:t>
      </w:r>
      <w:r w:rsidRPr="00967E05">
        <w:t>and which are accorded appropriate weighting and importance</w:t>
      </w:r>
      <w:r>
        <w:t>.</w:t>
      </w:r>
    </w:p>
    <w:p w14:paraId="11BB67A6" w14:textId="77777777" w:rsidR="005B2054" w:rsidRPr="00EC6605" w:rsidRDefault="005B2054" w:rsidP="005B2054">
      <w:pPr>
        <w:pStyle w:val="Bulletlist1"/>
        <w:rPr>
          <w:rFonts w:ascii="Lucida Grande" w:eastAsia="ヒラギノ角ゴ Pro W3" w:hAnsi="Symbol"/>
          <w:color w:val="000000"/>
        </w:rPr>
      </w:pPr>
      <w:r>
        <w:t>When evaluating the options, p</w:t>
      </w:r>
      <w:r w:rsidRPr="00EC6605">
        <w:t xml:space="preserve">riority should be given to achieving an overall balance of </w:t>
      </w:r>
      <w:r>
        <w:t>risk that is ALARP.</w:t>
      </w:r>
    </w:p>
    <w:p w14:paraId="5D8408F8" w14:textId="77777777" w:rsidR="005B2054" w:rsidRPr="006D1E14" w:rsidRDefault="005B2054" w:rsidP="005B2054">
      <w:pPr>
        <w:pStyle w:val="Bulletlist1"/>
        <w:rPr>
          <w:rFonts w:ascii="Lucida Grande" w:eastAsia="ヒラギノ角ゴ Pro W3" w:hAnsi="Symbol"/>
          <w:color w:val="000000"/>
        </w:rPr>
      </w:pPr>
      <w:r>
        <w:lastRenderedPageBreak/>
        <w:t>Evaluation s</w:t>
      </w:r>
      <w:r w:rsidRPr="00EC6605">
        <w:t xml:space="preserve">hould prioritise </w:t>
      </w:r>
      <w:r>
        <w:t>options which minimise risk over life and for accident risks generally prioritise options with characteristics as</w:t>
      </w:r>
      <w:r w:rsidRPr="00EC6605">
        <w:t xml:space="preserve"> near </w:t>
      </w:r>
      <w:r>
        <w:t xml:space="preserve">as possible </w:t>
      </w:r>
      <w:r w:rsidRPr="00EC6605">
        <w:t>to the top of the following list:</w:t>
      </w:r>
    </w:p>
    <w:p w14:paraId="2D58FEBE" w14:textId="77777777" w:rsidR="005B2054" w:rsidRPr="008468D5" w:rsidRDefault="005B2054" w:rsidP="005B2054">
      <w:pPr>
        <w:pStyle w:val="Bulletlist2"/>
        <w:numPr>
          <w:ilvl w:val="2"/>
          <w:numId w:val="44"/>
        </w:numPr>
      </w:pPr>
      <w:r>
        <w:t>a</w:t>
      </w:r>
      <w:r w:rsidRPr="00EC6605">
        <w:t>void</w:t>
      </w:r>
      <w:r>
        <w:t>ance of</w:t>
      </w:r>
      <w:r w:rsidRPr="00EC6605">
        <w:t xml:space="preserve"> the hazard;</w:t>
      </w:r>
    </w:p>
    <w:p w14:paraId="4A318109" w14:textId="77777777" w:rsidR="005B2054" w:rsidRPr="008468D5" w:rsidRDefault="005B2054" w:rsidP="005B2054">
      <w:pPr>
        <w:pStyle w:val="Bulletlist2"/>
        <w:numPr>
          <w:ilvl w:val="2"/>
          <w:numId w:val="44"/>
        </w:numPr>
      </w:pPr>
      <w:r w:rsidRPr="00EC6605">
        <w:t>fault toleran</w:t>
      </w:r>
      <w:r>
        <w:t>t design</w:t>
      </w:r>
      <w:r w:rsidRPr="00EC6605">
        <w:t>;</w:t>
      </w:r>
    </w:p>
    <w:p w14:paraId="68301115" w14:textId="77777777" w:rsidR="005B2054" w:rsidRPr="008468D5" w:rsidRDefault="005B2054" w:rsidP="005B2054">
      <w:pPr>
        <w:pStyle w:val="Bulletlist2"/>
        <w:numPr>
          <w:ilvl w:val="2"/>
          <w:numId w:val="44"/>
        </w:numPr>
      </w:pPr>
      <w:r>
        <w:t>passive safety measures that do not rely on control systems, active safety systems or human intervention</w:t>
      </w:r>
      <w:r w:rsidRPr="00EC6605">
        <w:t>;</w:t>
      </w:r>
    </w:p>
    <w:p w14:paraId="170C322A" w14:textId="77777777" w:rsidR="005B2054" w:rsidRPr="008468D5" w:rsidRDefault="005B2054" w:rsidP="005B2054">
      <w:pPr>
        <w:pStyle w:val="Bulletlist2"/>
        <w:numPr>
          <w:ilvl w:val="2"/>
          <w:numId w:val="44"/>
        </w:numPr>
      </w:pPr>
      <w:r>
        <w:t>automatically initiated safety measures in preference to manually</w:t>
      </w:r>
      <w:r w:rsidRPr="00EC6605">
        <w:t>;</w:t>
      </w:r>
    </w:p>
    <w:p w14:paraId="49ED3F70" w14:textId="77777777" w:rsidR="005B2054" w:rsidRPr="008468D5" w:rsidRDefault="005B2054" w:rsidP="005B2054">
      <w:pPr>
        <w:pStyle w:val="Bulletlist2"/>
        <w:numPr>
          <w:ilvl w:val="2"/>
          <w:numId w:val="44"/>
        </w:numPr>
      </w:pPr>
      <w:r>
        <w:t xml:space="preserve">safety measures which prevent or protect in preference to </w:t>
      </w:r>
      <w:r w:rsidRPr="00EC6605">
        <w:t>mitigate</w:t>
      </w:r>
      <w:r>
        <w:t>.</w:t>
      </w:r>
    </w:p>
    <w:p w14:paraId="2DA77EC9" w14:textId="70F093CE" w:rsidR="005B2054" w:rsidRPr="00447F82" w:rsidRDefault="005B2054" w:rsidP="005B2054">
      <w:pPr>
        <w:pStyle w:val="Bulletlist1"/>
      </w:pPr>
      <w:r w:rsidRPr="00F95FD7">
        <w:t xml:space="preserve">When </w:t>
      </w:r>
      <w:r>
        <w:t>evaluating the</w:t>
      </w:r>
      <w:r w:rsidRPr="00F95FD7">
        <w:t xml:space="preserve"> options</w:t>
      </w:r>
      <w:r>
        <w:t>,</w:t>
      </w:r>
      <w:r w:rsidRPr="00F95FD7">
        <w:t xml:space="preserve"> implementation time can be an important </w:t>
      </w:r>
      <w:r>
        <w:t xml:space="preserve">factor </w:t>
      </w:r>
      <w:r w:rsidRPr="00F95FD7">
        <w:t>for existing facilities where risk is already present. A risk</w:t>
      </w:r>
      <w:r>
        <w:t>-</w:t>
      </w:r>
      <w:r w:rsidRPr="00F95FD7">
        <w:t xml:space="preserve">reduction option </w:t>
      </w:r>
      <w:r>
        <w:t xml:space="preserve">or combination of options </w:t>
      </w:r>
      <w:r w:rsidRPr="00F95FD7">
        <w:t>which can be implemented sooner may remove more risk over remaining life than a more capable or robust option which takes longer to implement. In these circumstances the dutyholder should be able to demonstrate how the optimal risk reduction option has been reached.</w:t>
      </w:r>
    </w:p>
    <w:p w14:paraId="0DB7A95C" w14:textId="77777777" w:rsidR="005B2054" w:rsidRPr="00EC6605" w:rsidRDefault="005B2054" w:rsidP="005B2054">
      <w:pPr>
        <w:pStyle w:val="Bulletlist1"/>
        <w:rPr>
          <w:rFonts w:ascii="Lucida Grande" w:eastAsia="ヒラギノ角ゴ Pro W3" w:hAnsi="Symbol"/>
          <w:color w:val="000000"/>
        </w:rPr>
      </w:pPr>
      <w:r>
        <w:t xml:space="preserve">The study team should cover </w:t>
      </w:r>
      <w:r w:rsidRPr="00EC6605">
        <w:t>all relevant engineering disciplines</w:t>
      </w:r>
      <w:r>
        <w:t xml:space="preserve"> and</w:t>
      </w:r>
      <w:r w:rsidRPr="00EC6605">
        <w:t xml:space="preserve"> operat</w:t>
      </w:r>
      <w:r>
        <w:t xml:space="preserve">ing and maintenance roles and always cover the potential </w:t>
      </w:r>
      <w:r w:rsidRPr="00EC6605">
        <w:t>safety case</w:t>
      </w:r>
      <w:r>
        <w:t xml:space="preserve"> </w:t>
      </w:r>
      <w:r w:rsidRPr="00EC6605">
        <w:t xml:space="preserve">and human </w:t>
      </w:r>
      <w:r>
        <w:t>performance impact.</w:t>
      </w:r>
    </w:p>
    <w:p w14:paraId="59E8D4B5" w14:textId="77777777" w:rsidR="005B2054" w:rsidRPr="00EC6605" w:rsidRDefault="005B2054" w:rsidP="005B2054">
      <w:pPr>
        <w:pStyle w:val="Bulletlist1"/>
        <w:rPr>
          <w:rFonts w:ascii="Lucida Grande" w:eastAsia="ヒラギノ角ゴ Pro W3" w:hAnsi="Symbol"/>
          <w:color w:val="000000"/>
        </w:rPr>
      </w:pPr>
      <w:r>
        <w:t>Decisions</w:t>
      </w:r>
      <w:r w:rsidRPr="00EC6605">
        <w:t xml:space="preserve"> should be recorded</w:t>
      </w:r>
      <w:r>
        <w:t xml:space="preserve"> along with the rationale behind them.</w:t>
      </w:r>
    </w:p>
    <w:p w14:paraId="54351CFD" w14:textId="77777777" w:rsidR="005B2054" w:rsidRPr="00230187" w:rsidRDefault="005B2054" w:rsidP="005B2054">
      <w:pPr>
        <w:pStyle w:val="Bulletlist1"/>
        <w:rPr>
          <w:rFonts w:ascii="Lucida Grande" w:eastAsia="ヒラギノ角ゴ Pro W3" w:hAnsi="Symbol"/>
          <w:color w:val="000000"/>
        </w:rPr>
      </w:pPr>
      <w:r>
        <w:t>Study reports</w:t>
      </w:r>
      <w:r w:rsidRPr="00EC6605">
        <w:t xml:space="preserve"> should be produced in advance</w:t>
      </w:r>
      <w:r w:rsidRPr="00EC6605">
        <w:rPr>
          <w:b/>
        </w:rPr>
        <w:t xml:space="preserve"> </w:t>
      </w:r>
      <w:r w:rsidRPr="00EC6605">
        <w:t xml:space="preserve">of making </w:t>
      </w:r>
      <w:r>
        <w:t>decisions and</w:t>
      </w:r>
      <w:r w:rsidRPr="00EC6605">
        <w:t xml:space="preserve"> appropriatel</w:t>
      </w:r>
      <w:r>
        <w:t>y maintained as records supporting the safety case.</w:t>
      </w:r>
    </w:p>
    <w:p w14:paraId="408085C7" w14:textId="2AD0ACCF" w:rsidR="005B2054" w:rsidRPr="00313883" w:rsidRDefault="005B2054" w:rsidP="005B2054">
      <w:pPr>
        <w:pStyle w:val="Bulletlist1"/>
      </w:pPr>
      <w:r>
        <w:t>For</w:t>
      </w:r>
      <w:r w:rsidRPr="00EC6605">
        <w:t xml:space="preserve"> major projects/GDA</w:t>
      </w:r>
      <w:r>
        <w:t xml:space="preserve">, optioneering </w:t>
      </w:r>
      <w:r w:rsidRPr="00EC6605">
        <w:t>is expected to be an ongoing process which</w:t>
      </w:r>
      <w:r>
        <w:t xml:space="preserve"> branches into</w:t>
      </w:r>
      <w:r w:rsidRPr="00EC6605">
        <w:t xml:space="preserve"> increasing levels of design detail</w:t>
      </w:r>
      <w:r>
        <w:t xml:space="preserve"> and engages a wider spread of specialist disciplines</w:t>
      </w:r>
      <w:r w:rsidRPr="00EC6605">
        <w:t xml:space="preserve"> as successive milestones are reached</w:t>
      </w:r>
      <w:r>
        <w:t>, and the associated safety case is developed. On</w:t>
      </w:r>
      <w:r w:rsidRPr="00EC6605">
        <w:t xml:space="preserve"> reaching </w:t>
      </w:r>
      <w:r>
        <w:t>milestones a final review should</w:t>
      </w:r>
      <w:r w:rsidRPr="00EC6605">
        <w:t xml:space="preserve"> confirm that </w:t>
      </w:r>
      <w:r>
        <w:t xml:space="preserve">key </w:t>
      </w:r>
      <w:r w:rsidRPr="00EC6605">
        <w:t>assumptions remain valid</w:t>
      </w:r>
      <w:r>
        <w:t>,</w:t>
      </w:r>
      <w:r w:rsidRPr="00EC6605">
        <w:t xml:space="preserve"> and that the design continues to meet them before the </w:t>
      </w:r>
      <w:r>
        <w:t>relevant approval.</w:t>
      </w:r>
    </w:p>
    <w:p w14:paraId="434A7846" w14:textId="77777777" w:rsidR="00543E80" w:rsidRDefault="00700A94" w:rsidP="00543E80">
      <w:pPr>
        <w:pStyle w:val="F9-Paragraph"/>
        <w:keepNext/>
        <w:numPr>
          <w:ilvl w:val="0"/>
          <w:numId w:val="0"/>
        </w:numPr>
        <w:jc w:val="center"/>
      </w:pPr>
      <w:r>
        <w:rPr>
          <w:noProof/>
        </w:rPr>
        <w:lastRenderedPageBreak/>
        <w:drawing>
          <wp:inline distT="0" distB="0" distL="0" distR="0" wp14:anchorId="2AA1723A" wp14:editId="546E5323">
            <wp:extent cx="5503545" cy="5710238"/>
            <wp:effectExtent l="0" t="0" r="1905" b="5080"/>
            <wp:doc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3776" cy="5793483"/>
                    </a:xfrm>
                    <a:prstGeom prst="rect">
                      <a:avLst/>
                    </a:prstGeom>
                    <a:noFill/>
                  </pic:spPr>
                </pic:pic>
              </a:graphicData>
            </a:graphic>
          </wp:inline>
        </w:drawing>
      </w:r>
    </w:p>
    <w:p w14:paraId="4F00E459" w14:textId="5923F61F" w:rsidR="00700A94" w:rsidRDefault="00543E80" w:rsidP="00543E80">
      <w:pPr>
        <w:pStyle w:val="Caption"/>
        <w:jc w:val="center"/>
      </w:pPr>
      <w:bookmarkStart w:id="16" w:name="_Ref156484683"/>
      <w:r>
        <w:t xml:space="preserve">Figure </w:t>
      </w:r>
      <w:fldSimple w:instr=" SEQ Figure \* ARABIC ">
        <w:r>
          <w:rPr>
            <w:noProof/>
          </w:rPr>
          <w:t>3</w:t>
        </w:r>
      </w:fldSimple>
      <w:bookmarkEnd w:id="16"/>
      <w:r>
        <w:t xml:space="preserve"> - </w:t>
      </w:r>
      <w:r w:rsidRPr="003D74E9">
        <w:t>Indicative optioneering process</w:t>
      </w:r>
    </w:p>
    <w:sectPr w:rsidR="00700A94" w:rsidSect="007E154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EF70" w14:textId="77777777" w:rsidR="00C94835" w:rsidRDefault="00C94835" w:rsidP="007D199A">
      <w:pPr>
        <w:spacing w:after="0"/>
      </w:pPr>
      <w:r>
        <w:separator/>
      </w:r>
    </w:p>
    <w:p w14:paraId="30AB4712" w14:textId="77777777" w:rsidR="00C94835" w:rsidRDefault="00C94835"/>
    <w:p w14:paraId="35D25DE6" w14:textId="77777777" w:rsidR="00C94835" w:rsidRDefault="00C94835"/>
  </w:endnote>
  <w:endnote w:type="continuationSeparator" w:id="0">
    <w:p w14:paraId="763D39D1" w14:textId="77777777" w:rsidR="00C94835" w:rsidRDefault="00C94835" w:rsidP="007D199A">
      <w:pPr>
        <w:spacing w:after="0"/>
      </w:pPr>
      <w:r>
        <w:continuationSeparator/>
      </w:r>
    </w:p>
    <w:p w14:paraId="25DFF692" w14:textId="77777777" w:rsidR="00C94835" w:rsidRDefault="00C94835"/>
    <w:p w14:paraId="1C030B65" w14:textId="77777777" w:rsidR="00C94835" w:rsidRDefault="00C94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Courier New"/>
    <w:charset w:val="00"/>
    <w:family w:val="auto"/>
    <w:pitch w:val="variable"/>
    <w:sig w:usb0="03000000"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8353" w14:textId="1880C988" w:rsidR="005A1D9C" w:rsidRPr="005A1D9C" w:rsidRDefault="00D74605" w:rsidP="005A1D9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41292" w14:textId="77777777" w:rsidR="00C94835" w:rsidRPr="005E0344" w:rsidRDefault="00C94835" w:rsidP="005E0344">
      <w:pPr>
        <w:spacing w:after="120"/>
        <w:rPr>
          <w:color w:val="000000" w:themeColor="text2"/>
        </w:rPr>
      </w:pPr>
      <w:r w:rsidRPr="005E0344">
        <w:rPr>
          <w:color w:val="000000" w:themeColor="text2"/>
        </w:rPr>
        <w:separator/>
      </w:r>
    </w:p>
    <w:p w14:paraId="70196984" w14:textId="77777777" w:rsidR="00C94835" w:rsidRDefault="00C94835"/>
  </w:footnote>
  <w:footnote w:type="continuationSeparator" w:id="0">
    <w:p w14:paraId="6EE50324" w14:textId="77777777" w:rsidR="00C94835" w:rsidRPr="005E0344" w:rsidRDefault="00C94835" w:rsidP="0090581D">
      <w:pPr>
        <w:spacing w:after="120"/>
        <w:rPr>
          <w:color w:val="000000" w:themeColor="text2"/>
        </w:rPr>
      </w:pPr>
      <w:r w:rsidRPr="005E0344">
        <w:rPr>
          <w:color w:val="000000" w:themeColor="text2"/>
        </w:rPr>
        <w:continuationSeparator/>
      </w:r>
    </w:p>
    <w:p w14:paraId="62B66F04" w14:textId="77777777" w:rsidR="00C94835" w:rsidRDefault="00C94835"/>
    <w:p w14:paraId="0BCDDEDF" w14:textId="77777777" w:rsidR="00C94835" w:rsidRDefault="00C94835"/>
  </w:footnote>
  <w:footnote w:type="continuationNotice" w:id="1">
    <w:p w14:paraId="38F748E6" w14:textId="77777777" w:rsidR="00C94835" w:rsidRDefault="00C94835">
      <w:pPr>
        <w:spacing w:after="0"/>
      </w:pPr>
    </w:p>
    <w:p w14:paraId="01B475A7" w14:textId="77777777" w:rsidR="00C94835" w:rsidRDefault="00C94835"/>
    <w:p w14:paraId="03122FD5" w14:textId="77777777" w:rsidR="00C94835" w:rsidRDefault="00C94835"/>
  </w:footnote>
  <w:footnote w:id="2">
    <w:p w14:paraId="446BAAD9" w14:textId="2965B261" w:rsidR="000119C9" w:rsidRDefault="000119C9">
      <w:pPr>
        <w:pStyle w:val="FootnoteText"/>
      </w:pPr>
      <w:r>
        <w:rPr>
          <w:rStyle w:val="FootnoteReference"/>
        </w:rPr>
        <w:footnoteRef/>
      </w:r>
      <w:r>
        <w:t xml:space="preserve"> R v Board of Trustees of Science Museum [1993] ECWA Crim 2 reinforced this definition, but also established that a risk does not have to be realised</w:t>
      </w:r>
      <w:r w:rsidRPr="000119C9">
        <w:t xml:space="preserve"> </w:t>
      </w:r>
      <w:r>
        <w:t>in the context of health and safety legislation</w:t>
      </w:r>
    </w:p>
  </w:footnote>
  <w:footnote w:id="3">
    <w:p w14:paraId="67923C0F" w14:textId="2DDA2222" w:rsidR="00762EAB" w:rsidRDefault="00762EAB">
      <w:pPr>
        <w:pStyle w:val="FootnoteText"/>
      </w:pPr>
      <w:r>
        <w:rPr>
          <w:rStyle w:val="FootnoteReference"/>
        </w:rPr>
        <w:footnoteRef/>
      </w:r>
      <w:r>
        <w:t xml:space="preserve"> R v Tangerine Confetionery Ltd and Veolia (UK) ES Ltd </w:t>
      </w:r>
      <w:r w:rsidR="00F2493D">
        <w:t>[2011] EWCA Crim 2015</w:t>
      </w:r>
    </w:p>
  </w:footnote>
  <w:footnote w:id="4">
    <w:p w14:paraId="4CD8E7F5" w14:textId="795E1557" w:rsidR="00F2493D" w:rsidRDefault="00F2493D">
      <w:pPr>
        <w:pStyle w:val="FootnoteText"/>
      </w:pPr>
      <w:r>
        <w:rPr>
          <w:rStyle w:val="FootnoteReference"/>
        </w:rPr>
        <w:footnoteRef/>
      </w:r>
      <w:r>
        <w:t xml:space="preserve"> </w:t>
      </w:r>
      <w:r w:rsidRPr="00F2493D">
        <w:t>Edwards v National Coal Board [1949] 1 ALL ER 743 (CA)</w:t>
      </w:r>
    </w:p>
  </w:footnote>
  <w:footnote w:id="5">
    <w:p w14:paraId="32DE4EBA" w14:textId="3A6D4552" w:rsidR="00907916" w:rsidRDefault="00907916">
      <w:pPr>
        <w:pStyle w:val="FootnoteText"/>
      </w:pPr>
      <w:r>
        <w:rPr>
          <w:rStyle w:val="FootnoteReference"/>
        </w:rPr>
        <w:footnoteRef/>
      </w:r>
      <w:r>
        <w:t xml:space="preserve"> Including Code of Practice approved under The Energy Act 2013</w:t>
      </w:r>
      <w:r w:rsidR="00732B8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E4D14DD"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468D5">
          <w:rPr>
            <w:sz w:val="20"/>
            <w:szCs w:val="24"/>
          </w:rPr>
          <w:t>Regulating duties to reduce risks to ALARP</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C592A">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4"/>
    <w:multiLevelType w:val="multilevel"/>
    <w:tmpl w:val="50C058DE"/>
    <w:numStyleLink w:val="List17"/>
  </w:abstractNum>
  <w:abstractNum w:abstractNumId="11"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012CBE"/>
    <w:multiLevelType w:val="hybridMultilevel"/>
    <w:tmpl w:val="6718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4D43E8C"/>
    <w:multiLevelType w:val="hybridMultilevel"/>
    <w:tmpl w:val="50C058DE"/>
    <w:styleLink w:val="List17"/>
    <w:lvl w:ilvl="0" w:tplc="FFFFFFFF">
      <w:start w:val="1"/>
      <w:numFmt w:val="bullet"/>
      <w:pStyle w:val="StyleBullet2Left1Firstline0"/>
      <w:lvlText w:val=""/>
      <w:lvlJc w:val="left"/>
      <w:pPr>
        <w:tabs>
          <w:tab w:val="num" w:pos="1174"/>
        </w:tabs>
        <w:ind w:left="117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E23D1C"/>
    <w:multiLevelType w:val="hybridMultilevel"/>
    <w:tmpl w:val="E594EA38"/>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F">
      <w:start w:val="1"/>
      <w:numFmt w:val="decimal"/>
      <w:lvlText w:val="%2."/>
      <w:lvlJc w:val="left"/>
      <w:pPr>
        <w:ind w:left="1440" w:hanging="360"/>
      </w:pPr>
    </w:lvl>
    <w:lvl w:ilvl="2" w:tplc="08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957587"/>
    <w:multiLevelType w:val="multilevel"/>
    <w:tmpl w:val="EED4C9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F2122"/>
    <w:multiLevelType w:val="hybridMultilevel"/>
    <w:tmpl w:val="B6508CB0"/>
    <w:lvl w:ilvl="0" w:tplc="D2CEBA5A">
      <w:numFmt w:val="bullet"/>
      <w:lvlText w:val="-"/>
      <w:lvlJc w:val="left"/>
      <w:pPr>
        <w:tabs>
          <w:tab w:val="num" w:pos="-31680"/>
        </w:tabs>
        <w:ind w:left="2160" w:hanging="720"/>
      </w:pPr>
      <w:rPr>
        <w:rFonts w:ascii="Arial" w:eastAsia="Times New Roman" w:hAnsi="Arial" w:cs="Aria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623191987">
    <w:abstractNumId w:val="9"/>
  </w:num>
  <w:num w:numId="2" w16cid:durableId="848714583">
    <w:abstractNumId w:val="7"/>
  </w:num>
  <w:num w:numId="3" w16cid:durableId="1863277957">
    <w:abstractNumId w:val="6"/>
  </w:num>
  <w:num w:numId="4" w16cid:durableId="1078550533">
    <w:abstractNumId w:val="5"/>
  </w:num>
  <w:num w:numId="5" w16cid:durableId="1349716161">
    <w:abstractNumId w:val="4"/>
  </w:num>
  <w:num w:numId="6" w16cid:durableId="922107673">
    <w:abstractNumId w:val="8"/>
  </w:num>
  <w:num w:numId="7" w16cid:durableId="2075740755">
    <w:abstractNumId w:val="3"/>
  </w:num>
  <w:num w:numId="8" w16cid:durableId="259602520">
    <w:abstractNumId w:val="2"/>
  </w:num>
  <w:num w:numId="9" w16cid:durableId="1222522492">
    <w:abstractNumId w:val="1"/>
  </w:num>
  <w:num w:numId="10" w16cid:durableId="850753302">
    <w:abstractNumId w:val="0"/>
  </w:num>
  <w:num w:numId="11" w16cid:durableId="1535188364">
    <w:abstractNumId w:val="15"/>
  </w:num>
  <w:num w:numId="12" w16cid:durableId="672562017">
    <w:abstractNumId w:val="26"/>
  </w:num>
  <w:num w:numId="13" w16cid:durableId="927931140">
    <w:abstractNumId w:val="19"/>
  </w:num>
  <w:num w:numId="14" w16cid:durableId="1919823478">
    <w:abstractNumId w:val="17"/>
  </w:num>
  <w:num w:numId="15" w16cid:durableId="1201280875">
    <w:abstractNumId w:val="26"/>
    <w:lvlOverride w:ilvl="0">
      <w:startOverride w:val="1"/>
    </w:lvlOverride>
  </w:num>
  <w:num w:numId="16" w16cid:durableId="294336675">
    <w:abstractNumId w:val="19"/>
    <w:lvlOverride w:ilvl="0">
      <w:startOverride w:val="1"/>
    </w:lvlOverride>
  </w:num>
  <w:num w:numId="17" w16cid:durableId="1640375458">
    <w:abstractNumId w:val="17"/>
    <w:lvlOverride w:ilvl="0">
      <w:startOverride w:val="1"/>
    </w:lvlOverride>
  </w:num>
  <w:num w:numId="18" w16cid:durableId="877737588">
    <w:abstractNumId w:val="25"/>
  </w:num>
  <w:num w:numId="19" w16cid:durableId="1144813072">
    <w:abstractNumId w:val="23"/>
  </w:num>
  <w:num w:numId="20" w16cid:durableId="1638296266">
    <w:abstractNumId w:val="16"/>
  </w:num>
  <w:num w:numId="21" w16cid:durableId="12733691">
    <w:abstractNumId w:val="27"/>
  </w:num>
  <w:num w:numId="22" w16cid:durableId="1206604504">
    <w:abstractNumId w:val="22"/>
  </w:num>
  <w:num w:numId="23" w16cid:durableId="1272979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018518">
    <w:abstractNumId w:val="22"/>
  </w:num>
  <w:num w:numId="25" w16cid:durableId="617558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614516">
    <w:abstractNumId w:val="28"/>
  </w:num>
  <w:num w:numId="27" w16cid:durableId="793251857">
    <w:abstractNumId w:val="13"/>
  </w:num>
  <w:num w:numId="28" w16cid:durableId="234055474">
    <w:abstractNumId w:val="11"/>
  </w:num>
  <w:num w:numId="29" w16cid:durableId="19377130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993139">
    <w:abstractNumId w:val="21"/>
  </w:num>
  <w:num w:numId="31" w16cid:durableId="683021361">
    <w:abstractNumId w:val="12"/>
  </w:num>
  <w:num w:numId="32" w16cid:durableId="895895471">
    <w:abstractNumId w:val="22"/>
  </w:num>
  <w:num w:numId="33" w16cid:durableId="1301888486">
    <w:abstractNumId w:val="22"/>
  </w:num>
  <w:num w:numId="34" w16cid:durableId="1771118725">
    <w:abstractNumId w:val="18"/>
  </w:num>
  <w:num w:numId="35" w16cid:durableId="1265767839">
    <w:abstractNumId w:val="14"/>
  </w:num>
  <w:num w:numId="36" w16cid:durableId="386300317">
    <w:abstractNumId w:val="10"/>
  </w:num>
  <w:num w:numId="37" w16cid:durableId="1499617027">
    <w:abstractNumId w:val="24"/>
  </w:num>
  <w:num w:numId="38" w16cid:durableId="1145391075">
    <w:abstractNumId w:val="26"/>
  </w:num>
  <w:num w:numId="39" w16cid:durableId="1952853142">
    <w:abstractNumId w:val="26"/>
  </w:num>
  <w:num w:numId="40" w16cid:durableId="1610232378">
    <w:abstractNumId w:val="26"/>
  </w:num>
  <w:num w:numId="41" w16cid:durableId="982199610">
    <w:abstractNumId w:val="26"/>
  </w:num>
  <w:num w:numId="42" w16cid:durableId="1219783619">
    <w:abstractNumId w:val="26"/>
  </w:num>
  <w:num w:numId="43" w16cid:durableId="1897278874">
    <w:abstractNumId w:val="22"/>
  </w:num>
  <w:num w:numId="44" w16cid:durableId="271011955">
    <w:abstractNumId w:val="20"/>
  </w:num>
  <w:num w:numId="45" w16cid:durableId="15554595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51275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0383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6"/>
    <w:rsid w:val="000005E1"/>
    <w:rsid w:val="00001B3D"/>
    <w:rsid w:val="000029C3"/>
    <w:rsid w:val="00002F03"/>
    <w:rsid w:val="00004C16"/>
    <w:rsid w:val="00004D7A"/>
    <w:rsid w:val="00004D90"/>
    <w:rsid w:val="00004D99"/>
    <w:rsid w:val="000059B3"/>
    <w:rsid w:val="00006FEB"/>
    <w:rsid w:val="0001114A"/>
    <w:rsid w:val="00011177"/>
    <w:rsid w:val="000119C9"/>
    <w:rsid w:val="00011A4C"/>
    <w:rsid w:val="00011D14"/>
    <w:rsid w:val="0001217A"/>
    <w:rsid w:val="00013C04"/>
    <w:rsid w:val="00014814"/>
    <w:rsid w:val="00014EF6"/>
    <w:rsid w:val="00017122"/>
    <w:rsid w:val="00017612"/>
    <w:rsid w:val="0002011C"/>
    <w:rsid w:val="000202D5"/>
    <w:rsid w:val="00020DFE"/>
    <w:rsid w:val="00021547"/>
    <w:rsid w:val="0002250C"/>
    <w:rsid w:val="00023554"/>
    <w:rsid w:val="000238FF"/>
    <w:rsid w:val="000241F5"/>
    <w:rsid w:val="00024522"/>
    <w:rsid w:val="00024B2E"/>
    <w:rsid w:val="0002619D"/>
    <w:rsid w:val="00027721"/>
    <w:rsid w:val="00027F4F"/>
    <w:rsid w:val="00030430"/>
    <w:rsid w:val="0003078E"/>
    <w:rsid w:val="00031B89"/>
    <w:rsid w:val="000320D0"/>
    <w:rsid w:val="00032564"/>
    <w:rsid w:val="00032908"/>
    <w:rsid w:val="00032F62"/>
    <w:rsid w:val="000339EC"/>
    <w:rsid w:val="00034D0E"/>
    <w:rsid w:val="00035755"/>
    <w:rsid w:val="00035AFE"/>
    <w:rsid w:val="0003693D"/>
    <w:rsid w:val="00036943"/>
    <w:rsid w:val="00036AFF"/>
    <w:rsid w:val="00037148"/>
    <w:rsid w:val="00037599"/>
    <w:rsid w:val="00037EE2"/>
    <w:rsid w:val="00037FA3"/>
    <w:rsid w:val="000400AA"/>
    <w:rsid w:val="000404AC"/>
    <w:rsid w:val="000415EB"/>
    <w:rsid w:val="000422D6"/>
    <w:rsid w:val="00042679"/>
    <w:rsid w:val="000426EE"/>
    <w:rsid w:val="000427E6"/>
    <w:rsid w:val="00042898"/>
    <w:rsid w:val="00044315"/>
    <w:rsid w:val="0004440F"/>
    <w:rsid w:val="00045F09"/>
    <w:rsid w:val="00046473"/>
    <w:rsid w:val="000468DF"/>
    <w:rsid w:val="00046936"/>
    <w:rsid w:val="00047BF3"/>
    <w:rsid w:val="00051CD1"/>
    <w:rsid w:val="00051FF2"/>
    <w:rsid w:val="00052177"/>
    <w:rsid w:val="000527C6"/>
    <w:rsid w:val="00052B4C"/>
    <w:rsid w:val="00052BAA"/>
    <w:rsid w:val="00052C8A"/>
    <w:rsid w:val="00053004"/>
    <w:rsid w:val="00053384"/>
    <w:rsid w:val="000548C8"/>
    <w:rsid w:val="00054917"/>
    <w:rsid w:val="00054BED"/>
    <w:rsid w:val="0005507F"/>
    <w:rsid w:val="000553B4"/>
    <w:rsid w:val="000555AA"/>
    <w:rsid w:val="00055898"/>
    <w:rsid w:val="00055A8E"/>
    <w:rsid w:val="00056108"/>
    <w:rsid w:val="000561AC"/>
    <w:rsid w:val="0005680A"/>
    <w:rsid w:val="00057AF1"/>
    <w:rsid w:val="000607AB"/>
    <w:rsid w:val="00060D40"/>
    <w:rsid w:val="000614C3"/>
    <w:rsid w:val="00061AF7"/>
    <w:rsid w:val="00063D62"/>
    <w:rsid w:val="00064151"/>
    <w:rsid w:val="0006426F"/>
    <w:rsid w:val="0006499E"/>
    <w:rsid w:val="00064EB2"/>
    <w:rsid w:val="00064FA1"/>
    <w:rsid w:val="00065889"/>
    <w:rsid w:val="00066723"/>
    <w:rsid w:val="0006770B"/>
    <w:rsid w:val="0006782D"/>
    <w:rsid w:val="00067862"/>
    <w:rsid w:val="000679D0"/>
    <w:rsid w:val="000700C2"/>
    <w:rsid w:val="00070A57"/>
    <w:rsid w:val="00071B2E"/>
    <w:rsid w:val="00071B69"/>
    <w:rsid w:val="000755BE"/>
    <w:rsid w:val="00075605"/>
    <w:rsid w:val="00075684"/>
    <w:rsid w:val="00075C3B"/>
    <w:rsid w:val="00075C66"/>
    <w:rsid w:val="00076076"/>
    <w:rsid w:val="00076513"/>
    <w:rsid w:val="00076E20"/>
    <w:rsid w:val="000803BF"/>
    <w:rsid w:val="00080857"/>
    <w:rsid w:val="00081114"/>
    <w:rsid w:val="0008184B"/>
    <w:rsid w:val="000818B7"/>
    <w:rsid w:val="0008246D"/>
    <w:rsid w:val="000825F9"/>
    <w:rsid w:val="00082879"/>
    <w:rsid w:val="00083304"/>
    <w:rsid w:val="0008348F"/>
    <w:rsid w:val="00083532"/>
    <w:rsid w:val="00086CCF"/>
    <w:rsid w:val="00090C47"/>
    <w:rsid w:val="00090F03"/>
    <w:rsid w:val="00091B24"/>
    <w:rsid w:val="00091EEA"/>
    <w:rsid w:val="00092086"/>
    <w:rsid w:val="000924E6"/>
    <w:rsid w:val="0009279C"/>
    <w:rsid w:val="000936EB"/>
    <w:rsid w:val="0009500B"/>
    <w:rsid w:val="000950B3"/>
    <w:rsid w:val="0009591D"/>
    <w:rsid w:val="00095CCA"/>
    <w:rsid w:val="0009628A"/>
    <w:rsid w:val="0009661B"/>
    <w:rsid w:val="00096C80"/>
    <w:rsid w:val="000A04B2"/>
    <w:rsid w:val="000A0B67"/>
    <w:rsid w:val="000A132E"/>
    <w:rsid w:val="000A2547"/>
    <w:rsid w:val="000A28DA"/>
    <w:rsid w:val="000A2C07"/>
    <w:rsid w:val="000A3C06"/>
    <w:rsid w:val="000A466D"/>
    <w:rsid w:val="000A500D"/>
    <w:rsid w:val="000A51AB"/>
    <w:rsid w:val="000A51C3"/>
    <w:rsid w:val="000A6365"/>
    <w:rsid w:val="000A669C"/>
    <w:rsid w:val="000A7490"/>
    <w:rsid w:val="000A757A"/>
    <w:rsid w:val="000A7B54"/>
    <w:rsid w:val="000B0D26"/>
    <w:rsid w:val="000B0E7E"/>
    <w:rsid w:val="000B14E3"/>
    <w:rsid w:val="000B14FA"/>
    <w:rsid w:val="000B1CF1"/>
    <w:rsid w:val="000B2221"/>
    <w:rsid w:val="000B2A70"/>
    <w:rsid w:val="000B3382"/>
    <w:rsid w:val="000B4604"/>
    <w:rsid w:val="000B47EA"/>
    <w:rsid w:val="000B4DD2"/>
    <w:rsid w:val="000B5153"/>
    <w:rsid w:val="000B55A2"/>
    <w:rsid w:val="000B5AB0"/>
    <w:rsid w:val="000B5DA0"/>
    <w:rsid w:val="000B7116"/>
    <w:rsid w:val="000B7141"/>
    <w:rsid w:val="000C1582"/>
    <w:rsid w:val="000C175D"/>
    <w:rsid w:val="000C1EA8"/>
    <w:rsid w:val="000C2CEF"/>
    <w:rsid w:val="000C2DDC"/>
    <w:rsid w:val="000C3D45"/>
    <w:rsid w:val="000C582C"/>
    <w:rsid w:val="000C6DDC"/>
    <w:rsid w:val="000C75EB"/>
    <w:rsid w:val="000C77A0"/>
    <w:rsid w:val="000C7A85"/>
    <w:rsid w:val="000D05C7"/>
    <w:rsid w:val="000D1238"/>
    <w:rsid w:val="000D2FD4"/>
    <w:rsid w:val="000D3C2E"/>
    <w:rsid w:val="000D4580"/>
    <w:rsid w:val="000D51A8"/>
    <w:rsid w:val="000D5BD9"/>
    <w:rsid w:val="000D5EE1"/>
    <w:rsid w:val="000D661C"/>
    <w:rsid w:val="000D6870"/>
    <w:rsid w:val="000D6A18"/>
    <w:rsid w:val="000D6DE4"/>
    <w:rsid w:val="000D721C"/>
    <w:rsid w:val="000D774E"/>
    <w:rsid w:val="000D7E1F"/>
    <w:rsid w:val="000E07EA"/>
    <w:rsid w:val="000E0821"/>
    <w:rsid w:val="000E158B"/>
    <w:rsid w:val="000E25AE"/>
    <w:rsid w:val="000E32B4"/>
    <w:rsid w:val="000E3545"/>
    <w:rsid w:val="000E4BB4"/>
    <w:rsid w:val="000E5869"/>
    <w:rsid w:val="000E589C"/>
    <w:rsid w:val="000E6117"/>
    <w:rsid w:val="000E63F0"/>
    <w:rsid w:val="000E68E9"/>
    <w:rsid w:val="000E6A07"/>
    <w:rsid w:val="000E6C21"/>
    <w:rsid w:val="000E6ED1"/>
    <w:rsid w:val="000E7693"/>
    <w:rsid w:val="000E7A6E"/>
    <w:rsid w:val="000F17BB"/>
    <w:rsid w:val="000F1B7B"/>
    <w:rsid w:val="000F2145"/>
    <w:rsid w:val="000F21D3"/>
    <w:rsid w:val="000F247B"/>
    <w:rsid w:val="000F2811"/>
    <w:rsid w:val="000F2ED4"/>
    <w:rsid w:val="000F31A8"/>
    <w:rsid w:val="000F3932"/>
    <w:rsid w:val="000F5184"/>
    <w:rsid w:val="000F6AC8"/>
    <w:rsid w:val="000F7416"/>
    <w:rsid w:val="000F7670"/>
    <w:rsid w:val="00100236"/>
    <w:rsid w:val="00100242"/>
    <w:rsid w:val="0010050B"/>
    <w:rsid w:val="00100539"/>
    <w:rsid w:val="0010059B"/>
    <w:rsid w:val="00101FD6"/>
    <w:rsid w:val="001028E8"/>
    <w:rsid w:val="00102C55"/>
    <w:rsid w:val="00103144"/>
    <w:rsid w:val="001031B2"/>
    <w:rsid w:val="00103249"/>
    <w:rsid w:val="00104186"/>
    <w:rsid w:val="00104A0D"/>
    <w:rsid w:val="001054AF"/>
    <w:rsid w:val="00105E0B"/>
    <w:rsid w:val="00106F4B"/>
    <w:rsid w:val="0010771C"/>
    <w:rsid w:val="00107BE2"/>
    <w:rsid w:val="00111FA6"/>
    <w:rsid w:val="00112578"/>
    <w:rsid w:val="001134D2"/>
    <w:rsid w:val="00113B2D"/>
    <w:rsid w:val="00113FBC"/>
    <w:rsid w:val="001142B9"/>
    <w:rsid w:val="0011430D"/>
    <w:rsid w:val="0011438C"/>
    <w:rsid w:val="001147FB"/>
    <w:rsid w:val="0011507E"/>
    <w:rsid w:val="00115904"/>
    <w:rsid w:val="001177CA"/>
    <w:rsid w:val="001200CD"/>
    <w:rsid w:val="001211E4"/>
    <w:rsid w:val="00122FCC"/>
    <w:rsid w:val="00123EC5"/>
    <w:rsid w:val="00124249"/>
    <w:rsid w:val="00124420"/>
    <w:rsid w:val="00124459"/>
    <w:rsid w:val="001244E0"/>
    <w:rsid w:val="00124AC6"/>
    <w:rsid w:val="00124F75"/>
    <w:rsid w:val="0012584E"/>
    <w:rsid w:val="0012626C"/>
    <w:rsid w:val="00126752"/>
    <w:rsid w:val="00126F5E"/>
    <w:rsid w:val="00126FF0"/>
    <w:rsid w:val="00127130"/>
    <w:rsid w:val="001273AE"/>
    <w:rsid w:val="0012764A"/>
    <w:rsid w:val="00130B30"/>
    <w:rsid w:val="00131B05"/>
    <w:rsid w:val="00131B6F"/>
    <w:rsid w:val="001321E2"/>
    <w:rsid w:val="001324ED"/>
    <w:rsid w:val="00132531"/>
    <w:rsid w:val="00132D9D"/>
    <w:rsid w:val="00132E64"/>
    <w:rsid w:val="0013360A"/>
    <w:rsid w:val="00133DAD"/>
    <w:rsid w:val="00134DD8"/>
    <w:rsid w:val="0013509A"/>
    <w:rsid w:val="00135411"/>
    <w:rsid w:val="00135B11"/>
    <w:rsid w:val="001360CF"/>
    <w:rsid w:val="00136D65"/>
    <w:rsid w:val="00137137"/>
    <w:rsid w:val="001372A1"/>
    <w:rsid w:val="001376DA"/>
    <w:rsid w:val="00140008"/>
    <w:rsid w:val="00140C4A"/>
    <w:rsid w:val="00140DEE"/>
    <w:rsid w:val="00140E1C"/>
    <w:rsid w:val="00141320"/>
    <w:rsid w:val="00141F05"/>
    <w:rsid w:val="001425D7"/>
    <w:rsid w:val="001428B5"/>
    <w:rsid w:val="001429AA"/>
    <w:rsid w:val="00143BF9"/>
    <w:rsid w:val="001447A9"/>
    <w:rsid w:val="00144B2A"/>
    <w:rsid w:val="00145BD0"/>
    <w:rsid w:val="00146BB6"/>
    <w:rsid w:val="00147303"/>
    <w:rsid w:val="00147434"/>
    <w:rsid w:val="00147AE4"/>
    <w:rsid w:val="0015020C"/>
    <w:rsid w:val="001503D0"/>
    <w:rsid w:val="00150A9E"/>
    <w:rsid w:val="001513D9"/>
    <w:rsid w:val="00152F7B"/>
    <w:rsid w:val="0015383F"/>
    <w:rsid w:val="00153B41"/>
    <w:rsid w:val="0015407B"/>
    <w:rsid w:val="00154DAA"/>
    <w:rsid w:val="0015587D"/>
    <w:rsid w:val="0015651E"/>
    <w:rsid w:val="001566D6"/>
    <w:rsid w:val="00156CFA"/>
    <w:rsid w:val="001571E5"/>
    <w:rsid w:val="00157358"/>
    <w:rsid w:val="00157A95"/>
    <w:rsid w:val="00160C7B"/>
    <w:rsid w:val="00161059"/>
    <w:rsid w:val="001612BE"/>
    <w:rsid w:val="00161B02"/>
    <w:rsid w:val="00161FCA"/>
    <w:rsid w:val="001630C7"/>
    <w:rsid w:val="00163869"/>
    <w:rsid w:val="00163ED0"/>
    <w:rsid w:val="00164F0B"/>
    <w:rsid w:val="00166F08"/>
    <w:rsid w:val="00170010"/>
    <w:rsid w:val="00170055"/>
    <w:rsid w:val="001702FE"/>
    <w:rsid w:val="00170794"/>
    <w:rsid w:val="00171D98"/>
    <w:rsid w:val="00174AFA"/>
    <w:rsid w:val="00174CC5"/>
    <w:rsid w:val="00174CE7"/>
    <w:rsid w:val="00174D01"/>
    <w:rsid w:val="001773B4"/>
    <w:rsid w:val="00177527"/>
    <w:rsid w:val="00177666"/>
    <w:rsid w:val="00177D31"/>
    <w:rsid w:val="00180FAA"/>
    <w:rsid w:val="001812F6"/>
    <w:rsid w:val="00181435"/>
    <w:rsid w:val="00182E44"/>
    <w:rsid w:val="00183909"/>
    <w:rsid w:val="00183CA2"/>
    <w:rsid w:val="001844A2"/>
    <w:rsid w:val="001849CA"/>
    <w:rsid w:val="00184AC0"/>
    <w:rsid w:val="00184E7D"/>
    <w:rsid w:val="00185410"/>
    <w:rsid w:val="00185669"/>
    <w:rsid w:val="001856C0"/>
    <w:rsid w:val="00185926"/>
    <w:rsid w:val="00186576"/>
    <w:rsid w:val="001866F2"/>
    <w:rsid w:val="001872EF"/>
    <w:rsid w:val="0019090E"/>
    <w:rsid w:val="00190E70"/>
    <w:rsid w:val="00192082"/>
    <w:rsid w:val="00192352"/>
    <w:rsid w:val="00192560"/>
    <w:rsid w:val="0019399A"/>
    <w:rsid w:val="00194624"/>
    <w:rsid w:val="00194FFC"/>
    <w:rsid w:val="0019531B"/>
    <w:rsid w:val="00195A32"/>
    <w:rsid w:val="00195BF9"/>
    <w:rsid w:val="00196194"/>
    <w:rsid w:val="001965DC"/>
    <w:rsid w:val="00197245"/>
    <w:rsid w:val="001A01E5"/>
    <w:rsid w:val="001A0905"/>
    <w:rsid w:val="001A0B9E"/>
    <w:rsid w:val="001A164A"/>
    <w:rsid w:val="001A260A"/>
    <w:rsid w:val="001A35F7"/>
    <w:rsid w:val="001A4371"/>
    <w:rsid w:val="001A4FC6"/>
    <w:rsid w:val="001A504A"/>
    <w:rsid w:val="001A5CF1"/>
    <w:rsid w:val="001A6DAA"/>
    <w:rsid w:val="001A6EA7"/>
    <w:rsid w:val="001A7661"/>
    <w:rsid w:val="001B16F8"/>
    <w:rsid w:val="001B19A3"/>
    <w:rsid w:val="001B1D5A"/>
    <w:rsid w:val="001B3124"/>
    <w:rsid w:val="001B326C"/>
    <w:rsid w:val="001B4397"/>
    <w:rsid w:val="001B4A2E"/>
    <w:rsid w:val="001B5A09"/>
    <w:rsid w:val="001B5DDB"/>
    <w:rsid w:val="001B662B"/>
    <w:rsid w:val="001B69FF"/>
    <w:rsid w:val="001B6C94"/>
    <w:rsid w:val="001B7C88"/>
    <w:rsid w:val="001C06EA"/>
    <w:rsid w:val="001C0EB6"/>
    <w:rsid w:val="001C198C"/>
    <w:rsid w:val="001C1E02"/>
    <w:rsid w:val="001C245D"/>
    <w:rsid w:val="001C2CAE"/>
    <w:rsid w:val="001C2D30"/>
    <w:rsid w:val="001C3353"/>
    <w:rsid w:val="001C33B6"/>
    <w:rsid w:val="001C397F"/>
    <w:rsid w:val="001C39ED"/>
    <w:rsid w:val="001C3A16"/>
    <w:rsid w:val="001C44F1"/>
    <w:rsid w:val="001C4D63"/>
    <w:rsid w:val="001C52F7"/>
    <w:rsid w:val="001C6AF6"/>
    <w:rsid w:val="001C6EC0"/>
    <w:rsid w:val="001C764A"/>
    <w:rsid w:val="001C79EF"/>
    <w:rsid w:val="001C7F5E"/>
    <w:rsid w:val="001D0DE0"/>
    <w:rsid w:val="001D10B5"/>
    <w:rsid w:val="001D1262"/>
    <w:rsid w:val="001D19BA"/>
    <w:rsid w:val="001D22BA"/>
    <w:rsid w:val="001D34C6"/>
    <w:rsid w:val="001D38F4"/>
    <w:rsid w:val="001D5373"/>
    <w:rsid w:val="001D5AFF"/>
    <w:rsid w:val="001D6A64"/>
    <w:rsid w:val="001D6AB7"/>
    <w:rsid w:val="001D6F50"/>
    <w:rsid w:val="001D7416"/>
    <w:rsid w:val="001D74B4"/>
    <w:rsid w:val="001D75C5"/>
    <w:rsid w:val="001D7D9D"/>
    <w:rsid w:val="001E0098"/>
    <w:rsid w:val="001E03E1"/>
    <w:rsid w:val="001E05A1"/>
    <w:rsid w:val="001E088C"/>
    <w:rsid w:val="001E1021"/>
    <w:rsid w:val="001E1293"/>
    <w:rsid w:val="001E1556"/>
    <w:rsid w:val="001E1E06"/>
    <w:rsid w:val="001E38E0"/>
    <w:rsid w:val="001E41E3"/>
    <w:rsid w:val="001E6286"/>
    <w:rsid w:val="001E6324"/>
    <w:rsid w:val="001E6A0D"/>
    <w:rsid w:val="001E6C0A"/>
    <w:rsid w:val="001F0460"/>
    <w:rsid w:val="001F059F"/>
    <w:rsid w:val="001F33AF"/>
    <w:rsid w:val="001F35C1"/>
    <w:rsid w:val="001F3C31"/>
    <w:rsid w:val="001F45D5"/>
    <w:rsid w:val="001F4B9D"/>
    <w:rsid w:val="001F50F7"/>
    <w:rsid w:val="001F5319"/>
    <w:rsid w:val="001F56F4"/>
    <w:rsid w:val="001F6074"/>
    <w:rsid w:val="001F685A"/>
    <w:rsid w:val="001F6AD7"/>
    <w:rsid w:val="001F725E"/>
    <w:rsid w:val="002002BB"/>
    <w:rsid w:val="00200811"/>
    <w:rsid w:val="002008E5"/>
    <w:rsid w:val="00200C8B"/>
    <w:rsid w:val="00200CA1"/>
    <w:rsid w:val="00201EA0"/>
    <w:rsid w:val="00202524"/>
    <w:rsid w:val="002065D1"/>
    <w:rsid w:val="00207156"/>
    <w:rsid w:val="00207846"/>
    <w:rsid w:val="00210276"/>
    <w:rsid w:val="00210C81"/>
    <w:rsid w:val="002112BC"/>
    <w:rsid w:val="00211DC0"/>
    <w:rsid w:val="002131D9"/>
    <w:rsid w:val="0021338D"/>
    <w:rsid w:val="00213B77"/>
    <w:rsid w:val="00214D43"/>
    <w:rsid w:val="00214E0B"/>
    <w:rsid w:val="002150DB"/>
    <w:rsid w:val="002151AC"/>
    <w:rsid w:val="00215855"/>
    <w:rsid w:val="00216180"/>
    <w:rsid w:val="00217EA3"/>
    <w:rsid w:val="00217FE8"/>
    <w:rsid w:val="00220FE1"/>
    <w:rsid w:val="00221228"/>
    <w:rsid w:val="00221B7C"/>
    <w:rsid w:val="00221B9C"/>
    <w:rsid w:val="00221ED0"/>
    <w:rsid w:val="00222044"/>
    <w:rsid w:val="00222E9D"/>
    <w:rsid w:val="00223579"/>
    <w:rsid w:val="002238B4"/>
    <w:rsid w:val="0022409C"/>
    <w:rsid w:val="002242EE"/>
    <w:rsid w:val="00224ACD"/>
    <w:rsid w:val="00224B63"/>
    <w:rsid w:val="00225AD4"/>
    <w:rsid w:val="002260B0"/>
    <w:rsid w:val="002266D7"/>
    <w:rsid w:val="002266DF"/>
    <w:rsid w:val="00226E55"/>
    <w:rsid w:val="00227610"/>
    <w:rsid w:val="00230199"/>
    <w:rsid w:val="00231379"/>
    <w:rsid w:val="002319AB"/>
    <w:rsid w:val="002319AC"/>
    <w:rsid w:val="00231BA5"/>
    <w:rsid w:val="00232044"/>
    <w:rsid w:val="00233A2D"/>
    <w:rsid w:val="00234342"/>
    <w:rsid w:val="0023573F"/>
    <w:rsid w:val="0023723F"/>
    <w:rsid w:val="00237651"/>
    <w:rsid w:val="00237C0F"/>
    <w:rsid w:val="0024040D"/>
    <w:rsid w:val="00240FBD"/>
    <w:rsid w:val="00241690"/>
    <w:rsid w:val="0024202D"/>
    <w:rsid w:val="002420C6"/>
    <w:rsid w:val="00242438"/>
    <w:rsid w:val="00242B20"/>
    <w:rsid w:val="00242DAD"/>
    <w:rsid w:val="002438C5"/>
    <w:rsid w:val="00243DF3"/>
    <w:rsid w:val="002449D0"/>
    <w:rsid w:val="00244C47"/>
    <w:rsid w:val="00245A0D"/>
    <w:rsid w:val="00245C21"/>
    <w:rsid w:val="00245D8A"/>
    <w:rsid w:val="002463D8"/>
    <w:rsid w:val="0024677F"/>
    <w:rsid w:val="0024777A"/>
    <w:rsid w:val="002500E0"/>
    <w:rsid w:val="00250983"/>
    <w:rsid w:val="00250C07"/>
    <w:rsid w:val="002516DE"/>
    <w:rsid w:val="0025188F"/>
    <w:rsid w:val="00251FEB"/>
    <w:rsid w:val="00252883"/>
    <w:rsid w:val="00253354"/>
    <w:rsid w:val="00253D43"/>
    <w:rsid w:val="00254067"/>
    <w:rsid w:val="00254513"/>
    <w:rsid w:val="00255BE6"/>
    <w:rsid w:val="00255BF4"/>
    <w:rsid w:val="00255FA3"/>
    <w:rsid w:val="00256394"/>
    <w:rsid w:val="00257077"/>
    <w:rsid w:val="00257288"/>
    <w:rsid w:val="002577DD"/>
    <w:rsid w:val="0025793F"/>
    <w:rsid w:val="00260460"/>
    <w:rsid w:val="00260762"/>
    <w:rsid w:val="00260C65"/>
    <w:rsid w:val="00261886"/>
    <w:rsid w:val="00261C7D"/>
    <w:rsid w:val="00261E16"/>
    <w:rsid w:val="00261FB6"/>
    <w:rsid w:val="0026244C"/>
    <w:rsid w:val="002629F8"/>
    <w:rsid w:val="00263396"/>
    <w:rsid w:val="00263BCD"/>
    <w:rsid w:val="00263C4B"/>
    <w:rsid w:val="0026433E"/>
    <w:rsid w:val="00264349"/>
    <w:rsid w:val="0026454E"/>
    <w:rsid w:val="002648CE"/>
    <w:rsid w:val="00264F64"/>
    <w:rsid w:val="00265586"/>
    <w:rsid w:val="002657B7"/>
    <w:rsid w:val="002659FA"/>
    <w:rsid w:val="00266818"/>
    <w:rsid w:val="0026718A"/>
    <w:rsid w:val="00267815"/>
    <w:rsid w:val="002708D5"/>
    <w:rsid w:val="00271794"/>
    <w:rsid w:val="00271DA6"/>
    <w:rsid w:val="00272664"/>
    <w:rsid w:val="00274B84"/>
    <w:rsid w:val="00274CF3"/>
    <w:rsid w:val="0027536A"/>
    <w:rsid w:val="002768E5"/>
    <w:rsid w:val="002772AC"/>
    <w:rsid w:val="00277835"/>
    <w:rsid w:val="0028032C"/>
    <w:rsid w:val="002808B4"/>
    <w:rsid w:val="00280CAD"/>
    <w:rsid w:val="00280DDF"/>
    <w:rsid w:val="00281182"/>
    <w:rsid w:val="00281A45"/>
    <w:rsid w:val="0028230B"/>
    <w:rsid w:val="0028266D"/>
    <w:rsid w:val="00282C48"/>
    <w:rsid w:val="00282C72"/>
    <w:rsid w:val="00282CD7"/>
    <w:rsid w:val="00283DEA"/>
    <w:rsid w:val="00283FEB"/>
    <w:rsid w:val="00284B03"/>
    <w:rsid w:val="00284BD8"/>
    <w:rsid w:val="00284C69"/>
    <w:rsid w:val="00284C8A"/>
    <w:rsid w:val="0028562B"/>
    <w:rsid w:val="00285D2E"/>
    <w:rsid w:val="00286990"/>
    <w:rsid w:val="00287B36"/>
    <w:rsid w:val="002907F7"/>
    <w:rsid w:val="00290819"/>
    <w:rsid w:val="0029099D"/>
    <w:rsid w:val="00290BC5"/>
    <w:rsid w:val="00290F0B"/>
    <w:rsid w:val="00291645"/>
    <w:rsid w:val="00291773"/>
    <w:rsid w:val="002917FF"/>
    <w:rsid w:val="002929BD"/>
    <w:rsid w:val="00292ADF"/>
    <w:rsid w:val="00292E07"/>
    <w:rsid w:val="00293447"/>
    <w:rsid w:val="00293497"/>
    <w:rsid w:val="00293F78"/>
    <w:rsid w:val="00294B42"/>
    <w:rsid w:val="002968D7"/>
    <w:rsid w:val="00296ECB"/>
    <w:rsid w:val="00297036"/>
    <w:rsid w:val="00297394"/>
    <w:rsid w:val="002A015C"/>
    <w:rsid w:val="002A033C"/>
    <w:rsid w:val="002A0615"/>
    <w:rsid w:val="002A0BDA"/>
    <w:rsid w:val="002A0DEC"/>
    <w:rsid w:val="002A11CE"/>
    <w:rsid w:val="002A1B1F"/>
    <w:rsid w:val="002A28FB"/>
    <w:rsid w:val="002A2EC4"/>
    <w:rsid w:val="002A37E2"/>
    <w:rsid w:val="002A558D"/>
    <w:rsid w:val="002A5C72"/>
    <w:rsid w:val="002A5EDD"/>
    <w:rsid w:val="002A6641"/>
    <w:rsid w:val="002A6710"/>
    <w:rsid w:val="002A694F"/>
    <w:rsid w:val="002A6958"/>
    <w:rsid w:val="002A6C24"/>
    <w:rsid w:val="002A6D74"/>
    <w:rsid w:val="002A7F1E"/>
    <w:rsid w:val="002B0771"/>
    <w:rsid w:val="002B1C53"/>
    <w:rsid w:val="002B2115"/>
    <w:rsid w:val="002B2FF9"/>
    <w:rsid w:val="002B3462"/>
    <w:rsid w:val="002B37DD"/>
    <w:rsid w:val="002B37E6"/>
    <w:rsid w:val="002B3A19"/>
    <w:rsid w:val="002B4088"/>
    <w:rsid w:val="002B4186"/>
    <w:rsid w:val="002B4395"/>
    <w:rsid w:val="002B4F46"/>
    <w:rsid w:val="002B5DC4"/>
    <w:rsid w:val="002B6669"/>
    <w:rsid w:val="002B6718"/>
    <w:rsid w:val="002B6B67"/>
    <w:rsid w:val="002B7815"/>
    <w:rsid w:val="002C0443"/>
    <w:rsid w:val="002C04F6"/>
    <w:rsid w:val="002C0547"/>
    <w:rsid w:val="002C114A"/>
    <w:rsid w:val="002C19C5"/>
    <w:rsid w:val="002C1A62"/>
    <w:rsid w:val="002C1CE3"/>
    <w:rsid w:val="002C283F"/>
    <w:rsid w:val="002C2AF1"/>
    <w:rsid w:val="002C2B86"/>
    <w:rsid w:val="002C2EE1"/>
    <w:rsid w:val="002C349B"/>
    <w:rsid w:val="002C4554"/>
    <w:rsid w:val="002C4756"/>
    <w:rsid w:val="002C5F1A"/>
    <w:rsid w:val="002C6CA7"/>
    <w:rsid w:val="002C6D7D"/>
    <w:rsid w:val="002C755F"/>
    <w:rsid w:val="002D0772"/>
    <w:rsid w:val="002D1DA0"/>
    <w:rsid w:val="002D1E3B"/>
    <w:rsid w:val="002D2E61"/>
    <w:rsid w:val="002D3134"/>
    <w:rsid w:val="002D3AA8"/>
    <w:rsid w:val="002D422F"/>
    <w:rsid w:val="002D52B3"/>
    <w:rsid w:val="002D5653"/>
    <w:rsid w:val="002D56DE"/>
    <w:rsid w:val="002D66AC"/>
    <w:rsid w:val="002D67F7"/>
    <w:rsid w:val="002D6834"/>
    <w:rsid w:val="002D76BF"/>
    <w:rsid w:val="002E062C"/>
    <w:rsid w:val="002E08B0"/>
    <w:rsid w:val="002E0BE4"/>
    <w:rsid w:val="002E1584"/>
    <w:rsid w:val="002E2ABD"/>
    <w:rsid w:val="002E3227"/>
    <w:rsid w:val="002E3B58"/>
    <w:rsid w:val="002E3E8A"/>
    <w:rsid w:val="002E3E99"/>
    <w:rsid w:val="002E3EC1"/>
    <w:rsid w:val="002E4873"/>
    <w:rsid w:val="002E4D2B"/>
    <w:rsid w:val="002E58EF"/>
    <w:rsid w:val="002E6242"/>
    <w:rsid w:val="002E6A6A"/>
    <w:rsid w:val="002E7966"/>
    <w:rsid w:val="002F071C"/>
    <w:rsid w:val="002F17D6"/>
    <w:rsid w:val="002F1D91"/>
    <w:rsid w:val="002F3397"/>
    <w:rsid w:val="002F3956"/>
    <w:rsid w:val="002F4645"/>
    <w:rsid w:val="002F5F3C"/>
    <w:rsid w:val="002F63EF"/>
    <w:rsid w:val="002F6D10"/>
    <w:rsid w:val="002F7345"/>
    <w:rsid w:val="002F7407"/>
    <w:rsid w:val="0030013E"/>
    <w:rsid w:val="0030062B"/>
    <w:rsid w:val="003014D8"/>
    <w:rsid w:val="003016C1"/>
    <w:rsid w:val="00301BB7"/>
    <w:rsid w:val="00301DF0"/>
    <w:rsid w:val="0030380D"/>
    <w:rsid w:val="00303F1A"/>
    <w:rsid w:val="003056D0"/>
    <w:rsid w:val="0030609C"/>
    <w:rsid w:val="00306178"/>
    <w:rsid w:val="003063E3"/>
    <w:rsid w:val="00306661"/>
    <w:rsid w:val="0030698B"/>
    <w:rsid w:val="0030703B"/>
    <w:rsid w:val="00307154"/>
    <w:rsid w:val="00307279"/>
    <w:rsid w:val="00307389"/>
    <w:rsid w:val="0031138C"/>
    <w:rsid w:val="0031160C"/>
    <w:rsid w:val="00312411"/>
    <w:rsid w:val="0031255A"/>
    <w:rsid w:val="00313883"/>
    <w:rsid w:val="003143D6"/>
    <w:rsid w:val="00314667"/>
    <w:rsid w:val="003146BD"/>
    <w:rsid w:val="00314923"/>
    <w:rsid w:val="00314BF7"/>
    <w:rsid w:val="0031502C"/>
    <w:rsid w:val="003164A3"/>
    <w:rsid w:val="00316576"/>
    <w:rsid w:val="00316E79"/>
    <w:rsid w:val="0031797D"/>
    <w:rsid w:val="00320825"/>
    <w:rsid w:val="0032109B"/>
    <w:rsid w:val="003217C9"/>
    <w:rsid w:val="003226C2"/>
    <w:rsid w:val="00322D89"/>
    <w:rsid w:val="00323206"/>
    <w:rsid w:val="00323385"/>
    <w:rsid w:val="00323E71"/>
    <w:rsid w:val="003241AA"/>
    <w:rsid w:val="003242BF"/>
    <w:rsid w:val="00324697"/>
    <w:rsid w:val="00325B23"/>
    <w:rsid w:val="003264C3"/>
    <w:rsid w:val="00326CC5"/>
    <w:rsid w:val="0032732F"/>
    <w:rsid w:val="003277C5"/>
    <w:rsid w:val="00330BDE"/>
    <w:rsid w:val="003319D8"/>
    <w:rsid w:val="003321F5"/>
    <w:rsid w:val="0033259D"/>
    <w:rsid w:val="00332C4F"/>
    <w:rsid w:val="00332FCD"/>
    <w:rsid w:val="0033310C"/>
    <w:rsid w:val="00333F81"/>
    <w:rsid w:val="0033592B"/>
    <w:rsid w:val="00336EFD"/>
    <w:rsid w:val="0034086D"/>
    <w:rsid w:val="003408E8"/>
    <w:rsid w:val="00340C2D"/>
    <w:rsid w:val="00340CED"/>
    <w:rsid w:val="00340E1C"/>
    <w:rsid w:val="00341331"/>
    <w:rsid w:val="003413ED"/>
    <w:rsid w:val="0034218D"/>
    <w:rsid w:val="00342DA9"/>
    <w:rsid w:val="00342FEE"/>
    <w:rsid w:val="00342FEF"/>
    <w:rsid w:val="00343373"/>
    <w:rsid w:val="00345C38"/>
    <w:rsid w:val="00345F5A"/>
    <w:rsid w:val="00345FAB"/>
    <w:rsid w:val="003463AA"/>
    <w:rsid w:val="00346C8E"/>
    <w:rsid w:val="00346D02"/>
    <w:rsid w:val="0034766E"/>
    <w:rsid w:val="0035040D"/>
    <w:rsid w:val="0035070C"/>
    <w:rsid w:val="00350859"/>
    <w:rsid w:val="0035166D"/>
    <w:rsid w:val="00351CA3"/>
    <w:rsid w:val="00351FA1"/>
    <w:rsid w:val="00352A52"/>
    <w:rsid w:val="00352AEA"/>
    <w:rsid w:val="00354261"/>
    <w:rsid w:val="003545EF"/>
    <w:rsid w:val="00354F6C"/>
    <w:rsid w:val="00355A7C"/>
    <w:rsid w:val="00355BAC"/>
    <w:rsid w:val="003560F4"/>
    <w:rsid w:val="00356561"/>
    <w:rsid w:val="00357A80"/>
    <w:rsid w:val="003603CC"/>
    <w:rsid w:val="00361A1D"/>
    <w:rsid w:val="00361DD2"/>
    <w:rsid w:val="003628BF"/>
    <w:rsid w:val="00362B2D"/>
    <w:rsid w:val="003652E5"/>
    <w:rsid w:val="00367BD5"/>
    <w:rsid w:val="00367C2F"/>
    <w:rsid w:val="00367C6E"/>
    <w:rsid w:val="003709A2"/>
    <w:rsid w:val="0037176F"/>
    <w:rsid w:val="003724AB"/>
    <w:rsid w:val="00374C84"/>
    <w:rsid w:val="00375245"/>
    <w:rsid w:val="00375A22"/>
    <w:rsid w:val="00380B6E"/>
    <w:rsid w:val="00380E2A"/>
    <w:rsid w:val="00380EC8"/>
    <w:rsid w:val="003813A0"/>
    <w:rsid w:val="00381586"/>
    <w:rsid w:val="00381E94"/>
    <w:rsid w:val="00383BA5"/>
    <w:rsid w:val="00384511"/>
    <w:rsid w:val="00384710"/>
    <w:rsid w:val="0038521A"/>
    <w:rsid w:val="00385D29"/>
    <w:rsid w:val="003871DC"/>
    <w:rsid w:val="003879EF"/>
    <w:rsid w:val="00387D87"/>
    <w:rsid w:val="00387F7D"/>
    <w:rsid w:val="00390041"/>
    <w:rsid w:val="00390162"/>
    <w:rsid w:val="00390327"/>
    <w:rsid w:val="00390FFD"/>
    <w:rsid w:val="00391585"/>
    <w:rsid w:val="00393B78"/>
    <w:rsid w:val="00393D0B"/>
    <w:rsid w:val="003945FD"/>
    <w:rsid w:val="003946FB"/>
    <w:rsid w:val="00394752"/>
    <w:rsid w:val="00394BF9"/>
    <w:rsid w:val="00394FF2"/>
    <w:rsid w:val="003963E2"/>
    <w:rsid w:val="003963E4"/>
    <w:rsid w:val="00396B7A"/>
    <w:rsid w:val="00396BCD"/>
    <w:rsid w:val="003970B0"/>
    <w:rsid w:val="003976CD"/>
    <w:rsid w:val="00397B8B"/>
    <w:rsid w:val="00397CE6"/>
    <w:rsid w:val="003A01E9"/>
    <w:rsid w:val="003A041D"/>
    <w:rsid w:val="003A08CC"/>
    <w:rsid w:val="003A10B3"/>
    <w:rsid w:val="003A1E4D"/>
    <w:rsid w:val="003A23DC"/>
    <w:rsid w:val="003A2930"/>
    <w:rsid w:val="003A3035"/>
    <w:rsid w:val="003A30DC"/>
    <w:rsid w:val="003A44CB"/>
    <w:rsid w:val="003A4909"/>
    <w:rsid w:val="003A4D7C"/>
    <w:rsid w:val="003A563B"/>
    <w:rsid w:val="003A59AF"/>
    <w:rsid w:val="003A5A7B"/>
    <w:rsid w:val="003A62E4"/>
    <w:rsid w:val="003A672C"/>
    <w:rsid w:val="003A700C"/>
    <w:rsid w:val="003A7A16"/>
    <w:rsid w:val="003A7E62"/>
    <w:rsid w:val="003B013A"/>
    <w:rsid w:val="003B0E08"/>
    <w:rsid w:val="003B0EB3"/>
    <w:rsid w:val="003B14A8"/>
    <w:rsid w:val="003B1963"/>
    <w:rsid w:val="003B2582"/>
    <w:rsid w:val="003B334C"/>
    <w:rsid w:val="003B42A8"/>
    <w:rsid w:val="003B47CF"/>
    <w:rsid w:val="003B4876"/>
    <w:rsid w:val="003B4E06"/>
    <w:rsid w:val="003B63D7"/>
    <w:rsid w:val="003B69C9"/>
    <w:rsid w:val="003B6E9F"/>
    <w:rsid w:val="003B74CF"/>
    <w:rsid w:val="003C0306"/>
    <w:rsid w:val="003C06B8"/>
    <w:rsid w:val="003C0A2E"/>
    <w:rsid w:val="003C0DD8"/>
    <w:rsid w:val="003C0FCF"/>
    <w:rsid w:val="003C114C"/>
    <w:rsid w:val="003C29EA"/>
    <w:rsid w:val="003C2DC4"/>
    <w:rsid w:val="003C30F4"/>
    <w:rsid w:val="003C4063"/>
    <w:rsid w:val="003C465D"/>
    <w:rsid w:val="003C4820"/>
    <w:rsid w:val="003C4862"/>
    <w:rsid w:val="003C4A0A"/>
    <w:rsid w:val="003C4E11"/>
    <w:rsid w:val="003C592A"/>
    <w:rsid w:val="003C78A8"/>
    <w:rsid w:val="003C7A1B"/>
    <w:rsid w:val="003D0271"/>
    <w:rsid w:val="003D07B5"/>
    <w:rsid w:val="003D0CC4"/>
    <w:rsid w:val="003D0F23"/>
    <w:rsid w:val="003D181C"/>
    <w:rsid w:val="003D399F"/>
    <w:rsid w:val="003D416F"/>
    <w:rsid w:val="003D495D"/>
    <w:rsid w:val="003D55F7"/>
    <w:rsid w:val="003D5C0C"/>
    <w:rsid w:val="003D6506"/>
    <w:rsid w:val="003D6836"/>
    <w:rsid w:val="003D6CBF"/>
    <w:rsid w:val="003D7310"/>
    <w:rsid w:val="003D7531"/>
    <w:rsid w:val="003D7D0C"/>
    <w:rsid w:val="003D7D76"/>
    <w:rsid w:val="003E0277"/>
    <w:rsid w:val="003E098E"/>
    <w:rsid w:val="003E1584"/>
    <w:rsid w:val="003E1E03"/>
    <w:rsid w:val="003E27D1"/>
    <w:rsid w:val="003E2B5A"/>
    <w:rsid w:val="003E2F1A"/>
    <w:rsid w:val="003E2FAE"/>
    <w:rsid w:val="003E3199"/>
    <w:rsid w:val="003E4064"/>
    <w:rsid w:val="003E4A89"/>
    <w:rsid w:val="003E5F13"/>
    <w:rsid w:val="003E6ECC"/>
    <w:rsid w:val="003E789E"/>
    <w:rsid w:val="003F09DA"/>
    <w:rsid w:val="003F125C"/>
    <w:rsid w:val="003F265E"/>
    <w:rsid w:val="003F27E1"/>
    <w:rsid w:val="003F4538"/>
    <w:rsid w:val="003F48A9"/>
    <w:rsid w:val="003F496E"/>
    <w:rsid w:val="003F4FCA"/>
    <w:rsid w:val="003F5C37"/>
    <w:rsid w:val="003F5C69"/>
    <w:rsid w:val="003F6D63"/>
    <w:rsid w:val="003F71BF"/>
    <w:rsid w:val="003F72C9"/>
    <w:rsid w:val="003F791D"/>
    <w:rsid w:val="00400E7C"/>
    <w:rsid w:val="00401461"/>
    <w:rsid w:val="0040198E"/>
    <w:rsid w:val="00402894"/>
    <w:rsid w:val="00403707"/>
    <w:rsid w:val="004039F7"/>
    <w:rsid w:val="004042F1"/>
    <w:rsid w:val="00404B0C"/>
    <w:rsid w:val="00404D7A"/>
    <w:rsid w:val="00405E9C"/>
    <w:rsid w:val="0040622C"/>
    <w:rsid w:val="00406333"/>
    <w:rsid w:val="0040633B"/>
    <w:rsid w:val="00407CF7"/>
    <w:rsid w:val="0041015A"/>
    <w:rsid w:val="004103AD"/>
    <w:rsid w:val="00410606"/>
    <w:rsid w:val="00410EAB"/>
    <w:rsid w:val="00411A62"/>
    <w:rsid w:val="004123C7"/>
    <w:rsid w:val="004134AA"/>
    <w:rsid w:val="00413D90"/>
    <w:rsid w:val="00414010"/>
    <w:rsid w:val="00415256"/>
    <w:rsid w:val="00415ED6"/>
    <w:rsid w:val="004176BE"/>
    <w:rsid w:val="00417790"/>
    <w:rsid w:val="00417CAF"/>
    <w:rsid w:val="00420A11"/>
    <w:rsid w:val="00420F22"/>
    <w:rsid w:val="00422265"/>
    <w:rsid w:val="0042230A"/>
    <w:rsid w:val="00423876"/>
    <w:rsid w:val="00423B6F"/>
    <w:rsid w:val="0042507B"/>
    <w:rsid w:val="0042563B"/>
    <w:rsid w:val="00425749"/>
    <w:rsid w:val="00425CC9"/>
    <w:rsid w:val="004264AC"/>
    <w:rsid w:val="00427E9D"/>
    <w:rsid w:val="00431168"/>
    <w:rsid w:val="0043183C"/>
    <w:rsid w:val="00431864"/>
    <w:rsid w:val="004320DC"/>
    <w:rsid w:val="00432730"/>
    <w:rsid w:val="00432EED"/>
    <w:rsid w:val="00433409"/>
    <w:rsid w:val="004347C6"/>
    <w:rsid w:val="00435496"/>
    <w:rsid w:val="00435549"/>
    <w:rsid w:val="004356C9"/>
    <w:rsid w:val="00436275"/>
    <w:rsid w:val="0043731E"/>
    <w:rsid w:val="00437340"/>
    <w:rsid w:val="004373A7"/>
    <w:rsid w:val="00437762"/>
    <w:rsid w:val="00437CB2"/>
    <w:rsid w:val="00437D94"/>
    <w:rsid w:val="00437E0B"/>
    <w:rsid w:val="0044030C"/>
    <w:rsid w:val="00441205"/>
    <w:rsid w:val="00441241"/>
    <w:rsid w:val="004415E2"/>
    <w:rsid w:val="00441C3B"/>
    <w:rsid w:val="00442F90"/>
    <w:rsid w:val="004432AD"/>
    <w:rsid w:val="004436B7"/>
    <w:rsid w:val="0044486C"/>
    <w:rsid w:val="004452BE"/>
    <w:rsid w:val="00445D8F"/>
    <w:rsid w:val="0044649A"/>
    <w:rsid w:val="00446C9F"/>
    <w:rsid w:val="00446E56"/>
    <w:rsid w:val="00452324"/>
    <w:rsid w:val="00452544"/>
    <w:rsid w:val="00453010"/>
    <w:rsid w:val="0045323D"/>
    <w:rsid w:val="0045519B"/>
    <w:rsid w:val="00455ACA"/>
    <w:rsid w:val="00457612"/>
    <w:rsid w:val="00457936"/>
    <w:rsid w:val="00457B39"/>
    <w:rsid w:val="00461C73"/>
    <w:rsid w:val="00461F4B"/>
    <w:rsid w:val="00462031"/>
    <w:rsid w:val="00462386"/>
    <w:rsid w:val="00462BA8"/>
    <w:rsid w:val="004640E7"/>
    <w:rsid w:val="004648A4"/>
    <w:rsid w:val="004650CE"/>
    <w:rsid w:val="004659F5"/>
    <w:rsid w:val="00465B08"/>
    <w:rsid w:val="00465D69"/>
    <w:rsid w:val="004673AC"/>
    <w:rsid w:val="004701CB"/>
    <w:rsid w:val="00470B77"/>
    <w:rsid w:val="00471380"/>
    <w:rsid w:val="00471BAB"/>
    <w:rsid w:val="004727D2"/>
    <w:rsid w:val="004727E8"/>
    <w:rsid w:val="004740C9"/>
    <w:rsid w:val="0047410A"/>
    <w:rsid w:val="00474999"/>
    <w:rsid w:val="00475147"/>
    <w:rsid w:val="0047537A"/>
    <w:rsid w:val="00476089"/>
    <w:rsid w:val="00477C9E"/>
    <w:rsid w:val="00481241"/>
    <w:rsid w:val="00481268"/>
    <w:rsid w:val="00481CAA"/>
    <w:rsid w:val="00481CBB"/>
    <w:rsid w:val="004825F3"/>
    <w:rsid w:val="004829CA"/>
    <w:rsid w:val="00482ED8"/>
    <w:rsid w:val="004830CE"/>
    <w:rsid w:val="00483168"/>
    <w:rsid w:val="0048323C"/>
    <w:rsid w:val="004834A6"/>
    <w:rsid w:val="004835C9"/>
    <w:rsid w:val="004836D9"/>
    <w:rsid w:val="0048376F"/>
    <w:rsid w:val="00483FDB"/>
    <w:rsid w:val="0048420D"/>
    <w:rsid w:val="00484471"/>
    <w:rsid w:val="004857D0"/>
    <w:rsid w:val="00485DCC"/>
    <w:rsid w:val="00486426"/>
    <w:rsid w:val="00486FBA"/>
    <w:rsid w:val="00490128"/>
    <w:rsid w:val="00492124"/>
    <w:rsid w:val="00492B77"/>
    <w:rsid w:val="00493E7E"/>
    <w:rsid w:val="00494250"/>
    <w:rsid w:val="00494DFD"/>
    <w:rsid w:val="00494F0D"/>
    <w:rsid w:val="00495082"/>
    <w:rsid w:val="00495370"/>
    <w:rsid w:val="00496578"/>
    <w:rsid w:val="0049690E"/>
    <w:rsid w:val="00496BFD"/>
    <w:rsid w:val="00496DE7"/>
    <w:rsid w:val="004A0E47"/>
    <w:rsid w:val="004A13F2"/>
    <w:rsid w:val="004A3314"/>
    <w:rsid w:val="004A336D"/>
    <w:rsid w:val="004A34A2"/>
    <w:rsid w:val="004A3991"/>
    <w:rsid w:val="004A3D0F"/>
    <w:rsid w:val="004A3DF2"/>
    <w:rsid w:val="004A4270"/>
    <w:rsid w:val="004A48B8"/>
    <w:rsid w:val="004A766E"/>
    <w:rsid w:val="004B03DA"/>
    <w:rsid w:val="004B2E4C"/>
    <w:rsid w:val="004B61E3"/>
    <w:rsid w:val="004C08AC"/>
    <w:rsid w:val="004C0B51"/>
    <w:rsid w:val="004C30A9"/>
    <w:rsid w:val="004C3527"/>
    <w:rsid w:val="004C361D"/>
    <w:rsid w:val="004C40C4"/>
    <w:rsid w:val="004C4229"/>
    <w:rsid w:val="004C4891"/>
    <w:rsid w:val="004C57AD"/>
    <w:rsid w:val="004C5851"/>
    <w:rsid w:val="004C60D2"/>
    <w:rsid w:val="004C61F0"/>
    <w:rsid w:val="004C7633"/>
    <w:rsid w:val="004C7788"/>
    <w:rsid w:val="004C7938"/>
    <w:rsid w:val="004D0494"/>
    <w:rsid w:val="004D0B02"/>
    <w:rsid w:val="004D2C89"/>
    <w:rsid w:val="004D3874"/>
    <w:rsid w:val="004D3F5A"/>
    <w:rsid w:val="004D56EB"/>
    <w:rsid w:val="004D7671"/>
    <w:rsid w:val="004E0386"/>
    <w:rsid w:val="004E0967"/>
    <w:rsid w:val="004E0AE3"/>
    <w:rsid w:val="004E0DE4"/>
    <w:rsid w:val="004E1498"/>
    <w:rsid w:val="004E166D"/>
    <w:rsid w:val="004E1A8A"/>
    <w:rsid w:val="004E2524"/>
    <w:rsid w:val="004E2B92"/>
    <w:rsid w:val="004E30BC"/>
    <w:rsid w:val="004E34F2"/>
    <w:rsid w:val="004E3932"/>
    <w:rsid w:val="004E4A7F"/>
    <w:rsid w:val="004E56EA"/>
    <w:rsid w:val="004E7C4A"/>
    <w:rsid w:val="004F0A63"/>
    <w:rsid w:val="004F1E79"/>
    <w:rsid w:val="004F2B47"/>
    <w:rsid w:val="004F309F"/>
    <w:rsid w:val="004F36D8"/>
    <w:rsid w:val="004F38E9"/>
    <w:rsid w:val="004F5536"/>
    <w:rsid w:val="004F5F33"/>
    <w:rsid w:val="004F6262"/>
    <w:rsid w:val="004F6522"/>
    <w:rsid w:val="004F7E8F"/>
    <w:rsid w:val="005003F5"/>
    <w:rsid w:val="00500897"/>
    <w:rsid w:val="00500F36"/>
    <w:rsid w:val="0050103A"/>
    <w:rsid w:val="0050217E"/>
    <w:rsid w:val="005025BB"/>
    <w:rsid w:val="00503862"/>
    <w:rsid w:val="00504F63"/>
    <w:rsid w:val="005057CE"/>
    <w:rsid w:val="00506316"/>
    <w:rsid w:val="00506BE3"/>
    <w:rsid w:val="00507535"/>
    <w:rsid w:val="00507D28"/>
    <w:rsid w:val="00510259"/>
    <w:rsid w:val="00510944"/>
    <w:rsid w:val="00511635"/>
    <w:rsid w:val="005116DC"/>
    <w:rsid w:val="00511A6E"/>
    <w:rsid w:val="00511B0F"/>
    <w:rsid w:val="00511DC9"/>
    <w:rsid w:val="00511E77"/>
    <w:rsid w:val="005128C9"/>
    <w:rsid w:val="005137CB"/>
    <w:rsid w:val="00514751"/>
    <w:rsid w:val="0051517D"/>
    <w:rsid w:val="00516A6C"/>
    <w:rsid w:val="0052058D"/>
    <w:rsid w:val="00520705"/>
    <w:rsid w:val="005210DF"/>
    <w:rsid w:val="0052144C"/>
    <w:rsid w:val="005222EE"/>
    <w:rsid w:val="005223EE"/>
    <w:rsid w:val="005258D2"/>
    <w:rsid w:val="0052648C"/>
    <w:rsid w:val="00530928"/>
    <w:rsid w:val="0053217F"/>
    <w:rsid w:val="00533AB8"/>
    <w:rsid w:val="0053418B"/>
    <w:rsid w:val="00534626"/>
    <w:rsid w:val="00534954"/>
    <w:rsid w:val="00534F84"/>
    <w:rsid w:val="00535B41"/>
    <w:rsid w:val="00536721"/>
    <w:rsid w:val="00536F91"/>
    <w:rsid w:val="005378DF"/>
    <w:rsid w:val="00537DD5"/>
    <w:rsid w:val="00537FBB"/>
    <w:rsid w:val="00540029"/>
    <w:rsid w:val="00540AAE"/>
    <w:rsid w:val="00541A4F"/>
    <w:rsid w:val="00541B72"/>
    <w:rsid w:val="00541F78"/>
    <w:rsid w:val="0054312E"/>
    <w:rsid w:val="00543665"/>
    <w:rsid w:val="00543E80"/>
    <w:rsid w:val="00543F27"/>
    <w:rsid w:val="005448CC"/>
    <w:rsid w:val="00544F3F"/>
    <w:rsid w:val="005453F0"/>
    <w:rsid w:val="00546108"/>
    <w:rsid w:val="00546ACB"/>
    <w:rsid w:val="00546CDA"/>
    <w:rsid w:val="00546F27"/>
    <w:rsid w:val="00547C55"/>
    <w:rsid w:val="00547F0F"/>
    <w:rsid w:val="005504C2"/>
    <w:rsid w:val="00552A6B"/>
    <w:rsid w:val="0055388E"/>
    <w:rsid w:val="0055463B"/>
    <w:rsid w:val="00554F52"/>
    <w:rsid w:val="005551DE"/>
    <w:rsid w:val="0055558D"/>
    <w:rsid w:val="00556FFA"/>
    <w:rsid w:val="005574F4"/>
    <w:rsid w:val="005604B8"/>
    <w:rsid w:val="005604D5"/>
    <w:rsid w:val="00561A36"/>
    <w:rsid w:val="0056234B"/>
    <w:rsid w:val="0056364D"/>
    <w:rsid w:val="0056403B"/>
    <w:rsid w:val="005642AB"/>
    <w:rsid w:val="0056471E"/>
    <w:rsid w:val="00564B30"/>
    <w:rsid w:val="00564BE3"/>
    <w:rsid w:val="0056557D"/>
    <w:rsid w:val="005662AB"/>
    <w:rsid w:val="00567176"/>
    <w:rsid w:val="005710AF"/>
    <w:rsid w:val="005716E2"/>
    <w:rsid w:val="00571B2A"/>
    <w:rsid w:val="00572529"/>
    <w:rsid w:val="00572BDB"/>
    <w:rsid w:val="00572CAE"/>
    <w:rsid w:val="0057373B"/>
    <w:rsid w:val="00574CDA"/>
    <w:rsid w:val="00575314"/>
    <w:rsid w:val="005754AE"/>
    <w:rsid w:val="0057566C"/>
    <w:rsid w:val="00575729"/>
    <w:rsid w:val="005759F8"/>
    <w:rsid w:val="00575D6E"/>
    <w:rsid w:val="00576AF6"/>
    <w:rsid w:val="00576FF2"/>
    <w:rsid w:val="00577FB5"/>
    <w:rsid w:val="00582AD3"/>
    <w:rsid w:val="005831CA"/>
    <w:rsid w:val="00584CD6"/>
    <w:rsid w:val="005852D1"/>
    <w:rsid w:val="00585610"/>
    <w:rsid w:val="0058590F"/>
    <w:rsid w:val="0058666A"/>
    <w:rsid w:val="00586B64"/>
    <w:rsid w:val="00587A22"/>
    <w:rsid w:val="00587E35"/>
    <w:rsid w:val="00590025"/>
    <w:rsid w:val="005900A5"/>
    <w:rsid w:val="005901F3"/>
    <w:rsid w:val="005904AF"/>
    <w:rsid w:val="00590AC6"/>
    <w:rsid w:val="00590F2F"/>
    <w:rsid w:val="00592169"/>
    <w:rsid w:val="00592806"/>
    <w:rsid w:val="0059299D"/>
    <w:rsid w:val="005936F2"/>
    <w:rsid w:val="005938B6"/>
    <w:rsid w:val="00594859"/>
    <w:rsid w:val="005949EC"/>
    <w:rsid w:val="005956E0"/>
    <w:rsid w:val="0059573C"/>
    <w:rsid w:val="00595819"/>
    <w:rsid w:val="00595C2A"/>
    <w:rsid w:val="00595C8C"/>
    <w:rsid w:val="0059630D"/>
    <w:rsid w:val="00596B51"/>
    <w:rsid w:val="0059716E"/>
    <w:rsid w:val="005972A5"/>
    <w:rsid w:val="0059769D"/>
    <w:rsid w:val="00597747"/>
    <w:rsid w:val="00597A18"/>
    <w:rsid w:val="00597C3D"/>
    <w:rsid w:val="005A1248"/>
    <w:rsid w:val="005A1354"/>
    <w:rsid w:val="005A1D9C"/>
    <w:rsid w:val="005A2B8A"/>
    <w:rsid w:val="005A40AF"/>
    <w:rsid w:val="005A4221"/>
    <w:rsid w:val="005A4370"/>
    <w:rsid w:val="005A48A0"/>
    <w:rsid w:val="005A4CDD"/>
    <w:rsid w:val="005A51AE"/>
    <w:rsid w:val="005A52B9"/>
    <w:rsid w:val="005A6261"/>
    <w:rsid w:val="005A6415"/>
    <w:rsid w:val="005A6615"/>
    <w:rsid w:val="005B08AB"/>
    <w:rsid w:val="005B2054"/>
    <w:rsid w:val="005B26CC"/>
    <w:rsid w:val="005B28F8"/>
    <w:rsid w:val="005B2950"/>
    <w:rsid w:val="005B2DBA"/>
    <w:rsid w:val="005B2E0A"/>
    <w:rsid w:val="005B2F2A"/>
    <w:rsid w:val="005B37C7"/>
    <w:rsid w:val="005B3C4D"/>
    <w:rsid w:val="005B4638"/>
    <w:rsid w:val="005B4840"/>
    <w:rsid w:val="005B565A"/>
    <w:rsid w:val="005B57E4"/>
    <w:rsid w:val="005B5AA1"/>
    <w:rsid w:val="005B5ABD"/>
    <w:rsid w:val="005B5DD1"/>
    <w:rsid w:val="005B5ED5"/>
    <w:rsid w:val="005B6131"/>
    <w:rsid w:val="005B70C7"/>
    <w:rsid w:val="005B7509"/>
    <w:rsid w:val="005B7B48"/>
    <w:rsid w:val="005B7FC8"/>
    <w:rsid w:val="005C0C76"/>
    <w:rsid w:val="005C1097"/>
    <w:rsid w:val="005C140A"/>
    <w:rsid w:val="005C4B89"/>
    <w:rsid w:val="005C5F56"/>
    <w:rsid w:val="005C6763"/>
    <w:rsid w:val="005C6D33"/>
    <w:rsid w:val="005C7406"/>
    <w:rsid w:val="005D026A"/>
    <w:rsid w:val="005D0FD0"/>
    <w:rsid w:val="005D17BB"/>
    <w:rsid w:val="005D1B28"/>
    <w:rsid w:val="005D1E84"/>
    <w:rsid w:val="005D234A"/>
    <w:rsid w:val="005D2664"/>
    <w:rsid w:val="005D3164"/>
    <w:rsid w:val="005D393A"/>
    <w:rsid w:val="005D4A9D"/>
    <w:rsid w:val="005D5968"/>
    <w:rsid w:val="005D5FED"/>
    <w:rsid w:val="005D6938"/>
    <w:rsid w:val="005D6939"/>
    <w:rsid w:val="005D6A64"/>
    <w:rsid w:val="005D6C5E"/>
    <w:rsid w:val="005D701B"/>
    <w:rsid w:val="005D7513"/>
    <w:rsid w:val="005D7CDA"/>
    <w:rsid w:val="005D7D97"/>
    <w:rsid w:val="005E0344"/>
    <w:rsid w:val="005E0C02"/>
    <w:rsid w:val="005E0CF3"/>
    <w:rsid w:val="005E12CC"/>
    <w:rsid w:val="005E177C"/>
    <w:rsid w:val="005E17B4"/>
    <w:rsid w:val="005E211F"/>
    <w:rsid w:val="005E2876"/>
    <w:rsid w:val="005E2C9F"/>
    <w:rsid w:val="005E3060"/>
    <w:rsid w:val="005E34AD"/>
    <w:rsid w:val="005E39E5"/>
    <w:rsid w:val="005E3BE0"/>
    <w:rsid w:val="005E440B"/>
    <w:rsid w:val="005E5FCC"/>
    <w:rsid w:val="005E68F4"/>
    <w:rsid w:val="005E7691"/>
    <w:rsid w:val="005F09E0"/>
    <w:rsid w:val="005F0D3B"/>
    <w:rsid w:val="005F0E57"/>
    <w:rsid w:val="005F1D5D"/>
    <w:rsid w:val="005F1F2E"/>
    <w:rsid w:val="005F25FD"/>
    <w:rsid w:val="005F2C85"/>
    <w:rsid w:val="005F3035"/>
    <w:rsid w:val="005F31EF"/>
    <w:rsid w:val="005F38A4"/>
    <w:rsid w:val="005F629F"/>
    <w:rsid w:val="005F645B"/>
    <w:rsid w:val="005F7343"/>
    <w:rsid w:val="005F7667"/>
    <w:rsid w:val="005F7C0F"/>
    <w:rsid w:val="005F7D8E"/>
    <w:rsid w:val="00600446"/>
    <w:rsid w:val="006004F4"/>
    <w:rsid w:val="006016C8"/>
    <w:rsid w:val="006022D8"/>
    <w:rsid w:val="006031B6"/>
    <w:rsid w:val="00603579"/>
    <w:rsid w:val="00603F1F"/>
    <w:rsid w:val="00604314"/>
    <w:rsid w:val="00605277"/>
    <w:rsid w:val="006059C5"/>
    <w:rsid w:val="00605ADB"/>
    <w:rsid w:val="00605EC1"/>
    <w:rsid w:val="00606C8A"/>
    <w:rsid w:val="00607C90"/>
    <w:rsid w:val="00610247"/>
    <w:rsid w:val="006106EE"/>
    <w:rsid w:val="00610799"/>
    <w:rsid w:val="00610BDB"/>
    <w:rsid w:val="00611116"/>
    <w:rsid w:val="00611C9F"/>
    <w:rsid w:val="00611E68"/>
    <w:rsid w:val="00612565"/>
    <w:rsid w:val="00613BC2"/>
    <w:rsid w:val="00613C8D"/>
    <w:rsid w:val="00613EC3"/>
    <w:rsid w:val="00614137"/>
    <w:rsid w:val="00614BA7"/>
    <w:rsid w:val="006154A0"/>
    <w:rsid w:val="00615FE2"/>
    <w:rsid w:val="00617034"/>
    <w:rsid w:val="00617925"/>
    <w:rsid w:val="00617B12"/>
    <w:rsid w:val="0062037B"/>
    <w:rsid w:val="00621151"/>
    <w:rsid w:val="00621B86"/>
    <w:rsid w:val="00621BF6"/>
    <w:rsid w:val="0062253B"/>
    <w:rsid w:val="00622922"/>
    <w:rsid w:val="00622EF4"/>
    <w:rsid w:val="006238D2"/>
    <w:rsid w:val="00623E20"/>
    <w:rsid w:val="00623F79"/>
    <w:rsid w:val="006241BE"/>
    <w:rsid w:val="006247A5"/>
    <w:rsid w:val="006248C1"/>
    <w:rsid w:val="00624D71"/>
    <w:rsid w:val="006258EC"/>
    <w:rsid w:val="0062642C"/>
    <w:rsid w:val="00627555"/>
    <w:rsid w:val="006275C2"/>
    <w:rsid w:val="00627B76"/>
    <w:rsid w:val="00630AED"/>
    <w:rsid w:val="006316C4"/>
    <w:rsid w:val="0063197D"/>
    <w:rsid w:val="00631BFB"/>
    <w:rsid w:val="0063227E"/>
    <w:rsid w:val="006322A0"/>
    <w:rsid w:val="00633003"/>
    <w:rsid w:val="00634589"/>
    <w:rsid w:val="006355A5"/>
    <w:rsid w:val="006361FD"/>
    <w:rsid w:val="00636632"/>
    <w:rsid w:val="00637095"/>
    <w:rsid w:val="006375CD"/>
    <w:rsid w:val="0063790B"/>
    <w:rsid w:val="00637B24"/>
    <w:rsid w:val="0064100D"/>
    <w:rsid w:val="00641101"/>
    <w:rsid w:val="00641A6F"/>
    <w:rsid w:val="00641EB8"/>
    <w:rsid w:val="00642187"/>
    <w:rsid w:val="0064226F"/>
    <w:rsid w:val="00642B76"/>
    <w:rsid w:val="006434ED"/>
    <w:rsid w:val="006447C9"/>
    <w:rsid w:val="0064502E"/>
    <w:rsid w:val="006479FF"/>
    <w:rsid w:val="00647E25"/>
    <w:rsid w:val="006504A3"/>
    <w:rsid w:val="0065154A"/>
    <w:rsid w:val="00651859"/>
    <w:rsid w:val="00652161"/>
    <w:rsid w:val="0065275C"/>
    <w:rsid w:val="00653298"/>
    <w:rsid w:val="00653832"/>
    <w:rsid w:val="00653989"/>
    <w:rsid w:val="00654A3D"/>
    <w:rsid w:val="00655380"/>
    <w:rsid w:val="0065568A"/>
    <w:rsid w:val="00655C35"/>
    <w:rsid w:val="00656105"/>
    <w:rsid w:val="00657029"/>
    <w:rsid w:val="0065703C"/>
    <w:rsid w:val="006617E8"/>
    <w:rsid w:val="00661878"/>
    <w:rsid w:val="006620EF"/>
    <w:rsid w:val="006621E2"/>
    <w:rsid w:val="00662FC7"/>
    <w:rsid w:val="00663A7C"/>
    <w:rsid w:val="00665209"/>
    <w:rsid w:val="00667083"/>
    <w:rsid w:val="00667DF2"/>
    <w:rsid w:val="00667E0A"/>
    <w:rsid w:val="00670677"/>
    <w:rsid w:val="00670DF1"/>
    <w:rsid w:val="00671011"/>
    <w:rsid w:val="00671345"/>
    <w:rsid w:val="00671550"/>
    <w:rsid w:val="00671A14"/>
    <w:rsid w:val="00672430"/>
    <w:rsid w:val="00672A9B"/>
    <w:rsid w:val="00672B5A"/>
    <w:rsid w:val="00673A29"/>
    <w:rsid w:val="00673EB6"/>
    <w:rsid w:val="00674020"/>
    <w:rsid w:val="0067445C"/>
    <w:rsid w:val="00674646"/>
    <w:rsid w:val="00674CCD"/>
    <w:rsid w:val="00675644"/>
    <w:rsid w:val="00675884"/>
    <w:rsid w:val="0067623F"/>
    <w:rsid w:val="00677979"/>
    <w:rsid w:val="006808ED"/>
    <w:rsid w:val="0068183D"/>
    <w:rsid w:val="00682F44"/>
    <w:rsid w:val="00683880"/>
    <w:rsid w:val="00683DA5"/>
    <w:rsid w:val="006848AF"/>
    <w:rsid w:val="00684B05"/>
    <w:rsid w:val="00684E55"/>
    <w:rsid w:val="00686BC9"/>
    <w:rsid w:val="0068740E"/>
    <w:rsid w:val="006878F8"/>
    <w:rsid w:val="00690476"/>
    <w:rsid w:val="00691129"/>
    <w:rsid w:val="00691A00"/>
    <w:rsid w:val="00691BEE"/>
    <w:rsid w:val="00691F25"/>
    <w:rsid w:val="006935A9"/>
    <w:rsid w:val="00693EB9"/>
    <w:rsid w:val="00693FB6"/>
    <w:rsid w:val="00694E5F"/>
    <w:rsid w:val="00694F3E"/>
    <w:rsid w:val="006950AF"/>
    <w:rsid w:val="00695D71"/>
    <w:rsid w:val="00696EE0"/>
    <w:rsid w:val="00696FDF"/>
    <w:rsid w:val="006970EB"/>
    <w:rsid w:val="0069787C"/>
    <w:rsid w:val="00697980"/>
    <w:rsid w:val="00697AE6"/>
    <w:rsid w:val="006A0098"/>
    <w:rsid w:val="006A00E9"/>
    <w:rsid w:val="006A19EF"/>
    <w:rsid w:val="006A1D74"/>
    <w:rsid w:val="006A1DD4"/>
    <w:rsid w:val="006A230C"/>
    <w:rsid w:val="006A43D5"/>
    <w:rsid w:val="006A525B"/>
    <w:rsid w:val="006A53E3"/>
    <w:rsid w:val="006A5F8A"/>
    <w:rsid w:val="006A68DA"/>
    <w:rsid w:val="006A691F"/>
    <w:rsid w:val="006A74B2"/>
    <w:rsid w:val="006A7AC2"/>
    <w:rsid w:val="006A7DE3"/>
    <w:rsid w:val="006B0935"/>
    <w:rsid w:val="006B0D8C"/>
    <w:rsid w:val="006B1850"/>
    <w:rsid w:val="006B2789"/>
    <w:rsid w:val="006B3157"/>
    <w:rsid w:val="006B3667"/>
    <w:rsid w:val="006B36FC"/>
    <w:rsid w:val="006B3FFE"/>
    <w:rsid w:val="006B677A"/>
    <w:rsid w:val="006B6D8E"/>
    <w:rsid w:val="006B6E36"/>
    <w:rsid w:val="006B6E65"/>
    <w:rsid w:val="006B77C2"/>
    <w:rsid w:val="006B7A7A"/>
    <w:rsid w:val="006B7F2C"/>
    <w:rsid w:val="006C045F"/>
    <w:rsid w:val="006C0C60"/>
    <w:rsid w:val="006C19F6"/>
    <w:rsid w:val="006C1FA4"/>
    <w:rsid w:val="006C2ECB"/>
    <w:rsid w:val="006C3520"/>
    <w:rsid w:val="006C3E47"/>
    <w:rsid w:val="006C3F66"/>
    <w:rsid w:val="006C4196"/>
    <w:rsid w:val="006C44E4"/>
    <w:rsid w:val="006C47ED"/>
    <w:rsid w:val="006C4D5B"/>
    <w:rsid w:val="006C5332"/>
    <w:rsid w:val="006C5B1A"/>
    <w:rsid w:val="006C63B0"/>
    <w:rsid w:val="006C6862"/>
    <w:rsid w:val="006C7433"/>
    <w:rsid w:val="006C76A2"/>
    <w:rsid w:val="006C76A8"/>
    <w:rsid w:val="006C78E9"/>
    <w:rsid w:val="006C792E"/>
    <w:rsid w:val="006D0D5F"/>
    <w:rsid w:val="006D0E78"/>
    <w:rsid w:val="006D116C"/>
    <w:rsid w:val="006D242C"/>
    <w:rsid w:val="006D2665"/>
    <w:rsid w:val="006D2933"/>
    <w:rsid w:val="006D2D91"/>
    <w:rsid w:val="006D30F3"/>
    <w:rsid w:val="006D3727"/>
    <w:rsid w:val="006D3A9A"/>
    <w:rsid w:val="006D3AFA"/>
    <w:rsid w:val="006D4099"/>
    <w:rsid w:val="006D5755"/>
    <w:rsid w:val="006D6082"/>
    <w:rsid w:val="006D6DEA"/>
    <w:rsid w:val="006D6FD4"/>
    <w:rsid w:val="006D72B1"/>
    <w:rsid w:val="006E0D7E"/>
    <w:rsid w:val="006E1F4B"/>
    <w:rsid w:val="006E3994"/>
    <w:rsid w:val="006E3B2E"/>
    <w:rsid w:val="006E3DD9"/>
    <w:rsid w:val="006E46C6"/>
    <w:rsid w:val="006E4BAC"/>
    <w:rsid w:val="006E5AB4"/>
    <w:rsid w:val="006E7C42"/>
    <w:rsid w:val="006F0256"/>
    <w:rsid w:val="006F095E"/>
    <w:rsid w:val="006F0F94"/>
    <w:rsid w:val="006F168A"/>
    <w:rsid w:val="006F1B57"/>
    <w:rsid w:val="006F1C0C"/>
    <w:rsid w:val="006F1FE1"/>
    <w:rsid w:val="006F283E"/>
    <w:rsid w:val="006F29AB"/>
    <w:rsid w:val="006F2B77"/>
    <w:rsid w:val="006F317F"/>
    <w:rsid w:val="006F41BF"/>
    <w:rsid w:val="006F4AD3"/>
    <w:rsid w:val="006F4C88"/>
    <w:rsid w:val="006F5076"/>
    <w:rsid w:val="006F6009"/>
    <w:rsid w:val="006F62A9"/>
    <w:rsid w:val="006F6D04"/>
    <w:rsid w:val="00700800"/>
    <w:rsid w:val="00700A94"/>
    <w:rsid w:val="00700C3A"/>
    <w:rsid w:val="00701846"/>
    <w:rsid w:val="00702632"/>
    <w:rsid w:val="0070293F"/>
    <w:rsid w:val="0070321D"/>
    <w:rsid w:val="00703FEF"/>
    <w:rsid w:val="007056F8"/>
    <w:rsid w:val="00705951"/>
    <w:rsid w:val="007060D3"/>
    <w:rsid w:val="007068BA"/>
    <w:rsid w:val="00706B47"/>
    <w:rsid w:val="00707004"/>
    <w:rsid w:val="00707D15"/>
    <w:rsid w:val="0071046A"/>
    <w:rsid w:val="00710D50"/>
    <w:rsid w:val="007124FD"/>
    <w:rsid w:val="00712F59"/>
    <w:rsid w:val="0071316D"/>
    <w:rsid w:val="0071317D"/>
    <w:rsid w:val="00714143"/>
    <w:rsid w:val="007145C7"/>
    <w:rsid w:val="00715895"/>
    <w:rsid w:val="00715CA0"/>
    <w:rsid w:val="0071630E"/>
    <w:rsid w:val="00716AB1"/>
    <w:rsid w:val="00717CD6"/>
    <w:rsid w:val="007200E9"/>
    <w:rsid w:val="0072014A"/>
    <w:rsid w:val="007205CE"/>
    <w:rsid w:val="007205DE"/>
    <w:rsid w:val="007211A2"/>
    <w:rsid w:val="007212E2"/>
    <w:rsid w:val="00721704"/>
    <w:rsid w:val="00721891"/>
    <w:rsid w:val="0072195B"/>
    <w:rsid w:val="00721D63"/>
    <w:rsid w:val="00722D94"/>
    <w:rsid w:val="007236F4"/>
    <w:rsid w:val="0072397F"/>
    <w:rsid w:val="00723AE7"/>
    <w:rsid w:val="00724B5B"/>
    <w:rsid w:val="00724BF7"/>
    <w:rsid w:val="00725731"/>
    <w:rsid w:val="00725F91"/>
    <w:rsid w:val="00726142"/>
    <w:rsid w:val="007267A7"/>
    <w:rsid w:val="00726D4F"/>
    <w:rsid w:val="007274A5"/>
    <w:rsid w:val="007276A5"/>
    <w:rsid w:val="00730F74"/>
    <w:rsid w:val="0073125A"/>
    <w:rsid w:val="00731351"/>
    <w:rsid w:val="00731635"/>
    <w:rsid w:val="00731780"/>
    <w:rsid w:val="00731819"/>
    <w:rsid w:val="00731FAA"/>
    <w:rsid w:val="00732364"/>
    <w:rsid w:val="00732833"/>
    <w:rsid w:val="00732844"/>
    <w:rsid w:val="0073298A"/>
    <w:rsid w:val="00732B81"/>
    <w:rsid w:val="00732C7B"/>
    <w:rsid w:val="00732FE8"/>
    <w:rsid w:val="00732FED"/>
    <w:rsid w:val="00733B89"/>
    <w:rsid w:val="00733F43"/>
    <w:rsid w:val="00733FC6"/>
    <w:rsid w:val="007340E6"/>
    <w:rsid w:val="007349E9"/>
    <w:rsid w:val="00734D2B"/>
    <w:rsid w:val="00735A5C"/>
    <w:rsid w:val="00735C4E"/>
    <w:rsid w:val="00736332"/>
    <w:rsid w:val="0073646D"/>
    <w:rsid w:val="00736B4D"/>
    <w:rsid w:val="00737705"/>
    <w:rsid w:val="00737786"/>
    <w:rsid w:val="007405B2"/>
    <w:rsid w:val="007408D4"/>
    <w:rsid w:val="00741172"/>
    <w:rsid w:val="00741445"/>
    <w:rsid w:val="007420AC"/>
    <w:rsid w:val="00742561"/>
    <w:rsid w:val="00742617"/>
    <w:rsid w:val="00742867"/>
    <w:rsid w:val="00742F08"/>
    <w:rsid w:val="0074378E"/>
    <w:rsid w:val="00743857"/>
    <w:rsid w:val="0074396C"/>
    <w:rsid w:val="00743BBB"/>
    <w:rsid w:val="0074418E"/>
    <w:rsid w:val="007445A3"/>
    <w:rsid w:val="00744701"/>
    <w:rsid w:val="0074480D"/>
    <w:rsid w:val="00747121"/>
    <w:rsid w:val="00750150"/>
    <w:rsid w:val="00750D2B"/>
    <w:rsid w:val="007514C2"/>
    <w:rsid w:val="00751D0C"/>
    <w:rsid w:val="00752672"/>
    <w:rsid w:val="007534B6"/>
    <w:rsid w:val="00753CED"/>
    <w:rsid w:val="00755252"/>
    <w:rsid w:val="007556BE"/>
    <w:rsid w:val="00755760"/>
    <w:rsid w:val="00756329"/>
    <w:rsid w:val="00756DF5"/>
    <w:rsid w:val="00756E2B"/>
    <w:rsid w:val="00757994"/>
    <w:rsid w:val="00757CBD"/>
    <w:rsid w:val="00760F8D"/>
    <w:rsid w:val="007612E4"/>
    <w:rsid w:val="00762778"/>
    <w:rsid w:val="0076284C"/>
    <w:rsid w:val="00762DA0"/>
    <w:rsid w:val="00762EAB"/>
    <w:rsid w:val="00763107"/>
    <w:rsid w:val="00763A89"/>
    <w:rsid w:val="007645BB"/>
    <w:rsid w:val="00766608"/>
    <w:rsid w:val="007668B3"/>
    <w:rsid w:val="00766EA7"/>
    <w:rsid w:val="00767BCB"/>
    <w:rsid w:val="00767EED"/>
    <w:rsid w:val="007701BD"/>
    <w:rsid w:val="0077148D"/>
    <w:rsid w:val="00772538"/>
    <w:rsid w:val="00774C94"/>
    <w:rsid w:val="007753E4"/>
    <w:rsid w:val="007760D1"/>
    <w:rsid w:val="007776E5"/>
    <w:rsid w:val="00780D1A"/>
    <w:rsid w:val="007818E1"/>
    <w:rsid w:val="007822B1"/>
    <w:rsid w:val="00783AFA"/>
    <w:rsid w:val="0078454B"/>
    <w:rsid w:val="0078462A"/>
    <w:rsid w:val="0078468E"/>
    <w:rsid w:val="00784C69"/>
    <w:rsid w:val="00785427"/>
    <w:rsid w:val="00785E3B"/>
    <w:rsid w:val="0078729A"/>
    <w:rsid w:val="0078772F"/>
    <w:rsid w:val="00787B3B"/>
    <w:rsid w:val="00787B9E"/>
    <w:rsid w:val="00790155"/>
    <w:rsid w:val="00790540"/>
    <w:rsid w:val="00790602"/>
    <w:rsid w:val="00791463"/>
    <w:rsid w:val="00791984"/>
    <w:rsid w:val="00791ACD"/>
    <w:rsid w:val="007925B8"/>
    <w:rsid w:val="007935A0"/>
    <w:rsid w:val="007939E4"/>
    <w:rsid w:val="007939F0"/>
    <w:rsid w:val="00794B3C"/>
    <w:rsid w:val="00795735"/>
    <w:rsid w:val="00795835"/>
    <w:rsid w:val="007968CA"/>
    <w:rsid w:val="00796908"/>
    <w:rsid w:val="00797EFE"/>
    <w:rsid w:val="007A01A9"/>
    <w:rsid w:val="007A1906"/>
    <w:rsid w:val="007A1ABD"/>
    <w:rsid w:val="007A2560"/>
    <w:rsid w:val="007A3371"/>
    <w:rsid w:val="007A36F4"/>
    <w:rsid w:val="007A3C1F"/>
    <w:rsid w:val="007A43FF"/>
    <w:rsid w:val="007A44B6"/>
    <w:rsid w:val="007A5591"/>
    <w:rsid w:val="007A56D3"/>
    <w:rsid w:val="007A5964"/>
    <w:rsid w:val="007A5FAF"/>
    <w:rsid w:val="007A6824"/>
    <w:rsid w:val="007A781A"/>
    <w:rsid w:val="007B02A8"/>
    <w:rsid w:val="007B1192"/>
    <w:rsid w:val="007B1FF5"/>
    <w:rsid w:val="007B228E"/>
    <w:rsid w:val="007B22C9"/>
    <w:rsid w:val="007B2B43"/>
    <w:rsid w:val="007B385D"/>
    <w:rsid w:val="007B3918"/>
    <w:rsid w:val="007B474D"/>
    <w:rsid w:val="007C0AD9"/>
    <w:rsid w:val="007C0B85"/>
    <w:rsid w:val="007C2DA2"/>
    <w:rsid w:val="007C3748"/>
    <w:rsid w:val="007C377F"/>
    <w:rsid w:val="007C3C1D"/>
    <w:rsid w:val="007C4543"/>
    <w:rsid w:val="007C4DA0"/>
    <w:rsid w:val="007C4F94"/>
    <w:rsid w:val="007C5475"/>
    <w:rsid w:val="007C6B8B"/>
    <w:rsid w:val="007C7296"/>
    <w:rsid w:val="007C7794"/>
    <w:rsid w:val="007C7799"/>
    <w:rsid w:val="007D0B81"/>
    <w:rsid w:val="007D0F5B"/>
    <w:rsid w:val="007D199A"/>
    <w:rsid w:val="007D2D02"/>
    <w:rsid w:val="007D2EBE"/>
    <w:rsid w:val="007D2F3D"/>
    <w:rsid w:val="007D3EA6"/>
    <w:rsid w:val="007D5821"/>
    <w:rsid w:val="007D5AF7"/>
    <w:rsid w:val="007D6368"/>
    <w:rsid w:val="007D6BCD"/>
    <w:rsid w:val="007D7134"/>
    <w:rsid w:val="007D76D2"/>
    <w:rsid w:val="007E040E"/>
    <w:rsid w:val="007E0755"/>
    <w:rsid w:val="007E07BD"/>
    <w:rsid w:val="007E096F"/>
    <w:rsid w:val="007E101A"/>
    <w:rsid w:val="007E1540"/>
    <w:rsid w:val="007E1C07"/>
    <w:rsid w:val="007E264D"/>
    <w:rsid w:val="007E289F"/>
    <w:rsid w:val="007E31AC"/>
    <w:rsid w:val="007E3397"/>
    <w:rsid w:val="007E366F"/>
    <w:rsid w:val="007E3F73"/>
    <w:rsid w:val="007E534B"/>
    <w:rsid w:val="007E567E"/>
    <w:rsid w:val="007E7BE4"/>
    <w:rsid w:val="007F215B"/>
    <w:rsid w:val="007F24B6"/>
    <w:rsid w:val="007F2A70"/>
    <w:rsid w:val="007F3972"/>
    <w:rsid w:val="007F4AE5"/>
    <w:rsid w:val="007F4C70"/>
    <w:rsid w:val="007F5305"/>
    <w:rsid w:val="007F5592"/>
    <w:rsid w:val="007F5EFE"/>
    <w:rsid w:val="007F7057"/>
    <w:rsid w:val="007F70BA"/>
    <w:rsid w:val="00801103"/>
    <w:rsid w:val="00802FD4"/>
    <w:rsid w:val="0080381B"/>
    <w:rsid w:val="00803D94"/>
    <w:rsid w:val="008048EF"/>
    <w:rsid w:val="00804DD6"/>
    <w:rsid w:val="008053EB"/>
    <w:rsid w:val="008053FD"/>
    <w:rsid w:val="008055A1"/>
    <w:rsid w:val="008062BB"/>
    <w:rsid w:val="008067A0"/>
    <w:rsid w:val="00806D68"/>
    <w:rsid w:val="0080766B"/>
    <w:rsid w:val="0081110A"/>
    <w:rsid w:val="00812B54"/>
    <w:rsid w:val="00812C29"/>
    <w:rsid w:val="00815677"/>
    <w:rsid w:val="00815CDD"/>
    <w:rsid w:val="00816445"/>
    <w:rsid w:val="008169B9"/>
    <w:rsid w:val="008173AC"/>
    <w:rsid w:val="0081751D"/>
    <w:rsid w:val="008209BD"/>
    <w:rsid w:val="00821437"/>
    <w:rsid w:val="008229BA"/>
    <w:rsid w:val="00822B22"/>
    <w:rsid w:val="00823889"/>
    <w:rsid w:val="00823D21"/>
    <w:rsid w:val="00825890"/>
    <w:rsid w:val="00825B1E"/>
    <w:rsid w:val="00826C10"/>
    <w:rsid w:val="008271ED"/>
    <w:rsid w:val="00827233"/>
    <w:rsid w:val="008272AB"/>
    <w:rsid w:val="008302DB"/>
    <w:rsid w:val="008317A3"/>
    <w:rsid w:val="00832026"/>
    <w:rsid w:val="008320B8"/>
    <w:rsid w:val="00834427"/>
    <w:rsid w:val="008349A6"/>
    <w:rsid w:val="00835022"/>
    <w:rsid w:val="00835E88"/>
    <w:rsid w:val="0083606B"/>
    <w:rsid w:val="0083607C"/>
    <w:rsid w:val="00836192"/>
    <w:rsid w:val="00836334"/>
    <w:rsid w:val="0083673E"/>
    <w:rsid w:val="00836C17"/>
    <w:rsid w:val="00836ED5"/>
    <w:rsid w:val="00837199"/>
    <w:rsid w:val="008373D8"/>
    <w:rsid w:val="00840157"/>
    <w:rsid w:val="008402FE"/>
    <w:rsid w:val="0084045D"/>
    <w:rsid w:val="00840D74"/>
    <w:rsid w:val="0084146D"/>
    <w:rsid w:val="0084289A"/>
    <w:rsid w:val="00842ED4"/>
    <w:rsid w:val="00844190"/>
    <w:rsid w:val="00844295"/>
    <w:rsid w:val="008448B2"/>
    <w:rsid w:val="00844EC8"/>
    <w:rsid w:val="00845390"/>
    <w:rsid w:val="0084601B"/>
    <w:rsid w:val="0084639D"/>
    <w:rsid w:val="00846473"/>
    <w:rsid w:val="0084671B"/>
    <w:rsid w:val="008468D5"/>
    <w:rsid w:val="0084799A"/>
    <w:rsid w:val="00847AE1"/>
    <w:rsid w:val="0085010C"/>
    <w:rsid w:val="00851EE5"/>
    <w:rsid w:val="00852140"/>
    <w:rsid w:val="00852212"/>
    <w:rsid w:val="00852677"/>
    <w:rsid w:val="00852B17"/>
    <w:rsid w:val="008539DD"/>
    <w:rsid w:val="00854010"/>
    <w:rsid w:val="008548E9"/>
    <w:rsid w:val="00854B4E"/>
    <w:rsid w:val="00854C31"/>
    <w:rsid w:val="00854C96"/>
    <w:rsid w:val="00854F05"/>
    <w:rsid w:val="00855282"/>
    <w:rsid w:val="00855645"/>
    <w:rsid w:val="00856590"/>
    <w:rsid w:val="008571FA"/>
    <w:rsid w:val="00857AFA"/>
    <w:rsid w:val="00857CCF"/>
    <w:rsid w:val="00857F2C"/>
    <w:rsid w:val="008606F0"/>
    <w:rsid w:val="00860D39"/>
    <w:rsid w:val="008615B0"/>
    <w:rsid w:val="008651A3"/>
    <w:rsid w:val="00865489"/>
    <w:rsid w:val="0086553D"/>
    <w:rsid w:val="00865DDC"/>
    <w:rsid w:val="00866D07"/>
    <w:rsid w:val="00867B43"/>
    <w:rsid w:val="00870810"/>
    <w:rsid w:val="00870A8C"/>
    <w:rsid w:val="008716E1"/>
    <w:rsid w:val="008718C8"/>
    <w:rsid w:val="008727D0"/>
    <w:rsid w:val="008728A1"/>
    <w:rsid w:val="008728A8"/>
    <w:rsid w:val="0087331A"/>
    <w:rsid w:val="00873D6E"/>
    <w:rsid w:val="008749F8"/>
    <w:rsid w:val="00874BDF"/>
    <w:rsid w:val="00874FEB"/>
    <w:rsid w:val="00875EB9"/>
    <w:rsid w:val="00876B62"/>
    <w:rsid w:val="0088060C"/>
    <w:rsid w:val="00880C2A"/>
    <w:rsid w:val="00881B6F"/>
    <w:rsid w:val="008820B5"/>
    <w:rsid w:val="00882708"/>
    <w:rsid w:val="00882AA4"/>
    <w:rsid w:val="008830E0"/>
    <w:rsid w:val="00883460"/>
    <w:rsid w:val="00883E22"/>
    <w:rsid w:val="00884237"/>
    <w:rsid w:val="00884E43"/>
    <w:rsid w:val="00885722"/>
    <w:rsid w:val="00885D46"/>
    <w:rsid w:val="00885F6B"/>
    <w:rsid w:val="0088606B"/>
    <w:rsid w:val="008862DE"/>
    <w:rsid w:val="008865FD"/>
    <w:rsid w:val="00886782"/>
    <w:rsid w:val="00886DCB"/>
    <w:rsid w:val="00887002"/>
    <w:rsid w:val="00887533"/>
    <w:rsid w:val="00887EC6"/>
    <w:rsid w:val="008902E6"/>
    <w:rsid w:val="00890667"/>
    <w:rsid w:val="0089084C"/>
    <w:rsid w:val="00890CBC"/>
    <w:rsid w:val="00890D87"/>
    <w:rsid w:val="00891167"/>
    <w:rsid w:val="00892B40"/>
    <w:rsid w:val="00892B6A"/>
    <w:rsid w:val="00892B92"/>
    <w:rsid w:val="00893409"/>
    <w:rsid w:val="00893701"/>
    <w:rsid w:val="00893D9F"/>
    <w:rsid w:val="00894191"/>
    <w:rsid w:val="00895F26"/>
    <w:rsid w:val="0089711D"/>
    <w:rsid w:val="008972E3"/>
    <w:rsid w:val="008976EA"/>
    <w:rsid w:val="008A01C1"/>
    <w:rsid w:val="008A0416"/>
    <w:rsid w:val="008A142F"/>
    <w:rsid w:val="008A1470"/>
    <w:rsid w:val="008A15BD"/>
    <w:rsid w:val="008A175C"/>
    <w:rsid w:val="008A1C65"/>
    <w:rsid w:val="008A1EE4"/>
    <w:rsid w:val="008A1FF0"/>
    <w:rsid w:val="008A2379"/>
    <w:rsid w:val="008A25FF"/>
    <w:rsid w:val="008A28B8"/>
    <w:rsid w:val="008A2A11"/>
    <w:rsid w:val="008A2E9B"/>
    <w:rsid w:val="008A35D2"/>
    <w:rsid w:val="008A4329"/>
    <w:rsid w:val="008A4533"/>
    <w:rsid w:val="008A563C"/>
    <w:rsid w:val="008A578E"/>
    <w:rsid w:val="008A6042"/>
    <w:rsid w:val="008A64CF"/>
    <w:rsid w:val="008A692F"/>
    <w:rsid w:val="008A6C7F"/>
    <w:rsid w:val="008A7C3A"/>
    <w:rsid w:val="008B0ECC"/>
    <w:rsid w:val="008B12DF"/>
    <w:rsid w:val="008B1519"/>
    <w:rsid w:val="008B1772"/>
    <w:rsid w:val="008B2C39"/>
    <w:rsid w:val="008B2F18"/>
    <w:rsid w:val="008B3779"/>
    <w:rsid w:val="008B3AB3"/>
    <w:rsid w:val="008B3B88"/>
    <w:rsid w:val="008B3E73"/>
    <w:rsid w:val="008B40AE"/>
    <w:rsid w:val="008B4C12"/>
    <w:rsid w:val="008B5BD9"/>
    <w:rsid w:val="008B6101"/>
    <w:rsid w:val="008B69E3"/>
    <w:rsid w:val="008B6A06"/>
    <w:rsid w:val="008B6F8C"/>
    <w:rsid w:val="008B751C"/>
    <w:rsid w:val="008B790B"/>
    <w:rsid w:val="008B7BCC"/>
    <w:rsid w:val="008C0AA5"/>
    <w:rsid w:val="008C0B1D"/>
    <w:rsid w:val="008C1A0C"/>
    <w:rsid w:val="008C1DD4"/>
    <w:rsid w:val="008C2478"/>
    <w:rsid w:val="008C32F0"/>
    <w:rsid w:val="008C37B3"/>
    <w:rsid w:val="008C3882"/>
    <w:rsid w:val="008C39C8"/>
    <w:rsid w:val="008C4531"/>
    <w:rsid w:val="008C4E6B"/>
    <w:rsid w:val="008C4FEF"/>
    <w:rsid w:val="008C50C3"/>
    <w:rsid w:val="008C54E2"/>
    <w:rsid w:val="008C7094"/>
    <w:rsid w:val="008D05AC"/>
    <w:rsid w:val="008D0692"/>
    <w:rsid w:val="008D07BE"/>
    <w:rsid w:val="008D0A73"/>
    <w:rsid w:val="008D0F75"/>
    <w:rsid w:val="008D17FC"/>
    <w:rsid w:val="008D2B97"/>
    <w:rsid w:val="008D315F"/>
    <w:rsid w:val="008D3F49"/>
    <w:rsid w:val="008D4383"/>
    <w:rsid w:val="008D49A5"/>
    <w:rsid w:val="008D54BE"/>
    <w:rsid w:val="008D5694"/>
    <w:rsid w:val="008D6770"/>
    <w:rsid w:val="008D6C81"/>
    <w:rsid w:val="008D7110"/>
    <w:rsid w:val="008D7174"/>
    <w:rsid w:val="008E03CB"/>
    <w:rsid w:val="008E10B6"/>
    <w:rsid w:val="008E1544"/>
    <w:rsid w:val="008E1BF6"/>
    <w:rsid w:val="008E1F71"/>
    <w:rsid w:val="008E30C2"/>
    <w:rsid w:val="008E31CD"/>
    <w:rsid w:val="008E3B62"/>
    <w:rsid w:val="008E4527"/>
    <w:rsid w:val="008E56C6"/>
    <w:rsid w:val="008E63B3"/>
    <w:rsid w:val="008E699C"/>
    <w:rsid w:val="008E6CF0"/>
    <w:rsid w:val="008E786D"/>
    <w:rsid w:val="008F0B48"/>
    <w:rsid w:val="008F0C26"/>
    <w:rsid w:val="008F1073"/>
    <w:rsid w:val="008F1439"/>
    <w:rsid w:val="008F174A"/>
    <w:rsid w:val="008F1B7E"/>
    <w:rsid w:val="008F1C6C"/>
    <w:rsid w:val="008F2AA7"/>
    <w:rsid w:val="008F373B"/>
    <w:rsid w:val="008F3813"/>
    <w:rsid w:val="008F543E"/>
    <w:rsid w:val="008F6691"/>
    <w:rsid w:val="008F6BA2"/>
    <w:rsid w:val="008F6C49"/>
    <w:rsid w:val="008F7051"/>
    <w:rsid w:val="008F70EF"/>
    <w:rsid w:val="008F75EF"/>
    <w:rsid w:val="008F7651"/>
    <w:rsid w:val="008F769E"/>
    <w:rsid w:val="008F7749"/>
    <w:rsid w:val="008F77FE"/>
    <w:rsid w:val="008F7F06"/>
    <w:rsid w:val="00900286"/>
    <w:rsid w:val="009006B6"/>
    <w:rsid w:val="00900CC1"/>
    <w:rsid w:val="00900F65"/>
    <w:rsid w:val="0090161E"/>
    <w:rsid w:val="00902622"/>
    <w:rsid w:val="00902932"/>
    <w:rsid w:val="009033A9"/>
    <w:rsid w:val="009038FA"/>
    <w:rsid w:val="00903A3E"/>
    <w:rsid w:val="00904152"/>
    <w:rsid w:val="00904A05"/>
    <w:rsid w:val="00904F46"/>
    <w:rsid w:val="0090581D"/>
    <w:rsid w:val="00906BDE"/>
    <w:rsid w:val="009074C3"/>
    <w:rsid w:val="00907611"/>
    <w:rsid w:val="00907916"/>
    <w:rsid w:val="00907C5E"/>
    <w:rsid w:val="009100E5"/>
    <w:rsid w:val="0091071E"/>
    <w:rsid w:val="00910830"/>
    <w:rsid w:val="00913064"/>
    <w:rsid w:val="00913949"/>
    <w:rsid w:val="0091439C"/>
    <w:rsid w:val="00914A4B"/>
    <w:rsid w:val="00914B3C"/>
    <w:rsid w:val="009161A1"/>
    <w:rsid w:val="00916284"/>
    <w:rsid w:val="0091658D"/>
    <w:rsid w:val="00916E2C"/>
    <w:rsid w:val="00916EB3"/>
    <w:rsid w:val="009172AE"/>
    <w:rsid w:val="00917FA5"/>
    <w:rsid w:val="00920572"/>
    <w:rsid w:val="009208A9"/>
    <w:rsid w:val="00920A56"/>
    <w:rsid w:val="00920BF2"/>
    <w:rsid w:val="00921774"/>
    <w:rsid w:val="009228D9"/>
    <w:rsid w:val="009235E5"/>
    <w:rsid w:val="009243C0"/>
    <w:rsid w:val="00924CBA"/>
    <w:rsid w:val="00925AFF"/>
    <w:rsid w:val="009265C3"/>
    <w:rsid w:val="00926607"/>
    <w:rsid w:val="00926D5F"/>
    <w:rsid w:val="00926DE4"/>
    <w:rsid w:val="00927820"/>
    <w:rsid w:val="00927976"/>
    <w:rsid w:val="00930054"/>
    <w:rsid w:val="00930515"/>
    <w:rsid w:val="00930C91"/>
    <w:rsid w:val="009313C1"/>
    <w:rsid w:val="00931E7E"/>
    <w:rsid w:val="009325B8"/>
    <w:rsid w:val="00933732"/>
    <w:rsid w:val="0093373C"/>
    <w:rsid w:val="00933BDB"/>
    <w:rsid w:val="009349A9"/>
    <w:rsid w:val="00934B61"/>
    <w:rsid w:val="00935155"/>
    <w:rsid w:val="00935475"/>
    <w:rsid w:val="009355CD"/>
    <w:rsid w:val="00936C52"/>
    <w:rsid w:val="00940D8F"/>
    <w:rsid w:val="009412FD"/>
    <w:rsid w:val="009415E4"/>
    <w:rsid w:val="00941BD6"/>
    <w:rsid w:val="00941EC4"/>
    <w:rsid w:val="009423A9"/>
    <w:rsid w:val="00942E55"/>
    <w:rsid w:val="00942F73"/>
    <w:rsid w:val="0094362A"/>
    <w:rsid w:val="00943663"/>
    <w:rsid w:val="00944BEE"/>
    <w:rsid w:val="00944CD8"/>
    <w:rsid w:val="00946CB6"/>
    <w:rsid w:val="00946CFE"/>
    <w:rsid w:val="00947755"/>
    <w:rsid w:val="009479A1"/>
    <w:rsid w:val="009500CC"/>
    <w:rsid w:val="00950888"/>
    <w:rsid w:val="00950C96"/>
    <w:rsid w:val="00951A28"/>
    <w:rsid w:val="00953DFE"/>
    <w:rsid w:val="0095489B"/>
    <w:rsid w:val="00954945"/>
    <w:rsid w:val="00954C67"/>
    <w:rsid w:val="0095513C"/>
    <w:rsid w:val="0095572A"/>
    <w:rsid w:val="00956071"/>
    <w:rsid w:val="00956BAD"/>
    <w:rsid w:val="00956E81"/>
    <w:rsid w:val="00956E9E"/>
    <w:rsid w:val="009577FD"/>
    <w:rsid w:val="00957D97"/>
    <w:rsid w:val="00957F94"/>
    <w:rsid w:val="00960E50"/>
    <w:rsid w:val="00961238"/>
    <w:rsid w:val="00961627"/>
    <w:rsid w:val="009629BA"/>
    <w:rsid w:val="00962BA4"/>
    <w:rsid w:val="00962C51"/>
    <w:rsid w:val="00962D37"/>
    <w:rsid w:val="00963420"/>
    <w:rsid w:val="00963E04"/>
    <w:rsid w:val="009641DB"/>
    <w:rsid w:val="00964445"/>
    <w:rsid w:val="00964513"/>
    <w:rsid w:val="00964629"/>
    <w:rsid w:val="00964639"/>
    <w:rsid w:val="009648CB"/>
    <w:rsid w:val="0096558E"/>
    <w:rsid w:val="00965715"/>
    <w:rsid w:val="00966F03"/>
    <w:rsid w:val="00966FB9"/>
    <w:rsid w:val="009671CD"/>
    <w:rsid w:val="0096776A"/>
    <w:rsid w:val="00971691"/>
    <w:rsid w:val="0097174E"/>
    <w:rsid w:val="009728B8"/>
    <w:rsid w:val="0097319E"/>
    <w:rsid w:val="00973674"/>
    <w:rsid w:val="00974361"/>
    <w:rsid w:val="0097459E"/>
    <w:rsid w:val="009750CF"/>
    <w:rsid w:val="009751A9"/>
    <w:rsid w:val="00975B33"/>
    <w:rsid w:val="0097668C"/>
    <w:rsid w:val="00977147"/>
    <w:rsid w:val="00977F2A"/>
    <w:rsid w:val="00980B41"/>
    <w:rsid w:val="00980F0E"/>
    <w:rsid w:val="00980F9C"/>
    <w:rsid w:val="00983C57"/>
    <w:rsid w:val="009853FF"/>
    <w:rsid w:val="009861AE"/>
    <w:rsid w:val="0098632B"/>
    <w:rsid w:val="009865E5"/>
    <w:rsid w:val="00986624"/>
    <w:rsid w:val="009866AE"/>
    <w:rsid w:val="0098754A"/>
    <w:rsid w:val="009878F3"/>
    <w:rsid w:val="00987F18"/>
    <w:rsid w:val="00990065"/>
    <w:rsid w:val="009913D4"/>
    <w:rsid w:val="00991B26"/>
    <w:rsid w:val="0099240D"/>
    <w:rsid w:val="00992BA9"/>
    <w:rsid w:val="00992CD3"/>
    <w:rsid w:val="00993289"/>
    <w:rsid w:val="00993B20"/>
    <w:rsid w:val="00993D20"/>
    <w:rsid w:val="00994012"/>
    <w:rsid w:val="009942C5"/>
    <w:rsid w:val="0099485E"/>
    <w:rsid w:val="009956AC"/>
    <w:rsid w:val="00995EB9"/>
    <w:rsid w:val="00996624"/>
    <w:rsid w:val="00997BFB"/>
    <w:rsid w:val="009A0AA4"/>
    <w:rsid w:val="009A0B17"/>
    <w:rsid w:val="009A2C5B"/>
    <w:rsid w:val="009A434C"/>
    <w:rsid w:val="009A444C"/>
    <w:rsid w:val="009A4538"/>
    <w:rsid w:val="009A454E"/>
    <w:rsid w:val="009A4F48"/>
    <w:rsid w:val="009A4F68"/>
    <w:rsid w:val="009A50F8"/>
    <w:rsid w:val="009A5D71"/>
    <w:rsid w:val="009A7348"/>
    <w:rsid w:val="009A73E8"/>
    <w:rsid w:val="009B07A6"/>
    <w:rsid w:val="009B0959"/>
    <w:rsid w:val="009B0D74"/>
    <w:rsid w:val="009B1155"/>
    <w:rsid w:val="009B15ED"/>
    <w:rsid w:val="009B16EC"/>
    <w:rsid w:val="009B216A"/>
    <w:rsid w:val="009B40EF"/>
    <w:rsid w:val="009B462C"/>
    <w:rsid w:val="009B5073"/>
    <w:rsid w:val="009B5F1D"/>
    <w:rsid w:val="009B6733"/>
    <w:rsid w:val="009B6BCD"/>
    <w:rsid w:val="009B78B0"/>
    <w:rsid w:val="009B7E1D"/>
    <w:rsid w:val="009B7E8A"/>
    <w:rsid w:val="009C0F66"/>
    <w:rsid w:val="009C1005"/>
    <w:rsid w:val="009C114D"/>
    <w:rsid w:val="009C15F3"/>
    <w:rsid w:val="009C22B3"/>
    <w:rsid w:val="009C2684"/>
    <w:rsid w:val="009C2C8C"/>
    <w:rsid w:val="009C2EC3"/>
    <w:rsid w:val="009C34E1"/>
    <w:rsid w:val="009C3D04"/>
    <w:rsid w:val="009C47D4"/>
    <w:rsid w:val="009C4EAE"/>
    <w:rsid w:val="009C52D0"/>
    <w:rsid w:val="009C6364"/>
    <w:rsid w:val="009C6985"/>
    <w:rsid w:val="009C6EC4"/>
    <w:rsid w:val="009C7A01"/>
    <w:rsid w:val="009C7DC5"/>
    <w:rsid w:val="009D083E"/>
    <w:rsid w:val="009D1697"/>
    <w:rsid w:val="009D1AEE"/>
    <w:rsid w:val="009D1CAF"/>
    <w:rsid w:val="009D26C4"/>
    <w:rsid w:val="009D2EEE"/>
    <w:rsid w:val="009D3A36"/>
    <w:rsid w:val="009D3B18"/>
    <w:rsid w:val="009D3D35"/>
    <w:rsid w:val="009D3D43"/>
    <w:rsid w:val="009D3DDF"/>
    <w:rsid w:val="009D4189"/>
    <w:rsid w:val="009D4B9C"/>
    <w:rsid w:val="009D5173"/>
    <w:rsid w:val="009D5394"/>
    <w:rsid w:val="009D5D2B"/>
    <w:rsid w:val="009D5D46"/>
    <w:rsid w:val="009D6219"/>
    <w:rsid w:val="009D6DB1"/>
    <w:rsid w:val="009D7733"/>
    <w:rsid w:val="009D7ED1"/>
    <w:rsid w:val="009E07C2"/>
    <w:rsid w:val="009E0E52"/>
    <w:rsid w:val="009E18EB"/>
    <w:rsid w:val="009E1AAB"/>
    <w:rsid w:val="009E3C45"/>
    <w:rsid w:val="009E4652"/>
    <w:rsid w:val="009E4697"/>
    <w:rsid w:val="009E4CC1"/>
    <w:rsid w:val="009E56E8"/>
    <w:rsid w:val="009E747D"/>
    <w:rsid w:val="009E788A"/>
    <w:rsid w:val="009F0419"/>
    <w:rsid w:val="009F07BE"/>
    <w:rsid w:val="009F142A"/>
    <w:rsid w:val="009F17D7"/>
    <w:rsid w:val="009F194B"/>
    <w:rsid w:val="009F1A1E"/>
    <w:rsid w:val="009F26C6"/>
    <w:rsid w:val="009F43F3"/>
    <w:rsid w:val="009F50E5"/>
    <w:rsid w:val="009F5453"/>
    <w:rsid w:val="009F5BDD"/>
    <w:rsid w:val="009F5D9C"/>
    <w:rsid w:val="009F609D"/>
    <w:rsid w:val="009F66A3"/>
    <w:rsid w:val="009F72F9"/>
    <w:rsid w:val="009F73F7"/>
    <w:rsid w:val="009F743C"/>
    <w:rsid w:val="009F756E"/>
    <w:rsid w:val="00A00205"/>
    <w:rsid w:val="00A008CC"/>
    <w:rsid w:val="00A00AF0"/>
    <w:rsid w:val="00A01F4A"/>
    <w:rsid w:val="00A05419"/>
    <w:rsid w:val="00A06206"/>
    <w:rsid w:val="00A06227"/>
    <w:rsid w:val="00A068A4"/>
    <w:rsid w:val="00A07BE5"/>
    <w:rsid w:val="00A1005E"/>
    <w:rsid w:val="00A107F3"/>
    <w:rsid w:val="00A10E61"/>
    <w:rsid w:val="00A11075"/>
    <w:rsid w:val="00A111E7"/>
    <w:rsid w:val="00A118A7"/>
    <w:rsid w:val="00A11E15"/>
    <w:rsid w:val="00A12518"/>
    <w:rsid w:val="00A12DEF"/>
    <w:rsid w:val="00A12E1A"/>
    <w:rsid w:val="00A13508"/>
    <w:rsid w:val="00A138F2"/>
    <w:rsid w:val="00A13DE4"/>
    <w:rsid w:val="00A14106"/>
    <w:rsid w:val="00A14974"/>
    <w:rsid w:val="00A14B3B"/>
    <w:rsid w:val="00A14B4D"/>
    <w:rsid w:val="00A14B5A"/>
    <w:rsid w:val="00A151C9"/>
    <w:rsid w:val="00A15AA4"/>
    <w:rsid w:val="00A15BDF"/>
    <w:rsid w:val="00A16810"/>
    <w:rsid w:val="00A16CA8"/>
    <w:rsid w:val="00A16DC3"/>
    <w:rsid w:val="00A16F12"/>
    <w:rsid w:val="00A17116"/>
    <w:rsid w:val="00A173B2"/>
    <w:rsid w:val="00A206FD"/>
    <w:rsid w:val="00A2264A"/>
    <w:rsid w:val="00A22F37"/>
    <w:rsid w:val="00A23150"/>
    <w:rsid w:val="00A23396"/>
    <w:rsid w:val="00A235C2"/>
    <w:rsid w:val="00A23C0F"/>
    <w:rsid w:val="00A2520A"/>
    <w:rsid w:val="00A26D55"/>
    <w:rsid w:val="00A2705B"/>
    <w:rsid w:val="00A2716D"/>
    <w:rsid w:val="00A274B6"/>
    <w:rsid w:val="00A30710"/>
    <w:rsid w:val="00A30F51"/>
    <w:rsid w:val="00A324D2"/>
    <w:rsid w:val="00A32B1F"/>
    <w:rsid w:val="00A3455B"/>
    <w:rsid w:val="00A347F6"/>
    <w:rsid w:val="00A34D06"/>
    <w:rsid w:val="00A352D1"/>
    <w:rsid w:val="00A355C6"/>
    <w:rsid w:val="00A3567F"/>
    <w:rsid w:val="00A37698"/>
    <w:rsid w:val="00A3770C"/>
    <w:rsid w:val="00A405C6"/>
    <w:rsid w:val="00A41CA0"/>
    <w:rsid w:val="00A41ED3"/>
    <w:rsid w:val="00A4232B"/>
    <w:rsid w:val="00A42C54"/>
    <w:rsid w:val="00A431A9"/>
    <w:rsid w:val="00A43C85"/>
    <w:rsid w:val="00A43CD4"/>
    <w:rsid w:val="00A44AF0"/>
    <w:rsid w:val="00A44BCB"/>
    <w:rsid w:val="00A4569D"/>
    <w:rsid w:val="00A45957"/>
    <w:rsid w:val="00A45A57"/>
    <w:rsid w:val="00A46726"/>
    <w:rsid w:val="00A47741"/>
    <w:rsid w:val="00A47CE9"/>
    <w:rsid w:val="00A501C1"/>
    <w:rsid w:val="00A50555"/>
    <w:rsid w:val="00A5057F"/>
    <w:rsid w:val="00A511AC"/>
    <w:rsid w:val="00A51349"/>
    <w:rsid w:val="00A51C83"/>
    <w:rsid w:val="00A52613"/>
    <w:rsid w:val="00A526D8"/>
    <w:rsid w:val="00A528B1"/>
    <w:rsid w:val="00A53CEF"/>
    <w:rsid w:val="00A55339"/>
    <w:rsid w:val="00A56C01"/>
    <w:rsid w:val="00A56C21"/>
    <w:rsid w:val="00A56D92"/>
    <w:rsid w:val="00A577E8"/>
    <w:rsid w:val="00A6005E"/>
    <w:rsid w:val="00A600DE"/>
    <w:rsid w:val="00A60E8C"/>
    <w:rsid w:val="00A611E9"/>
    <w:rsid w:val="00A633F5"/>
    <w:rsid w:val="00A63AD2"/>
    <w:rsid w:val="00A64DCE"/>
    <w:rsid w:val="00A66671"/>
    <w:rsid w:val="00A667CF"/>
    <w:rsid w:val="00A67FE2"/>
    <w:rsid w:val="00A7180B"/>
    <w:rsid w:val="00A71D9C"/>
    <w:rsid w:val="00A72B8D"/>
    <w:rsid w:val="00A73E68"/>
    <w:rsid w:val="00A75246"/>
    <w:rsid w:val="00A75800"/>
    <w:rsid w:val="00A75B53"/>
    <w:rsid w:val="00A7609D"/>
    <w:rsid w:val="00A76B09"/>
    <w:rsid w:val="00A772F6"/>
    <w:rsid w:val="00A77CF9"/>
    <w:rsid w:val="00A806F3"/>
    <w:rsid w:val="00A8115C"/>
    <w:rsid w:val="00A814D7"/>
    <w:rsid w:val="00A81D82"/>
    <w:rsid w:val="00A81E2E"/>
    <w:rsid w:val="00A820BE"/>
    <w:rsid w:val="00A82166"/>
    <w:rsid w:val="00A824E1"/>
    <w:rsid w:val="00A82773"/>
    <w:rsid w:val="00A82B63"/>
    <w:rsid w:val="00A82C9E"/>
    <w:rsid w:val="00A82D94"/>
    <w:rsid w:val="00A83557"/>
    <w:rsid w:val="00A83E67"/>
    <w:rsid w:val="00A840E6"/>
    <w:rsid w:val="00A85464"/>
    <w:rsid w:val="00A8569B"/>
    <w:rsid w:val="00A8581F"/>
    <w:rsid w:val="00A86650"/>
    <w:rsid w:val="00A90114"/>
    <w:rsid w:val="00A902FB"/>
    <w:rsid w:val="00A91727"/>
    <w:rsid w:val="00A91B4A"/>
    <w:rsid w:val="00A9219F"/>
    <w:rsid w:val="00A928ED"/>
    <w:rsid w:val="00A92DC7"/>
    <w:rsid w:val="00A93E33"/>
    <w:rsid w:val="00A94BE4"/>
    <w:rsid w:val="00A95607"/>
    <w:rsid w:val="00A95E2F"/>
    <w:rsid w:val="00A97084"/>
    <w:rsid w:val="00A976D4"/>
    <w:rsid w:val="00AA0B34"/>
    <w:rsid w:val="00AA16B5"/>
    <w:rsid w:val="00AA1949"/>
    <w:rsid w:val="00AA2932"/>
    <w:rsid w:val="00AA3B42"/>
    <w:rsid w:val="00AA4739"/>
    <w:rsid w:val="00AA4F9F"/>
    <w:rsid w:val="00AA5AE4"/>
    <w:rsid w:val="00AA5B74"/>
    <w:rsid w:val="00AA5F86"/>
    <w:rsid w:val="00AA69ED"/>
    <w:rsid w:val="00AA7429"/>
    <w:rsid w:val="00AA77E5"/>
    <w:rsid w:val="00AB0013"/>
    <w:rsid w:val="00AB0A8F"/>
    <w:rsid w:val="00AB0D9D"/>
    <w:rsid w:val="00AB1029"/>
    <w:rsid w:val="00AB18DA"/>
    <w:rsid w:val="00AB3997"/>
    <w:rsid w:val="00AB3C41"/>
    <w:rsid w:val="00AB4151"/>
    <w:rsid w:val="00AB4683"/>
    <w:rsid w:val="00AB4A6C"/>
    <w:rsid w:val="00AB4EB6"/>
    <w:rsid w:val="00AB5309"/>
    <w:rsid w:val="00AB53CC"/>
    <w:rsid w:val="00AB5416"/>
    <w:rsid w:val="00AB648C"/>
    <w:rsid w:val="00AB6970"/>
    <w:rsid w:val="00AB69B9"/>
    <w:rsid w:val="00AB6C95"/>
    <w:rsid w:val="00AB7033"/>
    <w:rsid w:val="00AB7904"/>
    <w:rsid w:val="00AB7A74"/>
    <w:rsid w:val="00AC1146"/>
    <w:rsid w:val="00AC1214"/>
    <w:rsid w:val="00AC1939"/>
    <w:rsid w:val="00AC1F1F"/>
    <w:rsid w:val="00AC209C"/>
    <w:rsid w:val="00AC2580"/>
    <w:rsid w:val="00AC2952"/>
    <w:rsid w:val="00AC3D84"/>
    <w:rsid w:val="00AC415A"/>
    <w:rsid w:val="00AC4514"/>
    <w:rsid w:val="00AC4874"/>
    <w:rsid w:val="00AC4ACA"/>
    <w:rsid w:val="00AC4CB5"/>
    <w:rsid w:val="00AC7146"/>
    <w:rsid w:val="00AC7C05"/>
    <w:rsid w:val="00AC7DF4"/>
    <w:rsid w:val="00AC7E51"/>
    <w:rsid w:val="00AD00D4"/>
    <w:rsid w:val="00AD0C54"/>
    <w:rsid w:val="00AD157D"/>
    <w:rsid w:val="00AD167C"/>
    <w:rsid w:val="00AD17C7"/>
    <w:rsid w:val="00AD1AAD"/>
    <w:rsid w:val="00AD2A79"/>
    <w:rsid w:val="00AD38C5"/>
    <w:rsid w:val="00AD3A02"/>
    <w:rsid w:val="00AD4041"/>
    <w:rsid w:val="00AD4658"/>
    <w:rsid w:val="00AD4E5B"/>
    <w:rsid w:val="00AD5522"/>
    <w:rsid w:val="00AD57BD"/>
    <w:rsid w:val="00AD6719"/>
    <w:rsid w:val="00AD78FC"/>
    <w:rsid w:val="00AD7E9D"/>
    <w:rsid w:val="00AE0309"/>
    <w:rsid w:val="00AE10B2"/>
    <w:rsid w:val="00AE1CB6"/>
    <w:rsid w:val="00AE2111"/>
    <w:rsid w:val="00AE22A0"/>
    <w:rsid w:val="00AE302B"/>
    <w:rsid w:val="00AE305D"/>
    <w:rsid w:val="00AE43C8"/>
    <w:rsid w:val="00AE4444"/>
    <w:rsid w:val="00AE4D93"/>
    <w:rsid w:val="00AE4F54"/>
    <w:rsid w:val="00AE5080"/>
    <w:rsid w:val="00AE5CF9"/>
    <w:rsid w:val="00AE5E49"/>
    <w:rsid w:val="00AE605F"/>
    <w:rsid w:val="00AE6ECD"/>
    <w:rsid w:val="00AE6F58"/>
    <w:rsid w:val="00AE72C7"/>
    <w:rsid w:val="00AE7D45"/>
    <w:rsid w:val="00AE7E78"/>
    <w:rsid w:val="00AF0159"/>
    <w:rsid w:val="00AF0F0B"/>
    <w:rsid w:val="00AF17E3"/>
    <w:rsid w:val="00AF24CC"/>
    <w:rsid w:val="00AF3D73"/>
    <w:rsid w:val="00AF42DC"/>
    <w:rsid w:val="00AF4984"/>
    <w:rsid w:val="00AF5173"/>
    <w:rsid w:val="00AF5E91"/>
    <w:rsid w:val="00AF6E41"/>
    <w:rsid w:val="00AF6EA3"/>
    <w:rsid w:val="00AF745F"/>
    <w:rsid w:val="00AF7489"/>
    <w:rsid w:val="00B004A0"/>
    <w:rsid w:val="00B008D7"/>
    <w:rsid w:val="00B00B7D"/>
    <w:rsid w:val="00B0111D"/>
    <w:rsid w:val="00B01436"/>
    <w:rsid w:val="00B021A2"/>
    <w:rsid w:val="00B02299"/>
    <w:rsid w:val="00B02B7F"/>
    <w:rsid w:val="00B03530"/>
    <w:rsid w:val="00B03DF8"/>
    <w:rsid w:val="00B0488F"/>
    <w:rsid w:val="00B05161"/>
    <w:rsid w:val="00B051E6"/>
    <w:rsid w:val="00B05874"/>
    <w:rsid w:val="00B059B2"/>
    <w:rsid w:val="00B05DFE"/>
    <w:rsid w:val="00B0749D"/>
    <w:rsid w:val="00B10649"/>
    <w:rsid w:val="00B10EE2"/>
    <w:rsid w:val="00B11951"/>
    <w:rsid w:val="00B11D57"/>
    <w:rsid w:val="00B11D5B"/>
    <w:rsid w:val="00B120C2"/>
    <w:rsid w:val="00B129F9"/>
    <w:rsid w:val="00B12C13"/>
    <w:rsid w:val="00B12F35"/>
    <w:rsid w:val="00B13B49"/>
    <w:rsid w:val="00B142A8"/>
    <w:rsid w:val="00B14FB2"/>
    <w:rsid w:val="00B1523B"/>
    <w:rsid w:val="00B15678"/>
    <w:rsid w:val="00B158F5"/>
    <w:rsid w:val="00B16202"/>
    <w:rsid w:val="00B16375"/>
    <w:rsid w:val="00B163C0"/>
    <w:rsid w:val="00B169D4"/>
    <w:rsid w:val="00B17AB3"/>
    <w:rsid w:val="00B20CBB"/>
    <w:rsid w:val="00B2162B"/>
    <w:rsid w:val="00B22005"/>
    <w:rsid w:val="00B221FE"/>
    <w:rsid w:val="00B22E13"/>
    <w:rsid w:val="00B2347E"/>
    <w:rsid w:val="00B23818"/>
    <w:rsid w:val="00B2529C"/>
    <w:rsid w:val="00B2583C"/>
    <w:rsid w:val="00B259DF"/>
    <w:rsid w:val="00B2648B"/>
    <w:rsid w:val="00B26912"/>
    <w:rsid w:val="00B26FA7"/>
    <w:rsid w:val="00B27238"/>
    <w:rsid w:val="00B27E8F"/>
    <w:rsid w:val="00B3182C"/>
    <w:rsid w:val="00B33BF5"/>
    <w:rsid w:val="00B34963"/>
    <w:rsid w:val="00B34B93"/>
    <w:rsid w:val="00B3546F"/>
    <w:rsid w:val="00B35B6E"/>
    <w:rsid w:val="00B3632A"/>
    <w:rsid w:val="00B36675"/>
    <w:rsid w:val="00B40836"/>
    <w:rsid w:val="00B420B7"/>
    <w:rsid w:val="00B42628"/>
    <w:rsid w:val="00B4323B"/>
    <w:rsid w:val="00B43305"/>
    <w:rsid w:val="00B43E1C"/>
    <w:rsid w:val="00B44B1F"/>
    <w:rsid w:val="00B46089"/>
    <w:rsid w:val="00B462C0"/>
    <w:rsid w:val="00B474A6"/>
    <w:rsid w:val="00B50450"/>
    <w:rsid w:val="00B504C3"/>
    <w:rsid w:val="00B50D04"/>
    <w:rsid w:val="00B50EB1"/>
    <w:rsid w:val="00B51613"/>
    <w:rsid w:val="00B527E9"/>
    <w:rsid w:val="00B52F6D"/>
    <w:rsid w:val="00B53389"/>
    <w:rsid w:val="00B535BC"/>
    <w:rsid w:val="00B5369F"/>
    <w:rsid w:val="00B53E8D"/>
    <w:rsid w:val="00B547F6"/>
    <w:rsid w:val="00B5486F"/>
    <w:rsid w:val="00B54BE7"/>
    <w:rsid w:val="00B55446"/>
    <w:rsid w:val="00B56437"/>
    <w:rsid w:val="00B568BE"/>
    <w:rsid w:val="00B5773A"/>
    <w:rsid w:val="00B578FB"/>
    <w:rsid w:val="00B57F3A"/>
    <w:rsid w:val="00B6022F"/>
    <w:rsid w:val="00B60C7B"/>
    <w:rsid w:val="00B62443"/>
    <w:rsid w:val="00B6338E"/>
    <w:rsid w:val="00B63AAC"/>
    <w:rsid w:val="00B64141"/>
    <w:rsid w:val="00B648D2"/>
    <w:rsid w:val="00B64E72"/>
    <w:rsid w:val="00B65AF2"/>
    <w:rsid w:val="00B667C4"/>
    <w:rsid w:val="00B673DF"/>
    <w:rsid w:val="00B675DF"/>
    <w:rsid w:val="00B67630"/>
    <w:rsid w:val="00B67886"/>
    <w:rsid w:val="00B723E6"/>
    <w:rsid w:val="00B72C09"/>
    <w:rsid w:val="00B73193"/>
    <w:rsid w:val="00B73194"/>
    <w:rsid w:val="00B73246"/>
    <w:rsid w:val="00B7458C"/>
    <w:rsid w:val="00B75683"/>
    <w:rsid w:val="00B76523"/>
    <w:rsid w:val="00B76EBE"/>
    <w:rsid w:val="00B77709"/>
    <w:rsid w:val="00B77913"/>
    <w:rsid w:val="00B800E8"/>
    <w:rsid w:val="00B80CE5"/>
    <w:rsid w:val="00B81263"/>
    <w:rsid w:val="00B81749"/>
    <w:rsid w:val="00B81BC7"/>
    <w:rsid w:val="00B81CA3"/>
    <w:rsid w:val="00B823A4"/>
    <w:rsid w:val="00B824FB"/>
    <w:rsid w:val="00B82646"/>
    <w:rsid w:val="00B82756"/>
    <w:rsid w:val="00B83299"/>
    <w:rsid w:val="00B833AC"/>
    <w:rsid w:val="00B83439"/>
    <w:rsid w:val="00B837B1"/>
    <w:rsid w:val="00B850C0"/>
    <w:rsid w:val="00B866AB"/>
    <w:rsid w:val="00B87A44"/>
    <w:rsid w:val="00B87D9D"/>
    <w:rsid w:val="00B90C82"/>
    <w:rsid w:val="00B92836"/>
    <w:rsid w:val="00B93101"/>
    <w:rsid w:val="00B9393E"/>
    <w:rsid w:val="00B940DE"/>
    <w:rsid w:val="00B94900"/>
    <w:rsid w:val="00B94B9F"/>
    <w:rsid w:val="00B95DA2"/>
    <w:rsid w:val="00B966DF"/>
    <w:rsid w:val="00B96FED"/>
    <w:rsid w:val="00B97359"/>
    <w:rsid w:val="00B97503"/>
    <w:rsid w:val="00B975F2"/>
    <w:rsid w:val="00B97A8F"/>
    <w:rsid w:val="00BA1797"/>
    <w:rsid w:val="00BA19A9"/>
    <w:rsid w:val="00BA1C6C"/>
    <w:rsid w:val="00BA2189"/>
    <w:rsid w:val="00BA24C4"/>
    <w:rsid w:val="00BA42D3"/>
    <w:rsid w:val="00BA47BE"/>
    <w:rsid w:val="00BA4E58"/>
    <w:rsid w:val="00BA4EF0"/>
    <w:rsid w:val="00BA5151"/>
    <w:rsid w:val="00BA5936"/>
    <w:rsid w:val="00BA5CFC"/>
    <w:rsid w:val="00BA6DC3"/>
    <w:rsid w:val="00BA6F1F"/>
    <w:rsid w:val="00BA7074"/>
    <w:rsid w:val="00BA71B3"/>
    <w:rsid w:val="00BA75C9"/>
    <w:rsid w:val="00BB0FD4"/>
    <w:rsid w:val="00BB1A11"/>
    <w:rsid w:val="00BB2D75"/>
    <w:rsid w:val="00BB3608"/>
    <w:rsid w:val="00BB3C64"/>
    <w:rsid w:val="00BB427B"/>
    <w:rsid w:val="00BB4954"/>
    <w:rsid w:val="00BB4B03"/>
    <w:rsid w:val="00BB5EBA"/>
    <w:rsid w:val="00BB769F"/>
    <w:rsid w:val="00BB7829"/>
    <w:rsid w:val="00BB7D8D"/>
    <w:rsid w:val="00BC04C4"/>
    <w:rsid w:val="00BC08DA"/>
    <w:rsid w:val="00BC0BF6"/>
    <w:rsid w:val="00BC17D3"/>
    <w:rsid w:val="00BC2049"/>
    <w:rsid w:val="00BC26C5"/>
    <w:rsid w:val="00BC27B8"/>
    <w:rsid w:val="00BC2F53"/>
    <w:rsid w:val="00BC4DD9"/>
    <w:rsid w:val="00BC4F72"/>
    <w:rsid w:val="00BC6136"/>
    <w:rsid w:val="00BC6749"/>
    <w:rsid w:val="00BC739D"/>
    <w:rsid w:val="00BC7468"/>
    <w:rsid w:val="00BC7A60"/>
    <w:rsid w:val="00BC7D78"/>
    <w:rsid w:val="00BD0898"/>
    <w:rsid w:val="00BD0D79"/>
    <w:rsid w:val="00BD1457"/>
    <w:rsid w:val="00BD1BDA"/>
    <w:rsid w:val="00BD2314"/>
    <w:rsid w:val="00BD33BA"/>
    <w:rsid w:val="00BD37E5"/>
    <w:rsid w:val="00BD4E53"/>
    <w:rsid w:val="00BD6766"/>
    <w:rsid w:val="00BD7438"/>
    <w:rsid w:val="00BE02F6"/>
    <w:rsid w:val="00BE04F6"/>
    <w:rsid w:val="00BE149A"/>
    <w:rsid w:val="00BE156E"/>
    <w:rsid w:val="00BE2AD9"/>
    <w:rsid w:val="00BE36B8"/>
    <w:rsid w:val="00BE3739"/>
    <w:rsid w:val="00BE3773"/>
    <w:rsid w:val="00BE506A"/>
    <w:rsid w:val="00BE7A2F"/>
    <w:rsid w:val="00BE7A95"/>
    <w:rsid w:val="00BF0E8A"/>
    <w:rsid w:val="00BF23A8"/>
    <w:rsid w:val="00BF27FE"/>
    <w:rsid w:val="00BF3268"/>
    <w:rsid w:val="00BF3671"/>
    <w:rsid w:val="00BF3B2A"/>
    <w:rsid w:val="00BF4526"/>
    <w:rsid w:val="00BF4926"/>
    <w:rsid w:val="00BF5B1D"/>
    <w:rsid w:val="00BF67A8"/>
    <w:rsid w:val="00BF682F"/>
    <w:rsid w:val="00BF6E1C"/>
    <w:rsid w:val="00BF783F"/>
    <w:rsid w:val="00C007AB"/>
    <w:rsid w:val="00C01C72"/>
    <w:rsid w:val="00C025EA"/>
    <w:rsid w:val="00C03AC5"/>
    <w:rsid w:val="00C0411E"/>
    <w:rsid w:val="00C043B3"/>
    <w:rsid w:val="00C05D1D"/>
    <w:rsid w:val="00C0696F"/>
    <w:rsid w:val="00C06BDB"/>
    <w:rsid w:val="00C06F2E"/>
    <w:rsid w:val="00C071CE"/>
    <w:rsid w:val="00C079AB"/>
    <w:rsid w:val="00C10E61"/>
    <w:rsid w:val="00C10FE5"/>
    <w:rsid w:val="00C11247"/>
    <w:rsid w:val="00C11419"/>
    <w:rsid w:val="00C1179C"/>
    <w:rsid w:val="00C12411"/>
    <w:rsid w:val="00C12610"/>
    <w:rsid w:val="00C126E6"/>
    <w:rsid w:val="00C128FA"/>
    <w:rsid w:val="00C134E3"/>
    <w:rsid w:val="00C13701"/>
    <w:rsid w:val="00C13CD0"/>
    <w:rsid w:val="00C14787"/>
    <w:rsid w:val="00C14A76"/>
    <w:rsid w:val="00C15123"/>
    <w:rsid w:val="00C1596D"/>
    <w:rsid w:val="00C15B8D"/>
    <w:rsid w:val="00C15EDF"/>
    <w:rsid w:val="00C17010"/>
    <w:rsid w:val="00C173CC"/>
    <w:rsid w:val="00C2044B"/>
    <w:rsid w:val="00C20562"/>
    <w:rsid w:val="00C20AD3"/>
    <w:rsid w:val="00C215C3"/>
    <w:rsid w:val="00C218DA"/>
    <w:rsid w:val="00C21A18"/>
    <w:rsid w:val="00C21A62"/>
    <w:rsid w:val="00C21AA5"/>
    <w:rsid w:val="00C22671"/>
    <w:rsid w:val="00C230F3"/>
    <w:rsid w:val="00C2365C"/>
    <w:rsid w:val="00C23985"/>
    <w:rsid w:val="00C23A96"/>
    <w:rsid w:val="00C23E7B"/>
    <w:rsid w:val="00C24033"/>
    <w:rsid w:val="00C24897"/>
    <w:rsid w:val="00C249C6"/>
    <w:rsid w:val="00C24CDA"/>
    <w:rsid w:val="00C254C8"/>
    <w:rsid w:val="00C2574F"/>
    <w:rsid w:val="00C25AC9"/>
    <w:rsid w:val="00C262D0"/>
    <w:rsid w:val="00C27260"/>
    <w:rsid w:val="00C310F2"/>
    <w:rsid w:val="00C311EC"/>
    <w:rsid w:val="00C31542"/>
    <w:rsid w:val="00C321F3"/>
    <w:rsid w:val="00C329D6"/>
    <w:rsid w:val="00C32C35"/>
    <w:rsid w:val="00C32CC1"/>
    <w:rsid w:val="00C3399E"/>
    <w:rsid w:val="00C3588D"/>
    <w:rsid w:val="00C358B5"/>
    <w:rsid w:val="00C35AC9"/>
    <w:rsid w:val="00C35D86"/>
    <w:rsid w:val="00C36FAC"/>
    <w:rsid w:val="00C375A4"/>
    <w:rsid w:val="00C4052A"/>
    <w:rsid w:val="00C40E7B"/>
    <w:rsid w:val="00C414EA"/>
    <w:rsid w:val="00C4179B"/>
    <w:rsid w:val="00C41CCF"/>
    <w:rsid w:val="00C41E7C"/>
    <w:rsid w:val="00C420D7"/>
    <w:rsid w:val="00C42182"/>
    <w:rsid w:val="00C42677"/>
    <w:rsid w:val="00C426EC"/>
    <w:rsid w:val="00C42C0D"/>
    <w:rsid w:val="00C42CED"/>
    <w:rsid w:val="00C43579"/>
    <w:rsid w:val="00C43843"/>
    <w:rsid w:val="00C44510"/>
    <w:rsid w:val="00C4474C"/>
    <w:rsid w:val="00C44DA5"/>
    <w:rsid w:val="00C453A5"/>
    <w:rsid w:val="00C46410"/>
    <w:rsid w:val="00C46449"/>
    <w:rsid w:val="00C46F2A"/>
    <w:rsid w:val="00C475D4"/>
    <w:rsid w:val="00C47BDD"/>
    <w:rsid w:val="00C50448"/>
    <w:rsid w:val="00C507E9"/>
    <w:rsid w:val="00C50A1D"/>
    <w:rsid w:val="00C51190"/>
    <w:rsid w:val="00C51323"/>
    <w:rsid w:val="00C51366"/>
    <w:rsid w:val="00C515BF"/>
    <w:rsid w:val="00C53895"/>
    <w:rsid w:val="00C53B86"/>
    <w:rsid w:val="00C53FF7"/>
    <w:rsid w:val="00C5437B"/>
    <w:rsid w:val="00C5442D"/>
    <w:rsid w:val="00C54508"/>
    <w:rsid w:val="00C54908"/>
    <w:rsid w:val="00C54AC0"/>
    <w:rsid w:val="00C54FE4"/>
    <w:rsid w:val="00C557F4"/>
    <w:rsid w:val="00C55F83"/>
    <w:rsid w:val="00C57ABE"/>
    <w:rsid w:val="00C60299"/>
    <w:rsid w:val="00C607A3"/>
    <w:rsid w:val="00C60EDE"/>
    <w:rsid w:val="00C615C9"/>
    <w:rsid w:val="00C61BB8"/>
    <w:rsid w:val="00C63C7E"/>
    <w:rsid w:val="00C64157"/>
    <w:rsid w:val="00C6483C"/>
    <w:rsid w:val="00C64AE9"/>
    <w:rsid w:val="00C652E2"/>
    <w:rsid w:val="00C655CA"/>
    <w:rsid w:val="00C6617F"/>
    <w:rsid w:val="00C6632F"/>
    <w:rsid w:val="00C66D3D"/>
    <w:rsid w:val="00C6734E"/>
    <w:rsid w:val="00C67755"/>
    <w:rsid w:val="00C703CB"/>
    <w:rsid w:val="00C7042B"/>
    <w:rsid w:val="00C70CFF"/>
    <w:rsid w:val="00C71436"/>
    <w:rsid w:val="00C718FE"/>
    <w:rsid w:val="00C72C41"/>
    <w:rsid w:val="00C73205"/>
    <w:rsid w:val="00C74FA2"/>
    <w:rsid w:val="00C74FAD"/>
    <w:rsid w:val="00C7547A"/>
    <w:rsid w:val="00C75B98"/>
    <w:rsid w:val="00C75CFB"/>
    <w:rsid w:val="00C77307"/>
    <w:rsid w:val="00C801D3"/>
    <w:rsid w:val="00C81C71"/>
    <w:rsid w:val="00C81FEE"/>
    <w:rsid w:val="00C82198"/>
    <w:rsid w:val="00C8260B"/>
    <w:rsid w:val="00C82651"/>
    <w:rsid w:val="00C82A31"/>
    <w:rsid w:val="00C82B91"/>
    <w:rsid w:val="00C82E4F"/>
    <w:rsid w:val="00C83AB4"/>
    <w:rsid w:val="00C84166"/>
    <w:rsid w:val="00C8482B"/>
    <w:rsid w:val="00C84F52"/>
    <w:rsid w:val="00C8692D"/>
    <w:rsid w:val="00C86998"/>
    <w:rsid w:val="00C86C26"/>
    <w:rsid w:val="00C8701E"/>
    <w:rsid w:val="00C8773D"/>
    <w:rsid w:val="00C87ABB"/>
    <w:rsid w:val="00C903FF"/>
    <w:rsid w:val="00C91701"/>
    <w:rsid w:val="00C91831"/>
    <w:rsid w:val="00C92A69"/>
    <w:rsid w:val="00C93148"/>
    <w:rsid w:val="00C93D2D"/>
    <w:rsid w:val="00C94387"/>
    <w:rsid w:val="00C947A5"/>
    <w:rsid w:val="00C94835"/>
    <w:rsid w:val="00C94852"/>
    <w:rsid w:val="00C95081"/>
    <w:rsid w:val="00C95169"/>
    <w:rsid w:val="00C95271"/>
    <w:rsid w:val="00C953DF"/>
    <w:rsid w:val="00C95D4C"/>
    <w:rsid w:val="00C95DC8"/>
    <w:rsid w:val="00C95FB2"/>
    <w:rsid w:val="00C96713"/>
    <w:rsid w:val="00C967B0"/>
    <w:rsid w:val="00C96A08"/>
    <w:rsid w:val="00C96C9B"/>
    <w:rsid w:val="00CA1001"/>
    <w:rsid w:val="00CA1560"/>
    <w:rsid w:val="00CA1D83"/>
    <w:rsid w:val="00CA2196"/>
    <w:rsid w:val="00CA4D07"/>
    <w:rsid w:val="00CA7B44"/>
    <w:rsid w:val="00CA7FB1"/>
    <w:rsid w:val="00CB0B83"/>
    <w:rsid w:val="00CB146A"/>
    <w:rsid w:val="00CB1591"/>
    <w:rsid w:val="00CB1DBA"/>
    <w:rsid w:val="00CB316B"/>
    <w:rsid w:val="00CB31F1"/>
    <w:rsid w:val="00CB3555"/>
    <w:rsid w:val="00CB3D43"/>
    <w:rsid w:val="00CB4F6F"/>
    <w:rsid w:val="00CB51CE"/>
    <w:rsid w:val="00CB545B"/>
    <w:rsid w:val="00CB5611"/>
    <w:rsid w:val="00CB690D"/>
    <w:rsid w:val="00CB7174"/>
    <w:rsid w:val="00CB7E5A"/>
    <w:rsid w:val="00CC01CD"/>
    <w:rsid w:val="00CC1526"/>
    <w:rsid w:val="00CC2FE9"/>
    <w:rsid w:val="00CC35C5"/>
    <w:rsid w:val="00CC3C63"/>
    <w:rsid w:val="00CC4B0A"/>
    <w:rsid w:val="00CC55AE"/>
    <w:rsid w:val="00CC5F97"/>
    <w:rsid w:val="00CC6FA4"/>
    <w:rsid w:val="00CC7BDA"/>
    <w:rsid w:val="00CC7C5A"/>
    <w:rsid w:val="00CD0133"/>
    <w:rsid w:val="00CD02C8"/>
    <w:rsid w:val="00CD1A27"/>
    <w:rsid w:val="00CD225E"/>
    <w:rsid w:val="00CD48E3"/>
    <w:rsid w:val="00CD49C1"/>
    <w:rsid w:val="00CD5244"/>
    <w:rsid w:val="00CD6BD9"/>
    <w:rsid w:val="00CD7117"/>
    <w:rsid w:val="00CD7882"/>
    <w:rsid w:val="00CE0E2B"/>
    <w:rsid w:val="00CE14F2"/>
    <w:rsid w:val="00CE14FB"/>
    <w:rsid w:val="00CE1EF0"/>
    <w:rsid w:val="00CE203A"/>
    <w:rsid w:val="00CE2709"/>
    <w:rsid w:val="00CE2D64"/>
    <w:rsid w:val="00CE3543"/>
    <w:rsid w:val="00CE592C"/>
    <w:rsid w:val="00CE6198"/>
    <w:rsid w:val="00CE6C04"/>
    <w:rsid w:val="00CE7365"/>
    <w:rsid w:val="00CF06BA"/>
    <w:rsid w:val="00CF140D"/>
    <w:rsid w:val="00CF15D0"/>
    <w:rsid w:val="00CF22DB"/>
    <w:rsid w:val="00CF28A8"/>
    <w:rsid w:val="00CF3F57"/>
    <w:rsid w:val="00CF475D"/>
    <w:rsid w:val="00CF52F9"/>
    <w:rsid w:val="00CF5575"/>
    <w:rsid w:val="00CF5689"/>
    <w:rsid w:val="00CF6230"/>
    <w:rsid w:val="00CF6278"/>
    <w:rsid w:val="00CF6744"/>
    <w:rsid w:val="00CF7AA1"/>
    <w:rsid w:val="00CF7DBC"/>
    <w:rsid w:val="00D01129"/>
    <w:rsid w:val="00D0173F"/>
    <w:rsid w:val="00D017FC"/>
    <w:rsid w:val="00D01D84"/>
    <w:rsid w:val="00D02120"/>
    <w:rsid w:val="00D0226A"/>
    <w:rsid w:val="00D02582"/>
    <w:rsid w:val="00D02976"/>
    <w:rsid w:val="00D02AFE"/>
    <w:rsid w:val="00D04D5C"/>
    <w:rsid w:val="00D050C3"/>
    <w:rsid w:val="00D05112"/>
    <w:rsid w:val="00D05409"/>
    <w:rsid w:val="00D05A12"/>
    <w:rsid w:val="00D06388"/>
    <w:rsid w:val="00D063D6"/>
    <w:rsid w:val="00D073BF"/>
    <w:rsid w:val="00D075F1"/>
    <w:rsid w:val="00D07917"/>
    <w:rsid w:val="00D07E25"/>
    <w:rsid w:val="00D105DE"/>
    <w:rsid w:val="00D10824"/>
    <w:rsid w:val="00D10C42"/>
    <w:rsid w:val="00D10F9B"/>
    <w:rsid w:val="00D11780"/>
    <w:rsid w:val="00D1256B"/>
    <w:rsid w:val="00D125FD"/>
    <w:rsid w:val="00D13147"/>
    <w:rsid w:val="00D13629"/>
    <w:rsid w:val="00D14E8D"/>
    <w:rsid w:val="00D15D47"/>
    <w:rsid w:val="00D162FF"/>
    <w:rsid w:val="00D166B0"/>
    <w:rsid w:val="00D170E8"/>
    <w:rsid w:val="00D171E4"/>
    <w:rsid w:val="00D17962"/>
    <w:rsid w:val="00D17B95"/>
    <w:rsid w:val="00D21998"/>
    <w:rsid w:val="00D21E90"/>
    <w:rsid w:val="00D21EE4"/>
    <w:rsid w:val="00D2242E"/>
    <w:rsid w:val="00D22BEA"/>
    <w:rsid w:val="00D22D4F"/>
    <w:rsid w:val="00D22E9F"/>
    <w:rsid w:val="00D2334E"/>
    <w:rsid w:val="00D236D9"/>
    <w:rsid w:val="00D251CE"/>
    <w:rsid w:val="00D26077"/>
    <w:rsid w:val="00D26F47"/>
    <w:rsid w:val="00D26F86"/>
    <w:rsid w:val="00D270CB"/>
    <w:rsid w:val="00D27128"/>
    <w:rsid w:val="00D271CB"/>
    <w:rsid w:val="00D278D4"/>
    <w:rsid w:val="00D31597"/>
    <w:rsid w:val="00D326B2"/>
    <w:rsid w:val="00D327FC"/>
    <w:rsid w:val="00D32B76"/>
    <w:rsid w:val="00D33223"/>
    <w:rsid w:val="00D33693"/>
    <w:rsid w:val="00D34934"/>
    <w:rsid w:val="00D349BA"/>
    <w:rsid w:val="00D34B3D"/>
    <w:rsid w:val="00D34D64"/>
    <w:rsid w:val="00D35BC0"/>
    <w:rsid w:val="00D35FA3"/>
    <w:rsid w:val="00D36242"/>
    <w:rsid w:val="00D363F1"/>
    <w:rsid w:val="00D370AC"/>
    <w:rsid w:val="00D378BF"/>
    <w:rsid w:val="00D409EE"/>
    <w:rsid w:val="00D4111C"/>
    <w:rsid w:val="00D41B35"/>
    <w:rsid w:val="00D433CF"/>
    <w:rsid w:val="00D442FE"/>
    <w:rsid w:val="00D4670D"/>
    <w:rsid w:val="00D500C4"/>
    <w:rsid w:val="00D50754"/>
    <w:rsid w:val="00D50D40"/>
    <w:rsid w:val="00D51257"/>
    <w:rsid w:val="00D51C51"/>
    <w:rsid w:val="00D52D7A"/>
    <w:rsid w:val="00D531E9"/>
    <w:rsid w:val="00D53952"/>
    <w:rsid w:val="00D53E96"/>
    <w:rsid w:val="00D541F3"/>
    <w:rsid w:val="00D549C5"/>
    <w:rsid w:val="00D54F43"/>
    <w:rsid w:val="00D551A0"/>
    <w:rsid w:val="00D557FD"/>
    <w:rsid w:val="00D55878"/>
    <w:rsid w:val="00D5715A"/>
    <w:rsid w:val="00D575DB"/>
    <w:rsid w:val="00D577A3"/>
    <w:rsid w:val="00D57E10"/>
    <w:rsid w:val="00D60561"/>
    <w:rsid w:val="00D60F08"/>
    <w:rsid w:val="00D6109E"/>
    <w:rsid w:val="00D62C84"/>
    <w:rsid w:val="00D62E60"/>
    <w:rsid w:val="00D63DBD"/>
    <w:rsid w:val="00D6774E"/>
    <w:rsid w:val="00D70A86"/>
    <w:rsid w:val="00D71687"/>
    <w:rsid w:val="00D74605"/>
    <w:rsid w:val="00D74813"/>
    <w:rsid w:val="00D74C11"/>
    <w:rsid w:val="00D74C47"/>
    <w:rsid w:val="00D757CE"/>
    <w:rsid w:val="00D76391"/>
    <w:rsid w:val="00D77347"/>
    <w:rsid w:val="00D7786F"/>
    <w:rsid w:val="00D8008E"/>
    <w:rsid w:val="00D80DFB"/>
    <w:rsid w:val="00D817BA"/>
    <w:rsid w:val="00D821D2"/>
    <w:rsid w:val="00D82A73"/>
    <w:rsid w:val="00D84ED4"/>
    <w:rsid w:val="00D856D0"/>
    <w:rsid w:val="00D8591A"/>
    <w:rsid w:val="00D85D26"/>
    <w:rsid w:val="00D86597"/>
    <w:rsid w:val="00D86822"/>
    <w:rsid w:val="00D86D52"/>
    <w:rsid w:val="00D86E79"/>
    <w:rsid w:val="00D879C6"/>
    <w:rsid w:val="00D87A44"/>
    <w:rsid w:val="00D87DAB"/>
    <w:rsid w:val="00D9056C"/>
    <w:rsid w:val="00D90846"/>
    <w:rsid w:val="00D90C3D"/>
    <w:rsid w:val="00D90F67"/>
    <w:rsid w:val="00D90FB3"/>
    <w:rsid w:val="00D9144D"/>
    <w:rsid w:val="00D92B3B"/>
    <w:rsid w:val="00D9368C"/>
    <w:rsid w:val="00D93FAF"/>
    <w:rsid w:val="00D950FB"/>
    <w:rsid w:val="00D95393"/>
    <w:rsid w:val="00D9548D"/>
    <w:rsid w:val="00D974EC"/>
    <w:rsid w:val="00D97AEB"/>
    <w:rsid w:val="00D97B3E"/>
    <w:rsid w:val="00D97DE9"/>
    <w:rsid w:val="00DA0116"/>
    <w:rsid w:val="00DA2074"/>
    <w:rsid w:val="00DA2869"/>
    <w:rsid w:val="00DA30BC"/>
    <w:rsid w:val="00DA31E9"/>
    <w:rsid w:val="00DA36F9"/>
    <w:rsid w:val="00DA38C8"/>
    <w:rsid w:val="00DA3A5C"/>
    <w:rsid w:val="00DA3EE8"/>
    <w:rsid w:val="00DA40BD"/>
    <w:rsid w:val="00DA567E"/>
    <w:rsid w:val="00DA5B67"/>
    <w:rsid w:val="00DA5C91"/>
    <w:rsid w:val="00DA5CE0"/>
    <w:rsid w:val="00DA61CE"/>
    <w:rsid w:val="00DA69C2"/>
    <w:rsid w:val="00DA6C3C"/>
    <w:rsid w:val="00DA6D70"/>
    <w:rsid w:val="00DA6F06"/>
    <w:rsid w:val="00DB080B"/>
    <w:rsid w:val="00DB08FA"/>
    <w:rsid w:val="00DB0BB2"/>
    <w:rsid w:val="00DB0E66"/>
    <w:rsid w:val="00DB1065"/>
    <w:rsid w:val="00DB16CB"/>
    <w:rsid w:val="00DB2F0A"/>
    <w:rsid w:val="00DB3162"/>
    <w:rsid w:val="00DB3FF4"/>
    <w:rsid w:val="00DB440A"/>
    <w:rsid w:val="00DB4CFF"/>
    <w:rsid w:val="00DB5345"/>
    <w:rsid w:val="00DB57B9"/>
    <w:rsid w:val="00DB57FD"/>
    <w:rsid w:val="00DB6050"/>
    <w:rsid w:val="00DB784F"/>
    <w:rsid w:val="00DB7B4D"/>
    <w:rsid w:val="00DC05A1"/>
    <w:rsid w:val="00DC0A98"/>
    <w:rsid w:val="00DC0B15"/>
    <w:rsid w:val="00DC0E3F"/>
    <w:rsid w:val="00DC26D9"/>
    <w:rsid w:val="00DC2C34"/>
    <w:rsid w:val="00DC3FAF"/>
    <w:rsid w:val="00DC4909"/>
    <w:rsid w:val="00DC5B13"/>
    <w:rsid w:val="00DC6166"/>
    <w:rsid w:val="00DC6644"/>
    <w:rsid w:val="00DC6832"/>
    <w:rsid w:val="00DC77D5"/>
    <w:rsid w:val="00DD0600"/>
    <w:rsid w:val="00DD0865"/>
    <w:rsid w:val="00DD1D8C"/>
    <w:rsid w:val="00DD2143"/>
    <w:rsid w:val="00DD223C"/>
    <w:rsid w:val="00DD3560"/>
    <w:rsid w:val="00DD3989"/>
    <w:rsid w:val="00DD4D65"/>
    <w:rsid w:val="00DD5252"/>
    <w:rsid w:val="00DD5692"/>
    <w:rsid w:val="00DD5D35"/>
    <w:rsid w:val="00DD5FF6"/>
    <w:rsid w:val="00DD63FB"/>
    <w:rsid w:val="00DD6EF0"/>
    <w:rsid w:val="00DD7C9F"/>
    <w:rsid w:val="00DD7D85"/>
    <w:rsid w:val="00DE0E5F"/>
    <w:rsid w:val="00DE2C87"/>
    <w:rsid w:val="00DE341D"/>
    <w:rsid w:val="00DE3AC5"/>
    <w:rsid w:val="00DE459A"/>
    <w:rsid w:val="00DE7487"/>
    <w:rsid w:val="00DF02C9"/>
    <w:rsid w:val="00DF1291"/>
    <w:rsid w:val="00DF14A9"/>
    <w:rsid w:val="00DF1A3F"/>
    <w:rsid w:val="00DF1C4B"/>
    <w:rsid w:val="00DF1CCF"/>
    <w:rsid w:val="00DF27DA"/>
    <w:rsid w:val="00DF2CAA"/>
    <w:rsid w:val="00DF45B7"/>
    <w:rsid w:val="00DF4DA5"/>
    <w:rsid w:val="00DF4DBE"/>
    <w:rsid w:val="00DF52DF"/>
    <w:rsid w:val="00DF5930"/>
    <w:rsid w:val="00DF6CBE"/>
    <w:rsid w:val="00DF6CC8"/>
    <w:rsid w:val="00E00A5F"/>
    <w:rsid w:val="00E02160"/>
    <w:rsid w:val="00E021AE"/>
    <w:rsid w:val="00E028F3"/>
    <w:rsid w:val="00E02C0D"/>
    <w:rsid w:val="00E02D4F"/>
    <w:rsid w:val="00E03B37"/>
    <w:rsid w:val="00E05041"/>
    <w:rsid w:val="00E056CB"/>
    <w:rsid w:val="00E057A1"/>
    <w:rsid w:val="00E0678B"/>
    <w:rsid w:val="00E1179C"/>
    <w:rsid w:val="00E11B4A"/>
    <w:rsid w:val="00E11E98"/>
    <w:rsid w:val="00E120B8"/>
    <w:rsid w:val="00E12831"/>
    <w:rsid w:val="00E12838"/>
    <w:rsid w:val="00E12DDE"/>
    <w:rsid w:val="00E12E30"/>
    <w:rsid w:val="00E1367F"/>
    <w:rsid w:val="00E1414C"/>
    <w:rsid w:val="00E14388"/>
    <w:rsid w:val="00E14C31"/>
    <w:rsid w:val="00E1547A"/>
    <w:rsid w:val="00E15A1A"/>
    <w:rsid w:val="00E176F5"/>
    <w:rsid w:val="00E17992"/>
    <w:rsid w:val="00E218F5"/>
    <w:rsid w:val="00E21CB4"/>
    <w:rsid w:val="00E2222A"/>
    <w:rsid w:val="00E22363"/>
    <w:rsid w:val="00E22998"/>
    <w:rsid w:val="00E22FB7"/>
    <w:rsid w:val="00E23F98"/>
    <w:rsid w:val="00E24AF0"/>
    <w:rsid w:val="00E257A2"/>
    <w:rsid w:val="00E27345"/>
    <w:rsid w:val="00E27948"/>
    <w:rsid w:val="00E27F4F"/>
    <w:rsid w:val="00E3070D"/>
    <w:rsid w:val="00E30C84"/>
    <w:rsid w:val="00E317BD"/>
    <w:rsid w:val="00E3214E"/>
    <w:rsid w:val="00E32C29"/>
    <w:rsid w:val="00E32FCB"/>
    <w:rsid w:val="00E33EBB"/>
    <w:rsid w:val="00E35852"/>
    <w:rsid w:val="00E36067"/>
    <w:rsid w:val="00E36ECC"/>
    <w:rsid w:val="00E40450"/>
    <w:rsid w:val="00E405EE"/>
    <w:rsid w:val="00E40820"/>
    <w:rsid w:val="00E40A1D"/>
    <w:rsid w:val="00E4172F"/>
    <w:rsid w:val="00E425F4"/>
    <w:rsid w:val="00E44898"/>
    <w:rsid w:val="00E45239"/>
    <w:rsid w:val="00E45663"/>
    <w:rsid w:val="00E45B63"/>
    <w:rsid w:val="00E45C68"/>
    <w:rsid w:val="00E4636E"/>
    <w:rsid w:val="00E4658F"/>
    <w:rsid w:val="00E46D01"/>
    <w:rsid w:val="00E47259"/>
    <w:rsid w:val="00E4760B"/>
    <w:rsid w:val="00E4788D"/>
    <w:rsid w:val="00E51231"/>
    <w:rsid w:val="00E51252"/>
    <w:rsid w:val="00E517AC"/>
    <w:rsid w:val="00E51AA1"/>
    <w:rsid w:val="00E51C8B"/>
    <w:rsid w:val="00E54649"/>
    <w:rsid w:val="00E54A67"/>
    <w:rsid w:val="00E553E0"/>
    <w:rsid w:val="00E55B98"/>
    <w:rsid w:val="00E56FED"/>
    <w:rsid w:val="00E573CC"/>
    <w:rsid w:val="00E57D2E"/>
    <w:rsid w:val="00E57DB9"/>
    <w:rsid w:val="00E6034A"/>
    <w:rsid w:val="00E6192B"/>
    <w:rsid w:val="00E61C0D"/>
    <w:rsid w:val="00E624CE"/>
    <w:rsid w:val="00E627BD"/>
    <w:rsid w:val="00E62B3F"/>
    <w:rsid w:val="00E6342A"/>
    <w:rsid w:val="00E63EB4"/>
    <w:rsid w:val="00E64540"/>
    <w:rsid w:val="00E64912"/>
    <w:rsid w:val="00E65893"/>
    <w:rsid w:val="00E66160"/>
    <w:rsid w:val="00E66627"/>
    <w:rsid w:val="00E66C57"/>
    <w:rsid w:val="00E67022"/>
    <w:rsid w:val="00E675C6"/>
    <w:rsid w:val="00E67EBF"/>
    <w:rsid w:val="00E70192"/>
    <w:rsid w:val="00E7067E"/>
    <w:rsid w:val="00E70956"/>
    <w:rsid w:val="00E71329"/>
    <w:rsid w:val="00E714FE"/>
    <w:rsid w:val="00E7177A"/>
    <w:rsid w:val="00E71CB9"/>
    <w:rsid w:val="00E72742"/>
    <w:rsid w:val="00E72B55"/>
    <w:rsid w:val="00E72F88"/>
    <w:rsid w:val="00E73300"/>
    <w:rsid w:val="00E73F8A"/>
    <w:rsid w:val="00E74301"/>
    <w:rsid w:val="00E74B04"/>
    <w:rsid w:val="00E74F6A"/>
    <w:rsid w:val="00E76434"/>
    <w:rsid w:val="00E76526"/>
    <w:rsid w:val="00E7691D"/>
    <w:rsid w:val="00E76F14"/>
    <w:rsid w:val="00E76F78"/>
    <w:rsid w:val="00E77B73"/>
    <w:rsid w:val="00E80273"/>
    <w:rsid w:val="00E82F92"/>
    <w:rsid w:val="00E833CF"/>
    <w:rsid w:val="00E8363B"/>
    <w:rsid w:val="00E84329"/>
    <w:rsid w:val="00E84966"/>
    <w:rsid w:val="00E8614B"/>
    <w:rsid w:val="00E87952"/>
    <w:rsid w:val="00E90780"/>
    <w:rsid w:val="00E91804"/>
    <w:rsid w:val="00E91C71"/>
    <w:rsid w:val="00E92383"/>
    <w:rsid w:val="00E927EF"/>
    <w:rsid w:val="00E92AC6"/>
    <w:rsid w:val="00E92FD7"/>
    <w:rsid w:val="00E9478D"/>
    <w:rsid w:val="00E96168"/>
    <w:rsid w:val="00E967F2"/>
    <w:rsid w:val="00E970CA"/>
    <w:rsid w:val="00E970EA"/>
    <w:rsid w:val="00E97736"/>
    <w:rsid w:val="00E979E9"/>
    <w:rsid w:val="00E97A00"/>
    <w:rsid w:val="00E97F3F"/>
    <w:rsid w:val="00EA047F"/>
    <w:rsid w:val="00EA04B0"/>
    <w:rsid w:val="00EA0882"/>
    <w:rsid w:val="00EA08DA"/>
    <w:rsid w:val="00EA0F4F"/>
    <w:rsid w:val="00EA1B3A"/>
    <w:rsid w:val="00EA1E2D"/>
    <w:rsid w:val="00EA2109"/>
    <w:rsid w:val="00EA2ACB"/>
    <w:rsid w:val="00EA3979"/>
    <w:rsid w:val="00EA4902"/>
    <w:rsid w:val="00EA4FB0"/>
    <w:rsid w:val="00EA5A94"/>
    <w:rsid w:val="00EA7151"/>
    <w:rsid w:val="00EA73C6"/>
    <w:rsid w:val="00EA7FD2"/>
    <w:rsid w:val="00EB0084"/>
    <w:rsid w:val="00EB05D9"/>
    <w:rsid w:val="00EB1BF2"/>
    <w:rsid w:val="00EB1E68"/>
    <w:rsid w:val="00EB2355"/>
    <w:rsid w:val="00EB4FF5"/>
    <w:rsid w:val="00EB559D"/>
    <w:rsid w:val="00EB6567"/>
    <w:rsid w:val="00EB78F9"/>
    <w:rsid w:val="00EB790C"/>
    <w:rsid w:val="00EC02AE"/>
    <w:rsid w:val="00EC06A8"/>
    <w:rsid w:val="00EC1F1F"/>
    <w:rsid w:val="00EC24B5"/>
    <w:rsid w:val="00EC2678"/>
    <w:rsid w:val="00EC2D1C"/>
    <w:rsid w:val="00EC2FA0"/>
    <w:rsid w:val="00EC3241"/>
    <w:rsid w:val="00EC43B7"/>
    <w:rsid w:val="00EC4E3E"/>
    <w:rsid w:val="00EC55D2"/>
    <w:rsid w:val="00EC58A8"/>
    <w:rsid w:val="00EC601E"/>
    <w:rsid w:val="00ED1710"/>
    <w:rsid w:val="00ED2737"/>
    <w:rsid w:val="00ED2C38"/>
    <w:rsid w:val="00ED3D88"/>
    <w:rsid w:val="00ED4CFC"/>
    <w:rsid w:val="00ED4D4E"/>
    <w:rsid w:val="00ED55E2"/>
    <w:rsid w:val="00ED5A4B"/>
    <w:rsid w:val="00ED5DC5"/>
    <w:rsid w:val="00ED60F7"/>
    <w:rsid w:val="00ED666B"/>
    <w:rsid w:val="00ED6936"/>
    <w:rsid w:val="00ED7533"/>
    <w:rsid w:val="00ED7F0F"/>
    <w:rsid w:val="00EE0C77"/>
    <w:rsid w:val="00EE0DF9"/>
    <w:rsid w:val="00EE28AB"/>
    <w:rsid w:val="00EE2C41"/>
    <w:rsid w:val="00EE2FD9"/>
    <w:rsid w:val="00EE323B"/>
    <w:rsid w:val="00EE42D5"/>
    <w:rsid w:val="00EE4671"/>
    <w:rsid w:val="00EE4E54"/>
    <w:rsid w:val="00EE6674"/>
    <w:rsid w:val="00EE761C"/>
    <w:rsid w:val="00EE78C3"/>
    <w:rsid w:val="00EF02C2"/>
    <w:rsid w:val="00EF07E0"/>
    <w:rsid w:val="00EF15E2"/>
    <w:rsid w:val="00EF1817"/>
    <w:rsid w:val="00EF1D5F"/>
    <w:rsid w:val="00EF1E16"/>
    <w:rsid w:val="00EF24DE"/>
    <w:rsid w:val="00EF3016"/>
    <w:rsid w:val="00EF305C"/>
    <w:rsid w:val="00EF316A"/>
    <w:rsid w:val="00EF3EE3"/>
    <w:rsid w:val="00EF4074"/>
    <w:rsid w:val="00EF5395"/>
    <w:rsid w:val="00EF63FE"/>
    <w:rsid w:val="00EF647D"/>
    <w:rsid w:val="00EF6C37"/>
    <w:rsid w:val="00F00D95"/>
    <w:rsid w:val="00F016E0"/>
    <w:rsid w:val="00F022F0"/>
    <w:rsid w:val="00F02727"/>
    <w:rsid w:val="00F03926"/>
    <w:rsid w:val="00F03CD9"/>
    <w:rsid w:val="00F047BB"/>
    <w:rsid w:val="00F050B5"/>
    <w:rsid w:val="00F059E3"/>
    <w:rsid w:val="00F06373"/>
    <w:rsid w:val="00F06A67"/>
    <w:rsid w:val="00F06C93"/>
    <w:rsid w:val="00F074CF"/>
    <w:rsid w:val="00F07C83"/>
    <w:rsid w:val="00F12468"/>
    <w:rsid w:val="00F127FC"/>
    <w:rsid w:val="00F13DDA"/>
    <w:rsid w:val="00F1477A"/>
    <w:rsid w:val="00F151F1"/>
    <w:rsid w:val="00F16532"/>
    <w:rsid w:val="00F16BFC"/>
    <w:rsid w:val="00F2082F"/>
    <w:rsid w:val="00F20E3D"/>
    <w:rsid w:val="00F216C0"/>
    <w:rsid w:val="00F217C0"/>
    <w:rsid w:val="00F220BD"/>
    <w:rsid w:val="00F23050"/>
    <w:rsid w:val="00F23C47"/>
    <w:rsid w:val="00F2493D"/>
    <w:rsid w:val="00F262F1"/>
    <w:rsid w:val="00F27DB7"/>
    <w:rsid w:val="00F30D53"/>
    <w:rsid w:val="00F315DE"/>
    <w:rsid w:val="00F31C9E"/>
    <w:rsid w:val="00F31D6C"/>
    <w:rsid w:val="00F327E9"/>
    <w:rsid w:val="00F32990"/>
    <w:rsid w:val="00F332E4"/>
    <w:rsid w:val="00F34CEC"/>
    <w:rsid w:val="00F34F68"/>
    <w:rsid w:val="00F34FF5"/>
    <w:rsid w:val="00F35C5D"/>
    <w:rsid w:val="00F36490"/>
    <w:rsid w:val="00F365AE"/>
    <w:rsid w:val="00F376C9"/>
    <w:rsid w:val="00F37BC8"/>
    <w:rsid w:val="00F41036"/>
    <w:rsid w:val="00F412AE"/>
    <w:rsid w:val="00F41B7D"/>
    <w:rsid w:val="00F41EA7"/>
    <w:rsid w:val="00F436BB"/>
    <w:rsid w:val="00F4453B"/>
    <w:rsid w:val="00F449A5"/>
    <w:rsid w:val="00F44BEF"/>
    <w:rsid w:val="00F44CBB"/>
    <w:rsid w:val="00F452DC"/>
    <w:rsid w:val="00F45F05"/>
    <w:rsid w:val="00F465FF"/>
    <w:rsid w:val="00F46E3F"/>
    <w:rsid w:val="00F46FE4"/>
    <w:rsid w:val="00F47145"/>
    <w:rsid w:val="00F47E97"/>
    <w:rsid w:val="00F47F44"/>
    <w:rsid w:val="00F50849"/>
    <w:rsid w:val="00F50C6F"/>
    <w:rsid w:val="00F51611"/>
    <w:rsid w:val="00F51F4E"/>
    <w:rsid w:val="00F53543"/>
    <w:rsid w:val="00F5407B"/>
    <w:rsid w:val="00F545BF"/>
    <w:rsid w:val="00F5493C"/>
    <w:rsid w:val="00F551E5"/>
    <w:rsid w:val="00F556B9"/>
    <w:rsid w:val="00F556CF"/>
    <w:rsid w:val="00F56152"/>
    <w:rsid w:val="00F565F9"/>
    <w:rsid w:val="00F567AC"/>
    <w:rsid w:val="00F57F23"/>
    <w:rsid w:val="00F6015C"/>
    <w:rsid w:val="00F603A9"/>
    <w:rsid w:val="00F607C1"/>
    <w:rsid w:val="00F60CA8"/>
    <w:rsid w:val="00F61B86"/>
    <w:rsid w:val="00F61F5D"/>
    <w:rsid w:val="00F62F1C"/>
    <w:rsid w:val="00F63A7A"/>
    <w:rsid w:val="00F63AA5"/>
    <w:rsid w:val="00F658D7"/>
    <w:rsid w:val="00F67333"/>
    <w:rsid w:val="00F67BBF"/>
    <w:rsid w:val="00F67D5D"/>
    <w:rsid w:val="00F67DD2"/>
    <w:rsid w:val="00F70B0D"/>
    <w:rsid w:val="00F70D82"/>
    <w:rsid w:val="00F7162D"/>
    <w:rsid w:val="00F71B56"/>
    <w:rsid w:val="00F72126"/>
    <w:rsid w:val="00F725F1"/>
    <w:rsid w:val="00F7377F"/>
    <w:rsid w:val="00F73B05"/>
    <w:rsid w:val="00F73F33"/>
    <w:rsid w:val="00F740BC"/>
    <w:rsid w:val="00F7687C"/>
    <w:rsid w:val="00F8070E"/>
    <w:rsid w:val="00F81963"/>
    <w:rsid w:val="00F819C8"/>
    <w:rsid w:val="00F81AD7"/>
    <w:rsid w:val="00F82225"/>
    <w:rsid w:val="00F82377"/>
    <w:rsid w:val="00F82525"/>
    <w:rsid w:val="00F82649"/>
    <w:rsid w:val="00F82761"/>
    <w:rsid w:val="00F832C8"/>
    <w:rsid w:val="00F84763"/>
    <w:rsid w:val="00F866DD"/>
    <w:rsid w:val="00F867FF"/>
    <w:rsid w:val="00F86B4A"/>
    <w:rsid w:val="00F86E28"/>
    <w:rsid w:val="00F873B3"/>
    <w:rsid w:val="00F9098A"/>
    <w:rsid w:val="00F92602"/>
    <w:rsid w:val="00F92BE8"/>
    <w:rsid w:val="00F92F9F"/>
    <w:rsid w:val="00F93842"/>
    <w:rsid w:val="00F93FA5"/>
    <w:rsid w:val="00F94648"/>
    <w:rsid w:val="00F95F23"/>
    <w:rsid w:val="00F9600E"/>
    <w:rsid w:val="00FA016B"/>
    <w:rsid w:val="00FA0811"/>
    <w:rsid w:val="00FA0D86"/>
    <w:rsid w:val="00FA2DF8"/>
    <w:rsid w:val="00FA35D0"/>
    <w:rsid w:val="00FA42B9"/>
    <w:rsid w:val="00FA45EB"/>
    <w:rsid w:val="00FA46A3"/>
    <w:rsid w:val="00FA4EEE"/>
    <w:rsid w:val="00FA4FE3"/>
    <w:rsid w:val="00FA50BD"/>
    <w:rsid w:val="00FA638A"/>
    <w:rsid w:val="00FA755A"/>
    <w:rsid w:val="00FA7FD2"/>
    <w:rsid w:val="00FB0206"/>
    <w:rsid w:val="00FB0394"/>
    <w:rsid w:val="00FB0ECD"/>
    <w:rsid w:val="00FB10CD"/>
    <w:rsid w:val="00FB13D4"/>
    <w:rsid w:val="00FB2B03"/>
    <w:rsid w:val="00FB2B0F"/>
    <w:rsid w:val="00FB2C11"/>
    <w:rsid w:val="00FB2C96"/>
    <w:rsid w:val="00FB321C"/>
    <w:rsid w:val="00FB482F"/>
    <w:rsid w:val="00FB4A39"/>
    <w:rsid w:val="00FB4F6B"/>
    <w:rsid w:val="00FB5F40"/>
    <w:rsid w:val="00FB5FE1"/>
    <w:rsid w:val="00FB6A26"/>
    <w:rsid w:val="00FB6E11"/>
    <w:rsid w:val="00FB72C1"/>
    <w:rsid w:val="00FB779F"/>
    <w:rsid w:val="00FB7960"/>
    <w:rsid w:val="00FB79AA"/>
    <w:rsid w:val="00FC00EE"/>
    <w:rsid w:val="00FC0576"/>
    <w:rsid w:val="00FC0E8D"/>
    <w:rsid w:val="00FC11A8"/>
    <w:rsid w:val="00FC1647"/>
    <w:rsid w:val="00FC23E0"/>
    <w:rsid w:val="00FC2864"/>
    <w:rsid w:val="00FC28E0"/>
    <w:rsid w:val="00FC33B5"/>
    <w:rsid w:val="00FC367E"/>
    <w:rsid w:val="00FC3AE3"/>
    <w:rsid w:val="00FC42F1"/>
    <w:rsid w:val="00FC46EF"/>
    <w:rsid w:val="00FC4918"/>
    <w:rsid w:val="00FC4B7B"/>
    <w:rsid w:val="00FC4C2C"/>
    <w:rsid w:val="00FC5FE9"/>
    <w:rsid w:val="00FD1065"/>
    <w:rsid w:val="00FD2285"/>
    <w:rsid w:val="00FD31B3"/>
    <w:rsid w:val="00FD3402"/>
    <w:rsid w:val="00FD374A"/>
    <w:rsid w:val="00FD392C"/>
    <w:rsid w:val="00FD418B"/>
    <w:rsid w:val="00FD4204"/>
    <w:rsid w:val="00FD5752"/>
    <w:rsid w:val="00FD743E"/>
    <w:rsid w:val="00FD748E"/>
    <w:rsid w:val="00FD7A46"/>
    <w:rsid w:val="00FE02DE"/>
    <w:rsid w:val="00FE04A7"/>
    <w:rsid w:val="00FE060B"/>
    <w:rsid w:val="00FE072C"/>
    <w:rsid w:val="00FE10A6"/>
    <w:rsid w:val="00FE3316"/>
    <w:rsid w:val="00FE389F"/>
    <w:rsid w:val="00FE3DEA"/>
    <w:rsid w:val="00FE3FEF"/>
    <w:rsid w:val="00FE57B4"/>
    <w:rsid w:val="00FE5FED"/>
    <w:rsid w:val="00FE6B64"/>
    <w:rsid w:val="00FE73FC"/>
    <w:rsid w:val="00FE7D9F"/>
    <w:rsid w:val="00FF0539"/>
    <w:rsid w:val="00FF061B"/>
    <w:rsid w:val="00FF14EF"/>
    <w:rsid w:val="00FF1603"/>
    <w:rsid w:val="00FF1B65"/>
    <w:rsid w:val="00FF1D42"/>
    <w:rsid w:val="00FF2C85"/>
    <w:rsid w:val="00FF2E0E"/>
    <w:rsid w:val="00FF2FBF"/>
    <w:rsid w:val="00FF3172"/>
    <w:rsid w:val="00FF3CCB"/>
    <w:rsid w:val="00FF43BF"/>
    <w:rsid w:val="00FF52DF"/>
    <w:rsid w:val="00FF576C"/>
    <w:rsid w:val="00FF57B5"/>
    <w:rsid w:val="00FF587D"/>
    <w:rsid w:val="00FF6EB8"/>
    <w:rsid w:val="00FF78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spacing w:before="240"/>
      <w:outlineLvl w:val="0"/>
    </w:pPr>
    <w:rPr>
      <w:color w:val="22413A"/>
      <w:sz w:val="48"/>
    </w:rPr>
  </w:style>
  <w:style w:type="paragraph" w:styleId="Heading2">
    <w:name w:val="heading 2"/>
    <w:basedOn w:val="Heading1"/>
    <w:next w:val="Normal"/>
    <w:link w:val="Heading2Char"/>
    <w:qFormat/>
    <w:rsid w:val="00037EE2"/>
    <w:pPr>
      <w:outlineLvl w:val="1"/>
    </w:pPr>
    <w:rPr>
      <w:sz w:val="36"/>
    </w:rPr>
  </w:style>
  <w:style w:type="paragraph" w:styleId="Heading3">
    <w:name w:val="heading 3"/>
    <w:basedOn w:val="Heading1"/>
    <w:next w:val="Normal"/>
    <w:link w:val="Heading3Char"/>
    <w:qFormat/>
    <w:rsid w:val="00037EE2"/>
    <w:p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61C73"/>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4A336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A336D"/>
    <w:rPr>
      <w:rFonts w:ascii="Arial" w:eastAsiaTheme="minorHAnsi" w:hAnsi="Arial" w:cstheme="minorBidi"/>
      <w:b/>
      <w:bCs/>
      <w:lang w:eastAsia="en-US" w:bidi="he-IL"/>
    </w:rPr>
  </w:style>
  <w:style w:type="paragraph" w:customStyle="1" w:styleId="TSBullet2Circle">
    <w:name w:val="TS Bullet 2 Circle"/>
    <w:basedOn w:val="Normal"/>
    <w:rsid w:val="00AB5309"/>
    <w:pPr>
      <w:numPr>
        <w:numId w:val="34"/>
      </w:numPr>
      <w:spacing w:line="240" w:lineRule="auto"/>
      <w:contextualSpacing/>
    </w:pPr>
    <w:rPr>
      <w:rFonts w:eastAsia="Times New Roman" w:cs="Times New Roman"/>
      <w:sz w:val="22"/>
      <w:szCs w:val="24"/>
      <w:lang w:bidi="ar-SA"/>
    </w:rPr>
  </w:style>
  <w:style w:type="paragraph" w:customStyle="1" w:styleId="StyleBullet2Left1Firstline0">
    <w:name w:val="Style Bullet 2 + Left:  1&quot; First line:  0&quot;"/>
    <w:basedOn w:val="Normal"/>
    <w:rsid w:val="00AB5309"/>
    <w:pPr>
      <w:numPr>
        <w:numId w:val="35"/>
      </w:numPr>
      <w:tabs>
        <w:tab w:val="left" w:pos="1440"/>
      </w:tabs>
      <w:spacing w:line="240" w:lineRule="auto"/>
      <w:jc w:val="both"/>
    </w:pPr>
    <w:rPr>
      <w:rFonts w:eastAsia="Times New Roman"/>
      <w:sz w:val="22"/>
      <w:lang w:bidi="ar-SA"/>
    </w:rPr>
  </w:style>
  <w:style w:type="numbering" w:customStyle="1" w:styleId="List17">
    <w:name w:val="List 17"/>
    <w:rsid w:val="00AB5309"/>
    <w:pPr>
      <w:numPr>
        <w:numId w:val="35"/>
      </w:numPr>
    </w:pPr>
  </w:style>
  <w:style w:type="paragraph" w:styleId="Revision">
    <w:name w:val="Revision"/>
    <w:hidden/>
    <w:uiPriority w:val="99"/>
    <w:semiHidden/>
    <w:rsid w:val="00380B6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7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798852">
      <w:bodyDiv w:val="1"/>
      <w:marLeft w:val="0"/>
      <w:marRight w:val="0"/>
      <w:marTop w:val="0"/>
      <w:marBottom w:val="0"/>
      <w:divBdr>
        <w:top w:val="none" w:sz="0" w:space="0" w:color="auto"/>
        <w:left w:val="none" w:sz="0" w:space="0" w:color="auto"/>
        <w:bottom w:val="none" w:sz="0" w:space="0" w:color="auto"/>
        <w:right w:val="none" w:sz="0" w:space="0" w:color="auto"/>
      </w:divBdr>
    </w:div>
    <w:div w:id="14768625">
      <w:bodyDiv w:val="1"/>
      <w:marLeft w:val="0"/>
      <w:marRight w:val="0"/>
      <w:marTop w:val="0"/>
      <w:marBottom w:val="0"/>
      <w:divBdr>
        <w:top w:val="none" w:sz="0" w:space="0" w:color="auto"/>
        <w:left w:val="none" w:sz="0" w:space="0" w:color="auto"/>
        <w:bottom w:val="none" w:sz="0" w:space="0" w:color="auto"/>
        <w:right w:val="none" w:sz="0" w:space="0" w:color="auto"/>
      </w:divBdr>
    </w:div>
    <w:div w:id="15272536">
      <w:bodyDiv w:val="1"/>
      <w:marLeft w:val="0"/>
      <w:marRight w:val="0"/>
      <w:marTop w:val="0"/>
      <w:marBottom w:val="0"/>
      <w:divBdr>
        <w:top w:val="none" w:sz="0" w:space="0" w:color="auto"/>
        <w:left w:val="none" w:sz="0" w:space="0" w:color="auto"/>
        <w:bottom w:val="none" w:sz="0" w:space="0" w:color="auto"/>
        <w:right w:val="none" w:sz="0" w:space="0" w:color="auto"/>
      </w:divBdr>
    </w:div>
    <w:div w:id="30425348">
      <w:bodyDiv w:val="1"/>
      <w:marLeft w:val="0"/>
      <w:marRight w:val="0"/>
      <w:marTop w:val="0"/>
      <w:marBottom w:val="0"/>
      <w:divBdr>
        <w:top w:val="none" w:sz="0" w:space="0" w:color="auto"/>
        <w:left w:val="none" w:sz="0" w:space="0" w:color="auto"/>
        <w:bottom w:val="none" w:sz="0" w:space="0" w:color="auto"/>
        <w:right w:val="none" w:sz="0" w:space="0" w:color="auto"/>
      </w:divBdr>
    </w:div>
    <w:div w:id="34737256">
      <w:bodyDiv w:val="1"/>
      <w:marLeft w:val="0"/>
      <w:marRight w:val="0"/>
      <w:marTop w:val="0"/>
      <w:marBottom w:val="0"/>
      <w:divBdr>
        <w:top w:val="none" w:sz="0" w:space="0" w:color="auto"/>
        <w:left w:val="none" w:sz="0" w:space="0" w:color="auto"/>
        <w:bottom w:val="none" w:sz="0" w:space="0" w:color="auto"/>
        <w:right w:val="none" w:sz="0" w:space="0" w:color="auto"/>
      </w:divBdr>
    </w:div>
    <w:div w:id="42338768">
      <w:bodyDiv w:val="1"/>
      <w:marLeft w:val="0"/>
      <w:marRight w:val="0"/>
      <w:marTop w:val="0"/>
      <w:marBottom w:val="0"/>
      <w:divBdr>
        <w:top w:val="none" w:sz="0" w:space="0" w:color="auto"/>
        <w:left w:val="none" w:sz="0" w:space="0" w:color="auto"/>
        <w:bottom w:val="none" w:sz="0" w:space="0" w:color="auto"/>
        <w:right w:val="none" w:sz="0" w:space="0" w:color="auto"/>
      </w:divBdr>
    </w:div>
    <w:div w:id="42757291">
      <w:bodyDiv w:val="1"/>
      <w:marLeft w:val="0"/>
      <w:marRight w:val="0"/>
      <w:marTop w:val="0"/>
      <w:marBottom w:val="0"/>
      <w:divBdr>
        <w:top w:val="none" w:sz="0" w:space="0" w:color="auto"/>
        <w:left w:val="none" w:sz="0" w:space="0" w:color="auto"/>
        <w:bottom w:val="none" w:sz="0" w:space="0" w:color="auto"/>
        <w:right w:val="none" w:sz="0" w:space="0" w:color="auto"/>
      </w:divBdr>
    </w:div>
    <w:div w:id="48960267">
      <w:bodyDiv w:val="1"/>
      <w:marLeft w:val="0"/>
      <w:marRight w:val="0"/>
      <w:marTop w:val="0"/>
      <w:marBottom w:val="0"/>
      <w:divBdr>
        <w:top w:val="none" w:sz="0" w:space="0" w:color="auto"/>
        <w:left w:val="none" w:sz="0" w:space="0" w:color="auto"/>
        <w:bottom w:val="none" w:sz="0" w:space="0" w:color="auto"/>
        <w:right w:val="none" w:sz="0" w:space="0" w:color="auto"/>
      </w:divBdr>
    </w:div>
    <w:div w:id="55319286">
      <w:bodyDiv w:val="1"/>
      <w:marLeft w:val="0"/>
      <w:marRight w:val="0"/>
      <w:marTop w:val="0"/>
      <w:marBottom w:val="0"/>
      <w:divBdr>
        <w:top w:val="none" w:sz="0" w:space="0" w:color="auto"/>
        <w:left w:val="none" w:sz="0" w:space="0" w:color="auto"/>
        <w:bottom w:val="none" w:sz="0" w:space="0" w:color="auto"/>
        <w:right w:val="none" w:sz="0" w:space="0" w:color="auto"/>
      </w:divBdr>
    </w:div>
    <w:div w:id="73675184">
      <w:bodyDiv w:val="1"/>
      <w:marLeft w:val="0"/>
      <w:marRight w:val="0"/>
      <w:marTop w:val="0"/>
      <w:marBottom w:val="0"/>
      <w:divBdr>
        <w:top w:val="none" w:sz="0" w:space="0" w:color="auto"/>
        <w:left w:val="none" w:sz="0" w:space="0" w:color="auto"/>
        <w:bottom w:val="none" w:sz="0" w:space="0" w:color="auto"/>
        <w:right w:val="none" w:sz="0" w:space="0" w:color="auto"/>
      </w:divBdr>
    </w:div>
    <w:div w:id="77362309">
      <w:bodyDiv w:val="1"/>
      <w:marLeft w:val="0"/>
      <w:marRight w:val="0"/>
      <w:marTop w:val="0"/>
      <w:marBottom w:val="0"/>
      <w:divBdr>
        <w:top w:val="none" w:sz="0" w:space="0" w:color="auto"/>
        <w:left w:val="none" w:sz="0" w:space="0" w:color="auto"/>
        <w:bottom w:val="none" w:sz="0" w:space="0" w:color="auto"/>
        <w:right w:val="none" w:sz="0" w:space="0" w:color="auto"/>
      </w:divBdr>
    </w:div>
    <w:div w:id="86653257">
      <w:bodyDiv w:val="1"/>
      <w:marLeft w:val="0"/>
      <w:marRight w:val="0"/>
      <w:marTop w:val="0"/>
      <w:marBottom w:val="0"/>
      <w:divBdr>
        <w:top w:val="none" w:sz="0" w:space="0" w:color="auto"/>
        <w:left w:val="none" w:sz="0" w:space="0" w:color="auto"/>
        <w:bottom w:val="none" w:sz="0" w:space="0" w:color="auto"/>
        <w:right w:val="none" w:sz="0" w:space="0" w:color="auto"/>
      </w:divBdr>
    </w:div>
    <w:div w:id="886710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251045">
      <w:bodyDiv w:val="1"/>
      <w:marLeft w:val="0"/>
      <w:marRight w:val="0"/>
      <w:marTop w:val="0"/>
      <w:marBottom w:val="0"/>
      <w:divBdr>
        <w:top w:val="none" w:sz="0" w:space="0" w:color="auto"/>
        <w:left w:val="none" w:sz="0" w:space="0" w:color="auto"/>
        <w:bottom w:val="none" w:sz="0" w:space="0" w:color="auto"/>
        <w:right w:val="none" w:sz="0" w:space="0" w:color="auto"/>
      </w:divBdr>
    </w:div>
    <w:div w:id="104078751">
      <w:bodyDiv w:val="1"/>
      <w:marLeft w:val="0"/>
      <w:marRight w:val="0"/>
      <w:marTop w:val="0"/>
      <w:marBottom w:val="0"/>
      <w:divBdr>
        <w:top w:val="none" w:sz="0" w:space="0" w:color="auto"/>
        <w:left w:val="none" w:sz="0" w:space="0" w:color="auto"/>
        <w:bottom w:val="none" w:sz="0" w:space="0" w:color="auto"/>
        <w:right w:val="none" w:sz="0" w:space="0" w:color="auto"/>
      </w:divBdr>
    </w:div>
    <w:div w:id="122045141">
      <w:bodyDiv w:val="1"/>
      <w:marLeft w:val="0"/>
      <w:marRight w:val="0"/>
      <w:marTop w:val="0"/>
      <w:marBottom w:val="0"/>
      <w:divBdr>
        <w:top w:val="none" w:sz="0" w:space="0" w:color="auto"/>
        <w:left w:val="none" w:sz="0" w:space="0" w:color="auto"/>
        <w:bottom w:val="none" w:sz="0" w:space="0" w:color="auto"/>
        <w:right w:val="none" w:sz="0" w:space="0" w:color="auto"/>
      </w:divBdr>
    </w:div>
    <w:div w:id="129596029">
      <w:bodyDiv w:val="1"/>
      <w:marLeft w:val="0"/>
      <w:marRight w:val="0"/>
      <w:marTop w:val="0"/>
      <w:marBottom w:val="0"/>
      <w:divBdr>
        <w:top w:val="none" w:sz="0" w:space="0" w:color="auto"/>
        <w:left w:val="none" w:sz="0" w:space="0" w:color="auto"/>
        <w:bottom w:val="none" w:sz="0" w:space="0" w:color="auto"/>
        <w:right w:val="none" w:sz="0" w:space="0" w:color="auto"/>
      </w:divBdr>
    </w:div>
    <w:div w:id="136800198">
      <w:bodyDiv w:val="1"/>
      <w:marLeft w:val="0"/>
      <w:marRight w:val="0"/>
      <w:marTop w:val="0"/>
      <w:marBottom w:val="0"/>
      <w:divBdr>
        <w:top w:val="none" w:sz="0" w:space="0" w:color="auto"/>
        <w:left w:val="none" w:sz="0" w:space="0" w:color="auto"/>
        <w:bottom w:val="none" w:sz="0" w:space="0" w:color="auto"/>
        <w:right w:val="none" w:sz="0" w:space="0" w:color="auto"/>
      </w:divBdr>
    </w:div>
    <w:div w:id="150945106">
      <w:bodyDiv w:val="1"/>
      <w:marLeft w:val="0"/>
      <w:marRight w:val="0"/>
      <w:marTop w:val="0"/>
      <w:marBottom w:val="0"/>
      <w:divBdr>
        <w:top w:val="none" w:sz="0" w:space="0" w:color="auto"/>
        <w:left w:val="none" w:sz="0" w:space="0" w:color="auto"/>
        <w:bottom w:val="none" w:sz="0" w:space="0" w:color="auto"/>
        <w:right w:val="none" w:sz="0" w:space="0" w:color="auto"/>
      </w:divBdr>
    </w:div>
    <w:div w:id="151680146">
      <w:bodyDiv w:val="1"/>
      <w:marLeft w:val="0"/>
      <w:marRight w:val="0"/>
      <w:marTop w:val="0"/>
      <w:marBottom w:val="0"/>
      <w:divBdr>
        <w:top w:val="none" w:sz="0" w:space="0" w:color="auto"/>
        <w:left w:val="none" w:sz="0" w:space="0" w:color="auto"/>
        <w:bottom w:val="none" w:sz="0" w:space="0" w:color="auto"/>
        <w:right w:val="none" w:sz="0" w:space="0" w:color="auto"/>
      </w:divBdr>
    </w:div>
    <w:div w:id="188954993">
      <w:bodyDiv w:val="1"/>
      <w:marLeft w:val="0"/>
      <w:marRight w:val="0"/>
      <w:marTop w:val="0"/>
      <w:marBottom w:val="0"/>
      <w:divBdr>
        <w:top w:val="none" w:sz="0" w:space="0" w:color="auto"/>
        <w:left w:val="none" w:sz="0" w:space="0" w:color="auto"/>
        <w:bottom w:val="none" w:sz="0" w:space="0" w:color="auto"/>
        <w:right w:val="none" w:sz="0" w:space="0" w:color="auto"/>
      </w:divBdr>
    </w:div>
    <w:div w:id="195122098">
      <w:bodyDiv w:val="1"/>
      <w:marLeft w:val="0"/>
      <w:marRight w:val="0"/>
      <w:marTop w:val="0"/>
      <w:marBottom w:val="0"/>
      <w:divBdr>
        <w:top w:val="none" w:sz="0" w:space="0" w:color="auto"/>
        <w:left w:val="none" w:sz="0" w:space="0" w:color="auto"/>
        <w:bottom w:val="none" w:sz="0" w:space="0" w:color="auto"/>
        <w:right w:val="none" w:sz="0" w:space="0" w:color="auto"/>
      </w:divBdr>
    </w:div>
    <w:div w:id="198863836">
      <w:bodyDiv w:val="1"/>
      <w:marLeft w:val="0"/>
      <w:marRight w:val="0"/>
      <w:marTop w:val="0"/>
      <w:marBottom w:val="0"/>
      <w:divBdr>
        <w:top w:val="none" w:sz="0" w:space="0" w:color="auto"/>
        <w:left w:val="none" w:sz="0" w:space="0" w:color="auto"/>
        <w:bottom w:val="none" w:sz="0" w:space="0" w:color="auto"/>
        <w:right w:val="none" w:sz="0" w:space="0" w:color="auto"/>
      </w:divBdr>
    </w:div>
    <w:div w:id="20009618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148845">
      <w:bodyDiv w:val="1"/>
      <w:marLeft w:val="0"/>
      <w:marRight w:val="0"/>
      <w:marTop w:val="0"/>
      <w:marBottom w:val="0"/>
      <w:divBdr>
        <w:top w:val="none" w:sz="0" w:space="0" w:color="auto"/>
        <w:left w:val="none" w:sz="0" w:space="0" w:color="auto"/>
        <w:bottom w:val="none" w:sz="0" w:space="0" w:color="auto"/>
        <w:right w:val="none" w:sz="0" w:space="0" w:color="auto"/>
      </w:divBdr>
    </w:div>
    <w:div w:id="209266210">
      <w:bodyDiv w:val="1"/>
      <w:marLeft w:val="0"/>
      <w:marRight w:val="0"/>
      <w:marTop w:val="0"/>
      <w:marBottom w:val="0"/>
      <w:divBdr>
        <w:top w:val="none" w:sz="0" w:space="0" w:color="auto"/>
        <w:left w:val="none" w:sz="0" w:space="0" w:color="auto"/>
        <w:bottom w:val="none" w:sz="0" w:space="0" w:color="auto"/>
        <w:right w:val="none" w:sz="0" w:space="0" w:color="auto"/>
      </w:divBdr>
    </w:div>
    <w:div w:id="210652560">
      <w:bodyDiv w:val="1"/>
      <w:marLeft w:val="0"/>
      <w:marRight w:val="0"/>
      <w:marTop w:val="0"/>
      <w:marBottom w:val="0"/>
      <w:divBdr>
        <w:top w:val="none" w:sz="0" w:space="0" w:color="auto"/>
        <w:left w:val="none" w:sz="0" w:space="0" w:color="auto"/>
        <w:bottom w:val="none" w:sz="0" w:space="0" w:color="auto"/>
        <w:right w:val="none" w:sz="0" w:space="0" w:color="auto"/>
      </w:divBdr>
    </w:div>
    <w:div w:id="227496431">
      <w:bodyDiv w:val="1"/>
      <w:marLeft w:val="0"/>
      <w:marRight w:val="0"/>
      <w:marTop w:val="0"/>
      <w:marBottom w:val="0"/>
      <w:divBdr>
        <w:top w:val="none" w:sz="0" w:space="0" w:color="auto"/>
        <w:left w:val="none" w:sz="0" w:space="0" w:color="auto"/>
        <w:bottom w:val="none" w:sz="0" w:space="0" w:color="auto"/>
        <w:right w:val="none" w:sz="0" w:space="0" w:color="auto"/>
      </w:divBdr>
    </w:div>
    <w:div w:id="255553416">
      <w:bodyDiv w:val="1"/>
      <w:marLeft w:val="0"/>
      <w:marRight w:val="0"/>
      <w:marTop w:val="0"/>
      <w:marBottom w:val="0"/>
      <w:divBdr>
        <w:top w:val="none" w:sz="0" w:space="0" w:color="auto"/>
        <w:left w:val="none" w:sz="0" w:space="0" w:color="auto"/>
        <w:bottom w:val="none" w:sz="0" w:space="0" w:color="auto"/>
        <w:right w:val="none" w:sz="0" w:space="0" w:color="auto"/>
      </w:divBdr>
    </w:div>
    <w:div w:id="274292407">
      <w:bodyDiv w:val="1"/>
      <w:marLeft w:val="0"/>
      <w:marRight w:val="0"/>
      <w:marTop w:val="0"/>
      <w:marBottom w:val="0"/>
      <w:divBdr>
        <w:top w:val="none" w:sz="0" w:space="0" w:color="auto"/>
        <w:left w:val="none" w:sz="0" w:space="0" w:color="auto"/>
        <w:bottom w:val="none" w:sz="0" w:space="0" w:color="auto"/>
        <w:right w:val="none" w:sz="0" w:space="0" w:color="auto"/>
      </w:divBdr>
    </w:div>
    <w:div w:id="280110964">
      <w:bodyDiv w:val="1"/>
      <w:marLeft w:val="0"/>
      <w:marRight w:val="0"/>
      <w:marTop w:val="0"/>
      <w:marBottom w:val="0"/>
      <w:divBdr>
        <w:top w:val="none" w:sz="0" w:space="0" w:color="auto"/>
        <w:left w:val="none" w:sz="0" w:space="0" w:color="auto"/>
        <w:bottom w:val="none" w:sz="0" w:space="0" w:color="auto"/>
        <w:right w:val="none" w:sz="0" w:space="0" w:color="auto"/>
      </w:divBdr>
    </w:div>
    <w:div w:id="286817190">
      <w:bodyDiv w:val="1"/>
      <w:marLeft w:val="0"/>
      <w:marRight w:val="0"/>
      <w:marTop w:val="0"/>
      <w:marBottom w:val="0"/>
      <w:divBdr>
        <w:top w:val="none" w:sz="0" w:space="0" w:color="auto"/>
        <w:left w:val="none" w:sz="0" w:space="0" w:color="auto"/>
        <w:bottom w:val="none" w:sz="0" w:space="0" w:color="auto"/>
        <w:right w:val="none" w:sz="0" w:space="0" w:color="auto"/>
      </w:divBdr>
    </w:div>
    <w:div w:id="288127454">
      <w:bodyDiv w:val="1"/>
      <w:marLeft w:val="0"/>
      <w:marRight w:val="0"/>
      <w:marTop w:val="0"/>
      <w:marBottom w:val="0"/>
      <w:divBdr>
        <w:top w:val="none" w:sz="0" w:space="0" w:color="auto"/>
        <w:left w:val="none" w:sz="0" w:space="0" w:color="auto"/>
        <w:bottom w:val="none" w:sz="0" w:space="0" w:color="auto"/>
        <w:right w:val="none" w:sz="0" w:space="0" w:color="auto"/>
      </w:divBdr>
    </w:div>
    <w:div w:id="290863669">
      <w:bodyDiv w:val="1"/>
      <w:marLeft w:val="0"/>
      <w:marRight w:val="0"/>
      <w:marTop w:val="0"/>
      <w:marBottom w:val="0"/>
      <w:divBdr>
        <w:top w:val="none" w:sz="0" w:space="0" w:color="auto"/>
        <w:left w:val="none" w:sz="0" w:space="0" w:color="auto"/>
        <w:bottom w:val="none" w:sz="0" w:space="0" w:color="auto"/>
        <w:right w:val="none" w:sz="0" w:space="0" w:color="auto"/>
      </w:divBdr>
    </w:div>
    <w:div w:id="296035695">
      <w:bodyDiv w:val="1"/>
      <w:marLeft w:val="0"/>
      <w:marRight w:val="0"/>
      <w:marTop w:val="0"/>
      <w:marBottom w:val="0"/>
      <w:divBdr>
        <w:top w:val="none" w:sz="0" w:space="0" w:color="auto"/>
        <w:left w:val="none" w:sz="0" w:space="0" w:color="auto"/>
        <w:bottom w:val="none" w:sz="0" w:space="0" w:color="auto"/>
        <w:right w:val="none" w:sz="0" w:space="0" w:color="auto"/>
      </w:divBdr>
    </w:div>
    <w:div w:id="308286206">
      <w:bodyDiv w:val="1"/>
      <w:marLeft w:val="0"/>
      <w:marRight w:val="0"/>
      <w:marTop w:val="0"/>
      <w:marBottom w:val="0"/>
      <w:divBdr>
        <w:top w:val="none" w:sz="0" w:space="0" w:color="auto"/>
        <w:left w:val="none" w:sz="0" w:space="0" w:color="auto"/>
        <w:bottom w:val="none" w:sz="0" w:space="0" w:color="auto"/>
        <w:right w:val="none" w:sz="0" w:space="0" w:color="auto"/>
      </w:divBdr>
    </w:div>
    <w:div w:id="311298651">
      <w:bodyDiv w:val="1"/>
      <w:marLeft w:val="0"/>
      <w:marRight w:val="0"/>
      <w:marTop w:val="0"/>
      <w:marBottom w:val="0"/>
      <w:divBdr>
        <w:top w:val="none" w:sz="0" w:space="0" w:color="auto"/>
        <w:left w:val="none" w:sz="0" w:space="0" w:color="auto"/>
        <w:bottom w:val="none" w:sz="0" w:space="0" w:color="auto"/>
        <w:right w:val="none" w:sz="0" w:space="0" w:color="auto"/>
      </w:divBdr>
    </w:div>
    <w:div w:id="322512318">
      <w:bodyDiv w:val="1"/>
      <w:marLeft w:val="0"/>
      <w:marRight w:val="0"/>
      <w:marTop w:val="0"/>
      <w:marBottom w:val="0"/>
      <w:divBdr>
        <w:top w:val="none" w:sz="0" w:space="0" w:color="auto"/>
        <w:left w:val="none" w:sz="0" w:space="0" w:color="auto"/>
        <w:bottom w:val="none" w:sz="0" w:space="0" w:color="auto"/>
        <w:right w:val="none" w:sz="0" w:space="0" w:color="auto"/>
      </w:divBdr>
    </w:div>
    <w:div w:id="32724807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311249">
      <w:bodyDiv w:val="1"/>
      <w:marLeft w:val="0"/>
      <w:marRight w:val="0"/>
      <w:marTop w:val="0"/>
      <w:marBottom w:val="0"/>
      <w:divBdr>
        <w:top w:val="none" w:sz="0" w:space="0" w:color="auto"/>
        <w:left w:val="none" w:sz="0" w:space="0" w:color="auto"/>
        <w:bottom w:val="none" w:sz="0" w:space="0" w:color="auto"/>
        <w:right w:val="none" w:sz="0" w:space="0" w:color="auto"/>
      </w:divBdr>
    </w:div>
    <w:div w:id="344331169">
      <w:bodyDiv w:val="1"/>
      <w:marLeft w:val="0"/>
      <w:marRight w:val="0"/>
      <w:marTop w:val="0"/>
      <w:marBottom w:val="0"/>
      <w:divBdr>
        <w:top w:val="none" w:sz="0" w:space="0" w:color="auto"/>
        <w:left w:val="none" w:sz="0" w:space="0" w:color="auto"/>
        <w:bottom w:val="none" w:sz="0" w:space="0" w:color="auto"/>
        <w:right w:val="none" w:sz="0" w:space="0" w:color="auto"/>
      </w:divBdr>
    </w:div>
    <w:div w:id="347100235">
      <w:bodyDiv w:val="1"/>
      <w:marLeft w:val="0"/>
      <w:marRight w:val="0"/>
      <w:marTop w:val="0"/>
      <w:marBottom w:val="0"/>
      <w:divBdr>
        <w:top w:val="none" w:sz="0" w:space="0" w:color="auto"/>
        <w:left w:val="none" w:sz="0" w:space="0" w:color="auto"/>
        <w:bottom w:val="none" w:sz="0" w:space="0" w:color="auto"/>
        <w:right w:val="none" w:sz="0" w:space="0" w:color="auto"/>
      </w:divBdr>
    </w:div>
    <w:div w:id="349333021">
      <w:bodyDiv w:val="1"/>
      <w:marLeft w:val="0"/>
      <w:marRight w:val="0"/>
      <w:marTop w:val="0"/>
      <w:marBottom w:val="0"/>
      <w:divBdr>
        <w:top w:val="none" w:sz="0" w:space="0" w:color="auto"/>
        <w:left w:val="none" w:sz="0" w:space="0" w:color="auto"/>
        <w:bottom w:val="none" w:sz="0" w:space="0" w:color="auto"/>
        <w:right w:val="none" w:sz="0" w:space="0" w:color="auto"/>
      </w:divBdr>
    </w:div>
    <w:div w:id="350300715">
      <w:bodyDiv w:val="1"/>
      <w:marLeft w:val="0"/>
      <w:marRight w:val="0"/>
      <w:marTop w:val="0"/>
      <w:marBottom w:val="0"/>
      <w:divBdr>
        <w:top w:val="none" w:sz="0" w:space="0" w:color="auto"/>
        <w:left w:val="none" w:sz="0" w:space="0" w:color="auto"/>
        <w:bottom w:val="none" w:sz="0" w:space="0" w:color="auto"/>
        <w:right w:val="none" w:sz="0" w:space="0" w:color="auto"/>
      </w:divBdr>
    </w:div>
    <w:div w:id="353771887">
      <w:bodyDiv w:val="1"/>
      <w:marLeft w:val="0"/>
      <w:marRight w:val="0"/>
      <w:marTop w:val="0"/>
      <w:marBottom w:val="0"/>
      <w:divBdr>
        <w:top w:val="none" w:sz="0" w:space="0" w:color="auto"/>
        <w:left w:val="none" w:sz="0" w:space="0" w:color="auto"/>
        <w:bottom w:val="none" w:sz="0" w:space="0" w:color="auto"/>
        <w:right w:val="none" w:sz="0" w:space="0" w:color="auto"/>
      </w:divBdr>
    </w:div>
    <w:div w:id="356472939">
      <w:bodyDiv w:val="1"/>
      <w:marLeft w:val="0"/>
      <w:marRight w:val="0"/>
      <w:marTop w:val="0"/>
      <w:marBottom w:val="0"/>
      <w:divBdr>
        <w:top w:val="none" w:sz="0" w:space="0" w:color="auto"/>
        <w:left w:val="none" w:sz="0" w:space="0" w:color="auto"/>
        <w:bottom w:val="none" w:sz="0" w:space="0" w:color="auto"/>
        <w:right w:val="none" w:sz="0" w:space="0" w:color="auto"/>
      </w:divBdr>
    </w:div>
    <w:div w:id="372653791">
      <w:bodyDiv w:val="1"/>
      <w:marLeft w:val="0"/>
      <w:marRight w:val="0"/>
      <w:marTop w:val="0"/>
      <w:marBottom w:val="0"/>
      <w:divBdr>
        <w:top w:val="none" w:sz="0" w:space="0" w:color="auto"/>
        <w:left w:val="none" w:sz="0" w:space="0" w:color="auto"/>
        <w:bottom w:val="none" w:sz="0" w:space="0" w:color="auto"/>
        <w:right w:val="none" w:sz="0" w:space="0" w:color="auto"/>
      </w:divBdr>
    </w:div>
    <w:div w:id="374431999">
      <w:bodyDiv w:val="1"/>
      <w:marLeft w:val="0"/>
      <w:marRight w:val="0"/>
      <w:marTop w:val="0"/>
      <w:marBottom w:val="0"/>
      <w:divBdr>
        <w:top w:val="none" w:sz="0" w:space="0" w:color="auto"/>
        <w:left w:val="none" w:sz="0" w:space="0" w:color="auto"/>
        <w:bottom w:val="none" w:sz="0" w:space="0" w:color="auto"/>
        <w:right w:val="none" w:sz="0" w:space="0" w:color="auto"/>
      </w:divBdr>
    </w:div>
    <w:div w:id="376243779">
      <w:bodyDiv w:val="1"/>
      <w:marLeft w:val="0"/>
      <w:marRight w:val="0"/>
      <w:marTop w:val="0"/>
      <w:marBottom w:val="0"/>
      <w:divBdr>
        <w:top w:val="none" w:sz="0" w:space="0" w:color="auto"/>
        <w:left w:val="none" w:sz="0" w:space="0" w:color="auto"/>
        <w:bottom w:val="none" w:sz="0" w:space="0" w:color="auto"/>
        <w:right w:val="none" w:sz="0" w:space="0" w:color="auto"/>
      </w:divBdr>
    </w:div>
    <w:div w:id="385570331">
      <w:bodyDiv w:val="1"/>
      <w:marLeft w:val="0"/>
      <w:marRight w:val="0"/>
      <w:marTop w:val="0"/>
      <w:marBottom w:val="0"/>
      <w:divBdr>
        <w:top w:val="none" w:sz="0" w:space="0" w:color="auto"/>
        <w:left w:val="none" w:sz="0" w:space="0" w:color="auto"/>
        <w:bottom w:val="none" w:sz="0" w:space="0" w:color="auto"/>
        <w:right w:val="none" w:sz="0" w:space="0" w:color="auto"/>
      </w:divBdr>
    </w:div>
    <w:div w:id="401677814">
      <w:bodyDiv w:val="1"/>
      <w:marLeft w:val="0"/>
      <w:marRight w:val="0"/>
      <w:marTop w:val="0"/>
      <w:marBottom w:val="0"/>
      <w:divBdr>
        <w:top w:val="none" w:sz="0" w:space="0" w:color="auto"/>
        <w:left w:val="none" w:sz="0" w:space="0" w:color="auto"/>
        <w:bottom w:val="none" w:sz="0" w:space="0" w:color="auto"/>
        <w:right w:val="none" w:sz="0" w:space="0" w:color="auto"/>
      </w:divBdr>
    </w:div>
    <w:div w:id="404180456">
      <w:bodyDiv w:val="1"/>
      <w:marLeft w:val="0"/>
      <w:marRight w:val="0"/>
      <w:marTop w:val="0"/>
      <w:marBottom w:val="0"/>
      <w:divBdr>
        <w:top w:val="none" w:sz="0" w:space="0" w:color="auto"/>
        <w:left w:val="none" w:sz="0" w:space="0" w:color="auto"/>
        <w:bottom w:val="none" w:sz="0" w:space="0" w:color="auto"/>
        <w:right w:val="none" w:sz="0" w:space="0" w:color="auto"/>
      </w:divBdr>
    </w:div>
    <w:div w:id="422799988">
      <w:bodyDiv w:val="1"/>
      <w:marLeft w:val="0"/>
      <w:marRight w:val="0"/>
      <w:marTop w:val="0"/>
      <w:marBottom w:val="0"/>
      <w:divBdr>
        <w:top w:val="none" w:sz="0" w:space="0" w:color="auto"/>
        <w:left w:val="none" w:sz="0" w:space="0" w:color="auto"/>
        <w:bottom w:val="none" w:sz="0" w:space="0" w:color="auto"/>
        <w:right w:val="none" w:sz="0" w:space="0" w:color="auto"/>
      </w:divBdr>
    </w:div>
    <w:div w:id="432944286">
      <w:bodyDiv w:val="1"/>
      <w:marLeft w:val="0"/>
      <w:marRight w:val="0"/>
      <w:marTop w:val="0"/>
      <w:marBottom w:val="0"/>
      <w:divBdr>
        <w:top w:val="none" w:sz="0" w:space="0" w:color="auto"/>
        <w:left w:val="none" w:sz="0" w:space="0" w:color="auto"/>
        <w:bottom w:val="none" w:sz="0" w:space="0" w:color="auto"/>
        <w:right w:val="none" w:sz="0" w:space="0" w:color="auto"/>
      </w:divBdr>
    </w:div>
    <w:div w:id="434444668">
      <w:bodyDiv w:val="1"/>
      <w:marLeft w:val="0"/>
      <w:marRight w:val="0"/>
      <w:marTop w:val="0"/>
      <w:marBottom w:val="0"/>
      <w:divBdr>
        <w:top w:val="none" w:sz="0" w:space="0" w:color="auto"/>
        <w:left w:val="none" w:sz="0" w:space="0" w:color="auto"/>
        <w:bottom w:val="none" w:sz="0" w:space="0" w:color="auto"/>
        <w:right w:val="none" w:sz="0" w:space="0" w:color="auto"/>
      </w:divBdr>
    </w:div>
    <w:div w:id="43524706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653414">
      <w:bodyDiv w:val="1"/>
      <w:marLeft w:val="0"/>
      <w:marRight w:val="0"/>
      <w:marTop w:val="0"/>
      <w:marBottom w:val="0"/>
      <w:divBdr>
        <w:top w:val="none" w:sz="0" w:space="0" w:color="auto"/>
        <w:left w:val="none" w:sz="0" w:space="0" w:color="auto"/>
        <w:bottom w:val="none" w:sz="0" w:space="0" w:color="auto"/>
        <w:right w:val="none" w:sz="0" w:space="0" w:color="auto"/>
      </w:divBdr>
    </w:div>
    <w:div w:id="448817780">
      <w:bodyDiv w:val="1"/>
      <w:marLeft w:val="0"/>
      <w:marRight w:val="0"/>
      <w:marTop w:val="0"/>
      <w:marBottom w:val="0"/>
      <w:divBdr>
        <w:top w:val="none" w:sz="0" w:space="0" w:color="auto"/>
        <w:left w:val="none" w:sz="0" w:space="0" w:color="auto"/>
        <w:bottom w:val="none" w:sz="0" w:space="0" w:color="auto"/>
        <w:right w:val="none" w:sz="0" w:space="0" w:color="auto"/>
      </w:divBdr>
    </w:div>
    <w:div w:id="454758697">
      <w:bodyDiv w:val="1"/>
      <w:marLeft w:val="0"/>
      <w:marRight w:val="0"/>
      <w:marTop w:val="0"/>
      <w:marBottom w:val="0"/>
      <w:divBdr>
        <w:top w:val="none" w:sz="0" w:space="0" w:color="auto"/>
        <w:left w:val="none" w:sz="0" w:space="0" w:color="auto"/>
        <w:bottom w:val="none" w:sz="0" w:space="0" w:color="auto"/>
        <w:right w:val="none" w:sz="0" w:space="0" w:color="auto"/>
      </w:divBdr>
    </w:div>
    <w:div w:id="45556290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4568">
      <w:bodyDiv w:val="1"/>
      <w:marLeft w:val="0"/>
      <w:marRight w:val="0"/>
      <w:marTop w:val="0"/>
      <w:marBottom w:val="0"/>
      <w:divBdr>
        <w:top w:val="none" w:sz="0" w:space="0" w:color="auto"/>
        <w:left w:val="none" w:sz="0" w:space="0" w:color="auto"/>
        <w:bottom w:val="none" w:sz="0" w:space="0" w:color="auto"/>
        <w:right w:val="none" w:sz="0" w:space="0" w:color="auto"/>
      </w:divBdr>
    </w:div>
    <w:div w:id="460002959">
      <w:bodyDiv w:val="1"/>
      <w:marLeft w:val="0"/>
      <w:marRight w:val="0"/>
      <w:marTop w:val="0"/>
      <w:marBottom w:val="0"/>
      <w:divBdr>
        <w:top w:val="none" w:sz="0" w:space="0" w:color="auto"/>
        <w:left w:val="none" w:sz="0" w:space="0" w:color="auto"/>
        <w:bottom w:val="none" w:sz="0" w:space="0" w:color="auto"/>
        <w:right w:val="none" w:sz="0" w:space="0" w:color="auto"/>
      </w:divBdr>
    </w:div>
    <w:div w:id="464590630">
      <w:bodyDiv w:val="1"/>
      <w:marLeft w:val="0"/>
      <w:marRight w:val="0"/>
      <w:marTop w:val="0"/>
      <w:marBottom w:val="0"/>
      <w:divBdr>
        <w:top w:val="none" w:sz="0" w:space="0" w:color="auto"/>
        <w:left w:val="none" w:sz="0" w:space="0" w:color="auto"/>
        <w:bottom w:val="none" w:sz="0" w:space="0" w:color="auto"/>
        <w:right w:val="none" w:sz="0" w:space="0" w:color="auto"/>
      </w:divBdr>
    </w:div>
    <w:div w:id="469175075">
      <w:bodyDiv w:val="1"/>
      <w:marLeft w:val="0"/>
      <w:marRight w:val="0"/>
      <w:marTop w:val="0"/>
      <w:marBottom w:val="0"/>
      <w:divBdr>
        <w:top w:val="none" w:sz="0" w:space="0" w:color="auto"/>
        <w:left w:val="none" w:sz="0" w:space="0" w:color="auto"/>
        <w:bottom w:val="none" w:sz="0" w:space="0" w:color="auto"/>
        <w:right w:val="none" w:sz="0" w:space="0" w:color="auto"/>
      </w:divBdr>
    </w:div>
    <w:div w:id="470296716">
      <w:bodyDiv w:val="1"/>
      <w:marLeft w:val="0"/>
      <w:marRight w:val="0"/>
      <w:marTop w:val="0"/>
      <w:marBottom w:val="0"/>
      <w:divBdr>
        <w:top w:val="none" w:sz="0" w:space="0" w:color="auto"/>
        <w:left w:val="none" w:sz="0" w:space="0" w:color="auto"/>
        <w:bottom w:val="none" w:sz="0" w:space="0" w:color="auto"/>
        <w:right w:val="none" w:sz="0" w:space="0" w:color="auto"/>
      </w:divBdr>
    </w:div>
    <w:div w:id="472254435">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744212">
      <w:bodyDiv w:val="1"/>
      <w:marLeft w:val="0"/>
      <w:marRight w:val="0"/>
      <w:marTop w:val="0"/>
      <w:marBottom w:val="0"/>
      <w:divBdr>
        <w:top w:val="none" w:sz="0" w:space="0" w:color="auto"/>
        <w:left w:val="none" w:sz="0" w:space="0" w:color="auto"/>
        <w:bottom w:val="none" w:sz="0" w:space="0" w:color="auto"/>
        <w:right w:val="none" w:sz="0" w:space="0" w:color="auto"/>
      </w:divBdr>
    </w:div>
    <w:div w:id="503474188">
      <w:bodyDiv w:val="1"/>
      <w:marLeft w:val="0"/>
      <w:marRight w:val="0"/>
      <w:marTop w:val="0"/>
      <w:marBottom w:val="0"/>
      <w:divBdr>
        <w:top w:val="none" w:sz="0" w:space="0" w:color="auto"/>
        <w:left w:val="none" w:sz="0" w:space="0" w:color="auto"/>
        <w:bottom w:val="none" w:sz="0" w:space="0" w:color="auto"/>
        <w:right w:val="none" w:sz="0" w:space="0" w:color="auto"/>
      </w:divBdr>
    </w:div>
    <w:div w:id="530458222">
      <w:bodyDiv w:val="1"/>
      <w:marLeft w:val="0"/>
      <w:marRight w:val="0"/>
      <w:marTop w:val="0"/>
      <w:marBottom w:val="0"/>
      <w:divBdr>
        <w:top w:val="none" w:sz="0" w:space="0" w:color="auto"/>
        <w:left w:val="none" w:sz="0" w:space="0" w:color="auto"/>
        <w:bottom w:val="none" w:sz="0" w:space="0" w:color="auto"/>
        <w:right w:val="none" w:sz="0" w:space="0" w:color="auto"/>
      </w:divBdr>
    </w:div>
    <w:div w:id="53276633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823474">
      <w:bodyDiv w:val="1"/>
      <w:marLeft w:val="0"/>
      <w:marRight w:val="0"/>
      <w:marTop w:val="0"/>
      <w:marBottom w:val="0"/>
      <w:divBdr>
        <w:top w:val="none" w:sz="0" w:space="0" w:color="auto"/>
        <w:left w:val="none" w:sz="0" w:space="0" w:color="auto"/>
        <w:bottom w:val="none" w:sz="0" w:space="0" w:color="auto"/>
        <w:right w:val="none" w:sz="0" w:space="0" w:color="auto"/>
      </w:divBdr>
    </w:div>
    <w:div w:id="541940629">
      <w:bodyDiv w:val="1"/>
      <w:marLeft w:val="0"/>
      <w:marRight w:val="0"/>
      <w:marTop w:val="0"/>
      <w:marBottom w:val="0"/>
      <w:divBdr>
        <w:top w:val="none" w:sz="0" w:space="0" w:color="auto"/>
        <w:left w:val="none" w:sz="0" w:space="0" w:color="auto"/>
        <w:bottom w:val="none" w:sz="0" w:space="0" w:color="auto"/>
        <w:right w:val="none" w:sz="0" w:space="0" w:color="auto"/>
      </w:divBdr>
    </w:div>
    <w:div w:id="567957561">
      <w:bodyDiv w:val="1"/>
      <w:marLeft w:val="0"/>
      <w:marRight w:val="0"/>
      <w:marTop w:val="0"/>
      <w:marBottom w:val="0"/>
      <w:divBdr>
        <w:top w:val="none" w:sz="0" w:space="0" w:color="auto"/>
        <w:left w:val="none" w:sz="0" w:space="0" w:color="auto"/>
        <w:bottom w:val="none" w:sz="0" w:space="0" w:color="auto"/>
        <w:right w:val="none" w:sz="0" w:space="0" w:color="auto"/>
      </w:divBdr>
    </w:div>
    <w:div w:id="573243603">
      <w:bodyDiv w:val="1"/>
      <w:marLeft w:val="0"/>
      <w:marRight w:val="0"/>
      <w:marTop w:val="0"/>
      <w:marBottom w:val="0"/>
      <w:divBdr>
        <w:top w:val="none" w:sz="0" w:space="0" w:color="auto"/>
        <w:left w:val="none" w:sz="0" w:space="0" w:color="auto"/>
        <w:bottom w:val="none" w:sz="0" w:space="0" w:color="auto"/>
        <w:right w:val="none" w:sz="0" w:space="0" w:color="auto"/>
      </w:divBdr>
    </w:div>
    <w:div w:id="577711470">
      <w:bodyDiv w:val="1"/>
      <w:marLeft w:val="0"/>
      <w:marRight w:val="0"/>
      <w:marTop w:val="0"/>
      <w:marBottom w:val="0"/>
      <w:divBdr>
        <w:top w:val="none" w:sz="0" w:space="0" w:color="auto"/>
        <w:left w:val="none" w:sz="0" w:space="0" w:color="auto"/>
        <w:bottom w:val="none" w:sz="0" w:space="0" w:color="auto"/>
        <w:right w:val="none" w:sz="0" w:space="0" w:color="auto"/>
      </w:divBdr>
    </w:div>
    <w:div w:id="579482356">
      <w:bodyDiv w:val="1"/>
      <w:marLeft w:val="0"/>
      <w:marRight w:val="0"/>
      <w:marTop w:val="0"/>
      <w:marBottom w:val="0"/>
      <w:divBdr>
        <w:top w:val="none" w:sz="0" w:space="0" w:color="auto"/>
        <w:left w:val="none" w:sz="0" w:space="0" w:color="auto"/>
        <w:bottom w:val="none" w:sz="0" w:space="0" w:color="auto"/>
        <w:right w:val="none" w:sz="0" w:space="0" w:color="auto"/>
      </w:divBdr>
    </w:div>
    <w:div w:id="580722204">
      <w:bodyDiv w:val="1"/>
      <w:marLeft w:val="0"/>
      <w:marRight w:val="0"/>
      <w:marTop w:val="0"/>
      <w:marBottom w:val="0"/>
      <w:divBdr>
        <w:top w:val="none" w:sz="0" w:space="0" w:color="auto"/>
        <w:left w:val="none" w:sz="0" w:space="0" w:color="auto"/>
        <w:bottom w:val="none" w:sz="0" w:space="0" w:color="auto"/>
        <w:right w:val="none" w:sz="0" w:space="0" w:color="auto"/>
      </w:divBdr>
    </w:div>
    <w:div w:id="582765211">
      <w:bodyDiv w:val="1"/>
      <w:marLeft w:val="0"/>
      <w:marRight w:val="0"/>
      <w:marTop w:val="0"/>
      <w:marBottom w:val="0"/>
      <w:divBdr>
        <w:top w:val="none" w:sz="0" w:space="0" w:color="auto"/>
        <w:left w:val="none" w:sz="0" w:space="0" w:color="auto"/>
        <w:bottom w:val="none" w:sz="0" w:space="0" w:color="auto"/>
        <w:right w:val="none" w:sz="0" w:space="0" w:color="auto"/>
      </w:divBdr>
    </w:div>
    <w:div w:id="592591419">
      <w:bodyDiv w:val="1"/>
      <w:marLeft w:val="0"/>
      <w:marRight w:val="0"/>
      <w:marTop w:val="0"/>
      <w:marBottom w:val="0"/>
      <w:divBdr>
        <w:top w:val="none" w:sz="0" w:space="0" w:color="auto"/>
        <w:left w:val="none" w:sz="0" w:space="0" w:color="auto"/>
        <w:bottom w:val="none" w:sz="0" w:space="0" w:color="auto"/>
        <w:right w:val="none" w:sz="0" w:space="0" w:color="auto"/>
      </w:divBdr>
    </w:div>
    <w:div w:id="595136980">
      <w:bodyDiv w:val="1"/>
      <w:marLeft w:val="0"/>
      <w:marRight w:val="0"/>
      <w:marTop w:val="0"/>
      <w:marBottom w:val="0"/>
      <w:divBdr>
        <w:top w:val="none" w:sz="0" w:space="0" w:color="auto"/>
        <w:left w:val="none" w:sz="0" w:space="0" w:color="auto"/>
        <w:bottom w:val="none" w:sz="0" w:space="0" w:color="auto"/>
        <w:right w:val="none" w:sz="0" w:space="0" w:color="auto"/>
      </w:divBdr>
    </w:div>
    <w:div w:id="604727225">
      <w:bodyDiv w:val="1"/>
      <w:marLeft w:val="0"/>
      <w:marRight w:val="0"/>
      <w:marTop w:val="0"/>
      <w:marBottom w:val="0"/>
      <w:divBdr>
        <w:top w:val="none" w:sz="0" w:space="0" w:color="auto"/>
        <w:left w:val="none" w:sz="0" w:space="0" w:color="auto"/>
        <w:bottom w:val="none" w:sz="0" w:space="0" w:color="auto"/>
        <w:right w:val="none" w:sz="0" w:space="0" w:color="auto"/>
      </w:divBdr>
    </w:div>
    <w:div w:id="610892747">
      <w:bodyDiv w:val="1"/>
      <w:marLeft w:val="0"/>
      <w:marRight w:val="0"/>
      <w:marTop w:val="0"/>
      <w:marBottom w:val="0"/>
      <w:divBdr>
        <w:top w:val="none" w:sz="0" w:space="0" w:color="auto"/>
        <w:left w:val="none" w:sz="0" w:space="0" w:color="auto"/>
        <w:bottom w:val="none" w:sz="0" w:space="0" w:color="auto"/>
        <w:right w:val="none" w:sz="0" w:space="0" w:color="auto"/>
      </w:divBdr>
    </w:div>
    <w:div w:id="617567532">
      <w:bodyDiv w:val="1"/>
      <w:marLeft w:val="0"/>
      <w:marRight w:val="0"/>
      <w:marTop w:val="0"/>
      <w:marBottom w:val="0"/>
      <w:divBdr>
        <w:top w:val="none" w:sz="0" w:space="0" w:color="auto"/>
        <w:left w:val="none" w:sz="0" w:space="0" w:color="auto"/>
        <w:bottom w:val="none" w:sz="0" w:space="0" w:color="auto"/>
        <w:right w:val="none" w:sz="0" w:space="0" w:color="auto"/>
      </w:divBdr>
    </w:div>
    <w:div w:id="624121925">
      <w:bodyDiv w:val="1"/>
      <w:marLeft w:val="0"/>
      <w:marRight w:val="0"/>
      <w:marTop w:val="0"/>
      <w:marBottom w:val="0"/>
      <w:divBdr>
        <w:top w:val="none" w:sz="0" w:space="0" w:color="auto"/>
        <w:left w:val="none" w:sz="0" w:space="0" w:color="auto"/>
        <w:bottom w:val="none" w:sz="0" w:space="0" w:color="auto"/>
        <w:right w:val="none" w:sz="0" w:space="0" w:color="auto"/>
      </w:divBdr>
    </w:div>
    <w:div w:id="628123845">
      <w:bodyDiv w:val="1"/>
      <w:marLeft w:val="0"/>
      <w:marRight w:val="0"/>
      <w:marTop w:val="0"/>
      <w:marBottom w:val="0"/>
      <w:divBdr>
        <w:top w:val="none" w:sz="0" w:space="0" w:color="auto"/>
        <w:left w:val="none" w:sz="0" w:space="0" w:color="auto"/>
        <w:bottom w:val="none" w:sz="0" w:space="0" w:color="auto"/>
        <w:right w:val="none" w:sz="0" w:space="0" w:color="auto"/>
      </w:divBdr>
    </w:div>
    <w:div w:id="630787452">
      <w:bodyDiv w:val="1"/>
      <w:marLeft w:val="0"/>
      <w:marRight w:val="0"/>
      <w:marTop w:val="0"/>
      <w:marBottom w:val="0"/>
      <w:divBdr>
        <w:top w:val="none" w:sz="0" w:space="0" w:color="auto"/>
        <w:left w:val="none" w:sz="0" w:space="0" w:color="auto"/>
        <w:bottom w:val="none" w:sz="0" w:space="0" w:color="auto"/>
        <w:right w:val="none" w:sz="0" w:space="0" w:color="auto"/>
      </w:divBdr>
    </w:div>
    <w:div w:id="638724183">
      <w:bodyDiv w:val="1"/>
      <w:marLeft w:val="0"/>
      <w:marRight w:val="0"/>
      <w:marTop w:val="0"/>
      <w:marBottom w:val="0"/>
      <w:divBdr>
        <w:top w:val="none" w:sz="0" w:space="0" w:color="auto"/>
        <w:left w:val="none" w:sz="0" w:space="0" w:color="auto"/>
        <w:bottom w:val="none" w:sz="0" w:space="0" w:color="auto"/>
        <w:right w:val="none" w:sz="0" w:space="0" w:color="auto"/>
      </w:divBdr>
    </w:div>
    <w:div w:id="643121266">
      <w:bodyDiv w:val="1"/>
      <w:marLeft w:val="0"/>
      <w:marRight w:val="0"/>
      <w:marTop w:val="0"/>
      <w:marBottom w:val="0"/>
      <w:divBdr>
        <w:top w:val="none" w:sz="0" w:space="0" w:color="auto"/>
        <w:left w:val="none" w:sz="0" w:space="0" w:color="auto"/>
        <w:bottom w:val="none" w:sz="0" w:space="0" w:color="auto"/>
        <w:right w:val="none" w:sz="0" w:space="0" w:color="auto"/>
      </w:divBdr>
    </w:div>
    <w:div w:id="644119556">
      <w:bodyDiv w:val="1"/>
      <w:marLeft w:val="0"/>
      <w:marRight w:val="0"/>
      <w:marTop w:val="0"/>
      <w:marBottom w:val="0"/>
      <w:divBdr>
        <w:top w:val="none" w:sz="0" w:space="0" w:color="auto"/>
        <w:left w:val="none" w:sz="0" w:space="0" w:color="auto"/>
        <w:bottom w:val="none" w:sz="0" w:space="0" w:color="auto"/>
        <w:right w:val="none" w:sz="0" w:space="0" w:color="auto"/>
      </w:divBdr>
    </w:div>
    <w:div w:id="649016009">
      <w:bodyDiv w:val="1"/>
      <w:marLeft w:val="0"/>
      <w:marRight w:val="0"/>
      <w:marTop w:val="0"/>
      <w:marBottom w:val="0"/>
      <w:divBdr>
        <w:top w:val="none" w:sz="0" w:space="0" w:color="auto"/>
        <w:left w:val="none" w:sz="0" w:space="0" w:color="auto"/>
        <w:bottom w:val="none" w:sz="0" w:space="0" w:color="auto"/>
        <w:right w:val="none" w:sz="0" w:space="0" w:color="auto"/>
      </w:divBdr>
    </w:div>
    <w:div w:id="652679319">
      <w:bodyDiv w:val="1"/>
      <w:marLeft w:val="0"/>
      <w:marRight w:val="0"/>
      <w:marTop w:val="0"/>
      <w:marBottom w:val="0"/>
      <w:divBdr>
        <w:top w:val="none" w:sz="0" w:space="0" w:color="auto"/>
        <w:left w:val="none" w:sz="0" w:space="0" w:color="auto"/>
        <w:bottom w:val="none" w:sz="0" w:space="0" w:color="auto"/>
        <w:right w:val="none" w:sz="0" w:space="0" w:color="auto"/>
      </w:divBdr>
    </w:div>
    <w:div w:id="671493551">
      <w:bodyDiv w:val="1"/>
      <w:marLeft w:val="0"/>
      <w:marRight w:val="0"/>
      <w:marTop w:val="0"/>
      <w:marBottom w:val="0"/>
      <w:divBdr>
        <w:top w:val="none" w:sz="0" w:space="0" w:color="auto"/>
        <w:left w:val="none" w:sz="0" w:space="0" w:color="auto"/>
        <w:bottom w:val="none" w:sz="0" w:space="0" w:color="auto"/>
        <w:right w:val="none" w:sz="0" w:space="0" w:color="auto"/>
      </w:divBdr>
    </w:div>
    <w:div w:id="691229788">
      <w:bodyDiv w:val="1"/>
      <w:marLeft w:val="0"/>
      <w:marRight w:val="0"/>
      <w:marTop w:val="0"/>
      <w:marBottom w:val="0"/>
      <w:divBdr>
        <w:top w:val="none" w:sz="0" w:space="0" w:color="auto"/>
        <w:left w:val="none" w:sz="0" w:space="0" w:color="auto"/>
        <w:bottom w:val="none" w:sz="0" w:space="0" w:color="auto"/>
        <w:right w:val="none" w:sz="0" w:space="0" w:color="auto"/>
      </w:divBdr>
    </w:div>
    <w:div w:id="699207043">
      <w:bodyDiv w:val="1"/>
      <w:marLeft w:val="0"/>
      <w:marRight w:val="0"/>
      <w:marTop w:val="0"/>
      <w:marBottom w:val="0"/>
      <w:divBdr>
        <w:top w:val="none" w:sz="0" w:space="0" w:color="auto"/>
        <w:left w:val="none" w:sz="0" w:space="0" w:color="auto"/>
        <w:bottom w:val="none" w:sz="0" w:space="0" w:color="auto"/>
        <w:right w:val="none" w:sz="0" w:space="0" w:color="auto"/>
      </w:divBdr>
    </w:div>
    <w:div w:id="711423871">
      <w:bodyDiv w:val="1"/>
      <w:marLeft w:val="0"/>
      <w:marRight w:val="0"/>
      <w:marTop w:val="0"/>
      <w:marBottom w:val="0"/>
      <w:divBdr>
        <w:top w:val="none" w:sz="0" w:space="0" w:color="auto"/>
        <w:left w:val="none" w:sz="0" w:space="0" w:color="auto"/>
        <w:bottom w:val="none" w:sz="0" w:space="0" w:color="auto"/>
        <w:right w:val="none" w:sz="0" w:space="0" w:color="auto"/>
      </w:divBdr>
    </w:div>
    <w:div w:id="727457217">
      <w:bodyDiv w:val="1"/>
      <w:marLeft w:val="0"/>
      <w:marRight w:val="0"/>
      <w:marTop w:val="0"/>
      <w:marBottom w:val="0"/>
      <w:divBdr>
        <w:top w:val="none" w:sz="0" w:space="0" w:color="auto"/>
        <w:left w:val="none" w:sz="0" w:space="0" w:color="auto"/>
        <w:bottom w:val="none" w:sz="0" w:space="0" w:color="auto"/>
        <w:right w:val="none" w:sz="0" w:space="0" w:color="auto"/>
      </w:divBdr>
    </w:div>
    <w:div w:id="730926230">
      <w:bodyDiv w:val="1"/>
      <w:marLeft w:val="0"/>
      <w:marRight w:val="0"/>
      <w:marTop w:val="0"/>
      <w:marBottom w:val="0"/>
      <w:divBdr>
        <w:top w:val="none" w:sz="0" w:space="0" w:color="auto"/>
        <w:left w:val="none" w:sz="0" w:space="0" w:color="auto"/>
        <w:bottom w:val="none" w:sz="0" w:space="0" w:color="auto"/>
        <w:right w:val="none" w:sz="0" w:space="0" w:color="auto"/>
      </w:divBdr>
    </w:div>
    <w:div w:id="742988435">
      <w:bodyDiv w:val="1"/>
      <w:marLeft w:val="0"/>
      <w:marRight w:val="0"/>
      <w:marTop w:val="0"/>
      <w:marBottom w:val="0"/>
      <w:divBdr>
        <w:top w:val="none" w:sz="0" w:space="0" w:color="auto"/>
        <w:left w:val="none" w:sz="0" w:space="0" w:color="auto"/>
        <w:bottom w:val="none" w:sz="0" w:space="0" w:color="auto"/>
        <w:right w:val="none" w:sz="0" w:space="0" w:color="auto"/>
      </w:divBdr>
    </w:div>
    <w:div w:id="745494616">
      <w:bodyDiv w:val="1"/>
      <w:marLeft w:val="0"/>
      <w:marRight w:val="0"/>
      <w:marTop w:val="0"/>
      <w:marBottom w:val="0"/>
      <w:divBdr>
        <w:top w:val="none" w:sz="0" w:space="0" w:color="auto"/>
        <w:left w:val="none" w:sz="0" w:space="0" w:color="auto"/>
        <w:bottom w:val="none" w:sz="0" w:space="0" w:color="auto"/>
        <w:right w:val="none" w:sz="0" w:space="0" w:color="auto"/>
      </w:divBdr>
    </w:div>
    <w:div w:id="747192921">
      <w:bodyDiv w:val="1"/>
      <w:marLeft w:val="0"/>
      <w:marRight w:val="0"/>
      <w:marTop w:val="0"/>
      <w:marBottom w:val="0"/>
      <w:divBdr>
        <w:top w:val="none" w:sz="0" w:space="0" w:color="auto"/>
        <w:left w:val="none" w:sz="0" w:space="0" w:color="auto"/>
        <w:bottom w:val="none" w:sz="0" w:space="0" w:color="auto"/>
        <w:right w:val="none" w:sz="0" w:space="0" w:color="auto"/>
      </w:divBdr>
    </w:div>
    <w:div w:id="749742191">
      <w:bodyDiv w:val="1"/>
      <w:marLeft w:val="0"/>
      <w:marRight w:val="0"/>
      <w:marTop w:val="0"/>
      <w:marBottom w:val="0"/>
      <w:divBdr>
        <w:top w:val="none" w:sz="0" w:space="0" w:color="auto"/>
        <w:left w:val="none" w:sz="0" w:space="0" w:color="auto"/>
        <w:bottom w:val="none" w:sz="0" w:space="0" w:color="auto"/>
        <w:right w:val="none" w:sz="0" w:space="0" w:color="auto"/>
      </w:divBdr>
    </w:div>
    <w:div w:id="751898343">
      <w:bodyDiv w:val="1"/>
      <w:marLeft w:val="0"/>
      <w:marRight w:val="0"/>
      <w:marTop w:val="0"/>
      <w:marBottom w:val="0"/>
      <w:divBdr>
        <w:top w:val="none" w:sz="0" w:space="0" w:color="auto"/>
        <w:left w:val="none" w:sz="0" w:space="0" w:color="auto"/>
        <w:bottom w:val="none" w:sz="0" w:space="0" w:color="auto"/>
        <w:right w:val="none" w:sz="0" w:space="0" w:color="auto"/>
      </w:divBdr>
    </w:div>
    <w:div w:id="757412249">
      <w:bodyDiv w:val="1"/>
      <w:marLeft w:val="0"/>
      <w:marRight w:val="0"/>
      <w:marTop w:val="0"/>
      <w:marBottom w:val="0"/>
      <w:divBdr>
        <w:top w:val="none" w:sz="0" w:space="0" w:color="auto"/>
        <w:left w:val="none" w:sz="0" w:space="0" w:color="auto"/>
        <w:bottom w:val="none" w:sz="0" w:space="0" w:color="auto"/>
        <w:right w:val="none" w:sz="0" w:space="0" w:color="auto"/>
      </w:divBdr>
    </w:div>
    <w:div w:id="758066253">
      <w:bodyDiv w:val="1"/>
      <w:marLeft w:val="0"/>
      <w:marRight w:val="0"/>
      <w:marTop w:val="0"/>
      <w:marBottom w:val="0"/>
      <w:divBdr>
        <w:top w:val="none" w:sz="0" w:space="0" w:color="auto"/>
        <w:left w:val="none" w:sz="0" w:space="0" w:color="auto"/>
        <w:bottom w:val="none" w:sz="0" w:space="0" w:color="auto"/>
        <w:right w:val="none" w:sz="0" w:space="0" w:color="auto"/>
      </w:divBdr>
    </w:div>
    <w:div w:id="759907877">
      <w:bodyDiv w:val="1"/>
      <w:marLeft w:val="0"/>
      <w:marRight w:val="0"/>
      <w:marTop w:val="0"/>
      <w:marBottom w:val="0"/>
      <w:divBdr>
        <w:top w:val="none" w:sz="0" w:space="0" w:color="auto"/>
        <w:left w:val="none" w:sz="0" w:space="0" w:color="auto"/>
        <w:bottom w:val="none" w:sz="0" w:space="0" w:color="auto"/>
        <w:right w:val="none" w:sz="0" w:space="0" w:color="auto"/>
      </w:divBdr>
    </w:div>
    <w:div w:id="769617641">
      <w:bodyDiv w:val="1"/>
      <w:marLeft w:val="0"/>
      <w:marRight w:val="0"/>
      <w:marTop w:val="0"/>
      <w:marBottom w:val="0"/>
      <w:divBdr>
        <w:top w:val="none" w:sz="0" w:space="0" w:color="auto"/>
        <w:left w:val="none" w:sz="0" w:space="0" w:color="auto"/>
        <w:bottom w:val="none" w:sz="0" w:space="0" w:color="auto"/>
        <w:right w:val="none" w:sz="0" w:space="0" w:color="auto"/>
      </w:divBdr>
    </w:div>
    <w:div w:id="782531047">
      <w:bodyDiv w:val="1"/>
      <w:marLeft w:val="0"/>
      <w:marRight w:val="0"/>
      <w:marTop w:val="0"/>
      <w:marBottom w:val="0"/>
      <w:divBdr>
        <w:top w:val="none" w:sz="0" w:space="0" w:color="auto"/>
        <w:left w:val="none" w:sz="0" w:space="0" w:color="auto"/>
        <w:bottom w:val="none" w:sz="0" w:space="0" w:color="auto"/>
        <w:right w:val="none" w:sz="0" w:space="0" w:color="auto"/>
      </w:divBdr>
    </w:div>
    <w:div w:id="791096483">
      <w:bodyDiv w:val="1"/>
      <w:marLeft w:val="0"/>
      <w:marRight w:val="0"/>
      <w:marTop w:val="0"/>
      <w:marBottom w:val="0"/>
      <w:divBdr>
        <w:top w:val="none" w:sz="0" w:space="0" w:color="auto"/>
        <w:left w:val="none" w:sz="0" w:space="0" w:color="auto"/>
        <w:bottom w:val="none" w:sz="0" w:space="0" w:color="auto"/>
        <w:right w:val="none" w:sz="0" w:space="0" w:color="auto"/>
      </w:divBdr>
    </w:div>
    <w:div w:id="804615920">
      <w:bodyDiv w:val="1"/>
      <w:marLeft w:val="0"/>
      <w:marRight w:val="0"/>
      <w:marTop w:val="0"/>
      <w:marBottom w:val="0"/>
      <w:divBdr>
        <w:top w:val="none" w:sz="0" w:space="0" w:color="auto"/>
        <w:left w:val="none" w:sz="0" w:space="0" w:color="auto"/>
        <w:bottom w:val="none" w:sz="0" w:space="0" w:color="auto"/>
        <w:right w:val="none" w:sz="0" w:space="0" w:color="auto"/>
      </w:divBdr>
    </w:div>
    <w:div w:id="807405745">
      <w:bodyDiv w:val="1"/>
      <w:marLeft w:val="0"/>
      <w:marRight w:val="0"/>
      <w:marTop w:val="0"/>
      <w:marBottom w:val="0"/>
      <w:divBdr>
        <w:top w:val="none" w:sz="0" w:space="0" w:color="auto"/>
        <w:left w:val="none" w:sz="0" w:space="0" w:color="auto"/>
        <w:bottom w:val="none" w:sz="0" w:space="0" w:color="auto"/>
        <w:right w:val="none" w:sz="0" w:space="0" w:color="auto"/>
      </w:divBdr>
    </w:div>
    <w:div w:id="812064093">
      <w:bodyDiv w:val="1"/>
      <w:marLeft w:val="0"/>
      <w:marRight w:val="0"/>
      <w:marTop w:val="0"/>
      <w:marBottom w:val="0"/>
      <w:divBdr>
        <w:top w:val="none" w:sz="0" w:space="0" w:color="auto"/>
        <w:left w:val="none" w:sz="0" w:space="0" w:color="auto"/>
        <w:bottom w:val="none" w:sz="0" w:space="0" w:color="auto"/>
        <w:right w:val="none" w:sz="0" w:space="0" w:color="auto"/>
      </w:divBdr>
    </w:div>
    <w:div w:id="814834131">
      <w:bodyDiv w:val="1"/>
      <w:marLeft w:val="0"/>
      <w:marRight w:val="0"/>
      <w:marTop w:val="0"/>
      <w:marBottom w:val="0"/>
      <w:divBdr>
        <w:top w:val="none" w:sz="0" w:space="0" w:color="auto"/>
        <w:left w:val="none" w:sz="0" w:space="0" w:color="auto"/>
        <w:bottom w:val="none" w:sz="0" w:space="0" w:color="auto"/>
        <w:right w:val="none" w:sz="0" w:space="0" w:color="auto"/>
      </w:divBdr>
    </w:div>
    <w:div w:id="816804722">
      <w:bodyDiv w:val="1"/>
      <w:marLeft w:val="0"/>
      <w:marRight w:val="0"/>
      <w:marTop w:val="0"/>
      <w:marBottom w:val="0"/>
      <w:divBdr>
        <w:top w:val="none" w:sz="0" w:space="0" w:color="auto"/>
        <w:left w:val="none" w:sz="0" w:space="0" w:color="auto"/>
        <w:bottom w:val="none" w:sz="0" w:space="0" w:color="auto"/>
        <w:right w:val="none" w:sz="0" w:space="0" w:color="auto"/>
      </w:divBdr>
    </w:div>
    <w:div w:id="824395593">
      <w:bodyDiv w:val="1"/>
      <w:marLeft w:val="0"/>
      <w:marRight w:val="0"/>
      <w:marTop w:val="0"/>
      <w:marBottom w:val="0"/>
      <w:divBdr>
        <w:top w:val="none" w:sz="0" w:space="0" w:color="auto"/>
        <w:left w:val="none" w:sz="0" w:space="0" w:color="auto"/>
        <w:bottom w:val="none" w:sz="0" w:space="0" w:color="auto"/>
        <w:right w:val="none" w:sz="0" w:space="0" w:color="auto"/>
      </w:divBdr>
    </w:div>
    <w:div w:id="832527915">
      <w:bodyDiv w:val="1"/>
      <w:marLeft w:val="0"/>
      <w:marRight w:val="0"/>
      <w:marTop w:val="0"/>
      <w:marBottom w:val="0"/>
      <w:divBdr>
        <w:top w:val="none" w:sz="0" w:space="0" w:color="auto"/>
        <w:left w:val="none" w:sz="0" w:space="0" w:color="auto"/>
        <w:bottom w:val="none" w:sz="0" w:space="0" w:color="auto"/>
        <w:right w:val="none" w:sz="0" w:space="0" w:color="auto"/>
      </w:divBdr>
    </w:div>
    <w:div w:id="842160073">
      <w:bodyDiv w:val="1"/>
      <w:marLeft w:val="0"/>
      <w:marRight w:val="0"/>
      <w:marTop w:val="0"/>
      <w:marBottom w:val="0"/>
      <w:divBdr>
        <w:top w:val="none" w:sz="0" w:space="0" w:color="auto"/>
        <w:left w:val="none" w:sz="0" w:space="0" w:color="auto"/>
        <w:bottom w:val="none" w:sz="0" w:space="0" w:color="auto"/>
        <w:right w:val="none" w:sz="0" w:space="0" w:color="auto"/>
      </w:divBdr>
    </w:div>
    <w:div w:id="848367453">
      <w:bodyDiv w:val="1"/>
      <w:marLeft w:val="0"/>
      <w:marRight w:val="0"/>
      <w:marTop w:val="0"/>
      <w:marBottom w:val="0"/>
      <w:divBdr>
        <w:top w:val="none" w:sz="0" w:space="0" w:color="auto"/>
        <w:left w:val="none" w:sz="0" w:space="0" w:color="auto"/>
        <w:bottom w:val="none" w:sz="0" w:space="0" w:color="auto"/>
        <w:right w:val="none" w:sz="0" w:space="0" w:color="auto"/>
      </w:divBdr>
    </w:div>
    <w:div w:id="867991282">
      <w:bodyDiv w:val="1"/>
      <w:marLeft w:val="0"/>
      <w:marRight w:val="0"/>
      <w:marTop w:val="0"/>
      <w:marBottom w:val="0"/>
      <w:divBdr>
        <w:top w:val="none" w:sz="0" w:space="0" w:color="auto"/>
        <w:left w:val="none" w:sz="0" w:space="0" w:color="auto"/>
        <w:bottom w:val="none" w:sz="0" w:space="0" w:color="auto"/>
        <w:right w:val="none" w:sz="0" w:space="0" w:color="auto"/>
      </w:divBdr>
    </w:div>
    <w:div w:id="886571158">
      <w:bodyDiv w:val="1"/>
      <w:marLeft w:val="0"/>
      <w:marRight w:val="0"/>
      <w:marTop w:val="0"/>
      <w:marBottom w:val="0"/>
      <w:divBdr>
        <w:top w:val="none" w:sz="0" w:space="0" w:color="auto"/>
        <w:left w:val="none" w:sz="0" w:space="0" w:color="auto"/>
        <w:bottom w:val="none" w:sz="0" w:space="0" w:color="auto"/>
        <w:right w:val="none" w:sz="0" w:space="0" w:color="auto"/>
      </w:divBdr>
    </w:div>
    <w:div w:id="890264177">
      <w:bodyDiv w:val="1"/>
      <w:marLeft w:val="0"/>
      <w:marRight w:val="0"/>
      <w:marTop w:val="0"/>
      <w:marBottom w:val="0"/>
      <w:divBdr>
        <w:top w:val="none" w:sz="0" w:space="0" w:color="auto"/>
        <w:left w:val="none" w:sz="0" w:space="0" w:color="auto"/>
        <w:bottom w:val="none" w:sz="0" w:space="0" w:color="auto"/>
        <w:right w:val="none" w:sz="0" w:space="0" w:color="auto"/>
      </w:divBdr>
    </w:div>
    <w:div w:id="897470751">
      <w:bodyDiv w:val="1"/>
      <w:marLeft w:val="0"/>
      <w:marRight w:val="0"/>
      <w:marTop w:val="0"/>
      <w:marBottom w:val="0"/>
      <w:divBdr>
        <w:top w:val="none" w:sz="0" w:space="0" w:color="auto"/>
        <w:left w:val="none" w:sz="0" w:space="0" w:color="auto"/>
        <w:bottom w:val="none" w:sz="0" w:space="0" w:color="auto"/>
        <w:right w:val="none" w:sz="0" w:space="0" w:color="auto"/>
      </w:divBdr>
    </w:div>
    <w:div w:id="899053719">
      <w:bodyDiv w:val="1"/>
      <w:marLeft w:val="0"/>
      <w:marRight w:val="0"/>
      <w:marTop w:val="0"/>
      <w:marBottom w:val="0"/>
      <w:divBdr>
        <w:top w:val="none" w:sz="0" w:space="0" w:color="auto"/>
        <w:left w:val="none" w:sz="0" w:space="0" w:color="auto"/>
        <w:bottom w:val="none" w:sz="0" w:space="0" w:color="auto"/>
        <w:right w:val="none" w:sz="0" w:space="0" w:color="auto"/>
      </w:divBdr>
    </w:div>
    <w:div w:id="903955497">
      <w:bodyDiv w:val="1"/>
      <w:marLeft w:val="0"/>
      <w:marRight w:val="0"/>
      <w:marTop w:val="0"/>
      <w:marBottom w:val="0"/>
      <w:divBdr>
        <w:top w:val="none" w:sz="0" w:space="0" w:color="auto"/>
        <w:left w:val="none" w:sz="0" w:space="0" w:color="auto"/>
        <w:bottom w:val="none" w:sz="0" w:space="0" w:color="auto"/>
        <w:right w:val="none" w:sz="0" w:space="0" w:color="auto"/>
      </w:divBdr>
    </w:div>
    <w:div w:id="909340611">
      <w:bodyDiv w:val="1"/>
      <w:marLeft w:val="0"/>
      <w:marRight w:val="0"/>
      <w:marTop w:val="0"/>
      <w:marBottom w:val="0"/>
      <w:divBdr>
        <w:top w:val="none" w:sz="0" w:space="0" w:color="auto"/>
        <w:left w:val="none" w:sz="0" w:space="0" w:color="auto"/>
        <w:bottom w:val="none" w:sz="0" w:space="0" w:color="auto"/>
        <w:right w:val="none" w:sz="0" w:space="0" w:color="auto"/>
      </w:divBdr>
    </w:div>
    <w:div w:id="914365647">
      <w:bodyDiv w:val="1"/>
      <w:marLeft w:val="0"/>
      <w:marRight w:val="0"/>
      <w:marTop w:val="0"/>
      <w:marBottom w:val="0"/>
      <w:divBdr>
        <w:top w:val="none" w:sz="0" w:space="0" w:color="auto"/>
        <w:left w:val="none" w:sz="0" w:space="0" w:color="auto"/>
        <w:bottom w:val="none" w:sz="0" w:space="0" w:color="auto"/>
        <w:right w:val="none" w:sz="0" w:space="0" w:color="auto"/>
      </w:divBdr>
    </w:div>
    <w:div w:id="916354980">
      <w:bodyDiv w:val="1"/>
      <w:marLeft w:val="0"/>
      <w:marRight w:val="0"/>
      <w:marTop w:val="0"/>
      <w:marBottom w:val="0"/>
      <w:divBdr>
        <w:top w:val="none" w:sz="0" w:space="0" w:color="auto"/>
        <w:left w:val="none" w:sz="0" w:space="0" w:color="auto"/>
        <w:bottom w:val="none" w:sz="0" w:space="0" w:color="auto"/>
        <w:right w:val="none" w:sz="0" w:space="0" w:color="auto"/>
      </w:divBdr>
    </w:div>
    <w:div w:id="925111630">
      <w:bodyDiv w:val="1"/>
      <w:marLeft w:val="0"/>
      <w:marRight w:val="0"/>
      <w:marTop w:val="0"/>
      <w:marBottom w:val="0"/>
      <w:divBdr>
        <w:top w:val="none" w:sz="0" w:space="0" w:color="auto"/>
        <w:left w:val="none" w:sz="0" w:space="0" w:color="auto"/>
        <w:bottom w:val="none" w:sz="0" w:space="0" w:color="auto"/>
        <w:right w:val="none" w:sz="0" w:space="0" w:color="auto"/>
      </w:divBdr>
    </w:div>
    <w:div w:id="928808812">
      <w:bodyDiv w:val="1"/>
      <w:marLeft w:val="0"/>
      <w:marRight w:val="0"/>
      <w:marTop w:val="0"/>
      <w:marBottom w:val="0"/>
      <w:divBdr>
        <w:top w:val="none" w:sz="0" w:space="0" w:color="auto"/>
        <w:left w:val="none" w:sz="0" w:space="0" w:color="auto"/>
        <w:bottom w:val="none" w:sz="0" w:space="0" w:color="auto"/>
        <w:right w:val="none" w:sz="0" w:space="0" w:color="auto"/>
      </w:divBdr>
    </w:div>
    <w:div w:id="932281257">
      <w:bodyDiv w:val="1"/>
      <w:marLeft w:val="0"/>
      <w:marRight w:val="0"/>
      <w:marTop w:val="0"/>
      <w:marBottom w:val="0"/>
      <w:divBdr>
        <w:top w:val="none" w:sz="0" w:space="0" w:color="auto"/>
        <w:left w:val="none" w:sz="0" w:space="0" w:color="auto"/>
        <w:bottom w:val="none" w:sz="0" w:space="0" w:color="auto"/>
        <w:right w:val="none" w:sz="0" w:space="0" w:color="auto"/>
      </w:divBdr>
    </w:div>
    <w:div w:id="933367724">
      <w:bodyDiv w:val="1"/>
      <w:marLeft w:val="0"/>
      <w:marRight w:val="0"/>
      <w:marTop w:val="0"/>
      <w:marBottom w:val="0"/>
      <w:divBdr>
        <w:top w:val="none" w:sz="0" w:space="0" w:color="auto"/>
        <w:left w:val="none" w:sz="0" w:space="0" w:color="auto"/>
        <w:bottom w:val="none" w:sz="0" w:space="0" w:color="auto"/>
        <w:right w:val="none" w:sz="0" w:space="0" w:color="auto"/>
      </w:divBdr>
    </w:div>
    <w:div w:id="941033549">
      <w:bodyDiv w:val="1"/>
      <w:marLeft w:val="0"/>
      <w:marRight w:val="0"/>
      <w:marTop w:val="0"/>
      <w:marBottom w:val="0"/>
      <w:divBdr>
        <w:top w:val="none" w:sz="0" w:space="0" w:color="auto"/>
        <w:left w:val="none" w:sz="0" w:space="0" w:color="auto"/>
        <w:bottom w:val="none" w:sz="0" w:space="0" w:color="auto"/>
        <w:right w:val="none" w:sz="0" w:space="0" w:color="auto"/>
      </w:divBdr>
    </w:div>
    <w:div w:id="953514957">
      <w:bodyDiv w:val="1"/>
      <w:marLeft w:val="0"/>
      <w:marRight w:val="0"/>
      <w:marTop w:val="0"/>
      <w:marBottom w:val="0"/>
      <w:divBdr>
        <w:top w:val="none" w:sz="0" w:space="0" w:color="auto"/>
        <w:left w:val="none" w:sz="0" w:space="0" w:color="auto"/>
        <w:bottom w:val="none" w:sz="0" w:space="0" w:color="auto"/>
        <w:right w:val="none" w:sz="0" w:space="0" w:color="auto"/>
      </w:divBdr>
    </w:div>
    <w:div w:id="96161661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6199">
      <w:bodyDiv w:val="1"/>
      <w:marLeft w:val="0"/>
      <w:marRight w:val="0"/>
      <w:marTop w:val="0"/>
      <w:marBottom w:val="0"/>
      <w:divBdr>
        <w:top w:val="none" w:sz="0" w:space="0" w:color="auto"/>
        <w:left w:val="none" w:sz="0" w:space="0" w:color="auto"/>
        <w:bottom w:val="none" w:sz="0" w:space="0" w:color="auto"/>
        <w:right w:val="none" w:sz="0" w:space="0" w:color="auto"/>
      </w:divBdr>
    </w:div>
    <w:div w:id="973293886">
      <w:bodyDiv w:val="1"/>
      <w:marLeft w:val="0"/>
      <w:marRight w:val="0"/>
      <w:marTop w:val="0"/>
      <w:marBottom w:val="0"/>
      <w:divBdr>
        <w:top w:val="none" w:sz="0" w:space="0" w:color="auto"/>
        <w:left w:val="none" w:sz="0" w:space="0" w:color="auto"/>
        <w:bottom w:val="none" w:sz="0" w:space="0" w:color="auto"/>
        <w:right w:val="none" w:sz="0" w:space="0" w:color="auto"/>
      </w:divBdr>
    </w:div>
    <w:div w:id="976691503">
      <w:bodyDiv w:val="1"/>
      <w:marLeft w:val="0"/>
      <w:marRight w:val="0"/>
      <w:marTop w:val="0"/>
      <w:marBottom w:val="0"/>
      <w:divBdr>
        <w:top w:val="none" w:sz="0" w:space="0" w:color="auto"/>
        <w:left w:val="none" w:sz="0" w:space="0" w:color="auto"/>
        <w:bottom w:val="none" w:sz="0" w:space="0" w:color="auto"/>
        <w:right w:val="none" w:sz="0" w:space="0" w:color="auto"/>
      </w:divBdr>
    </w:div>
    <w:div w:id="996227922">
      <w:bodyDiv w:val="1"/>
      <w:marLeft w:val="0"/>
      <w:marRight w:val="0"/>
      <w:marTop w:val="0"/>
      <w:marBottom w:val="0"/>
      <w:divBdr>
        <w:top w:val="none" w:sz="0" w:space="0" w:color="auto"/>
        <w:left w:val="none" w:sz="0" w:space="0" w:color="auto"/>
        <w:bottom w:val="none" w:sz="0" w:space="0" w:color="auto"/>
        <w:right w:val="none" w:sz="0" w:space="0" w:color="auto"/>
      </w:divBdr>
    </w:div>
    <w:div w:id="1000545466">
      <w:bodyDiv w:val="1"/>
      <w:marLeft w:val="0"/>
      <w:marRight w:val="0"/>
      <w:marTop w:val="0"/>
      <w:marBottom w:val="0"/>
      <w:divBdr>
        <w:top w:val="none" w:sz="0" w:space="0" w:color="auto"/>
        <w:left w:val="none" w:sz="0" w:space="0" w:color="auto"/>
        <w:bottom w:val="none" w:sz="0" w:space="0" w:color="auto"/>
        <w:right w:val="none" w:sz="0" w:space="0" w:color="auto"/>
      </w:divBdr>
    </w:div>
    <w:div w:id="1003048769">
      <w:bodyDiv w:val="1"/>
      <w:marLeft w:val="0"/>
      <w:marRight w:val="0"/>
      <w:marTop w:val="0"/>
      <w:marBottom w:val="0"/>
      <w:divBdr>
        <w:top w:val="none" w:sz="0" w:space="0" w:color="auto"/>
        <w:left w:val="none" w:sz="0" w:space="0" w:color="auto"/>
        <w:bottom w:val="none" w:sz="0" w:space="0" w:color="auto"/>
        <w:right w:val="none" w:sz="0" w:space="0" w:color="auto"/>
      </w:divBdr>
    </w:div>
    <w:div w:id="1005203877">
      <w:bodyDiv w:val="1"/>
      <w:marLeft w:val="0"/>
      <w:marRight w:val="0"/>
      <w:marTop w:val="0"/>
      <w:marBottom w:val="0"/>
      <w:divBdr>
        <w:top w:val="none" w:sz="0" w:space="0" w:color="auto"/>
        <w:left w:val="none" w:sz="0" w:space="0" w:color="auto"/>
        <w:bottom w:val="none" w:sz="0" w:space="0" w:color="auto"/>
        <w:right w:val="none" w:sz="0" w:space="0" w:color="auto"/>
      </w:divBdr>
    </w:div>
    <w:div w:id="1007563380">
      <w:bodyDiv w:val="1"/>
      <w:marLeft w:val="0"/>
      <w:marRight w:val="0"/>
      <w:marTop w:val="0"/>
      <w:marBottom w:val="0"/>
      <w:divBdr>
        <w:top w:val="none" w:sz="0" w:space="0" w:color="auto"/>
        <w:left w:val="none" w:sz="0" w:space="0" w:color="auto"/>
        <w:bottom w:val="none" w:sz="0" w:space="0" w:color="auto"/>
        <w:right w:val="none" w:sz="0" w:space="0" w:color="auto"/>
      </w:divBdr>
    </w:div>
    <w:div w:id="1012995145">
      <w:bodyDiv w:val="1"/>
      <w:marLeft w:val="0"/>
      <w:marRight w:val="0"/>
      <w:marTop w:val="0"/>
      <w:marBottom w:val="0"/>
      <w:divBdr>
        <w:top w:val="none" w:sz="0" w:space="0" w:color="auto"/>
        <w:left w:val="none" w:sz="0" w:space="0" w:color="auto"/>
        <w:bottom w:val="none" w:sz="0" w:space="0" w:color="auto"/>
        <w:right w:val="none" w:sz="0" w:space="0" w:color="auto"/>
      </w:divBdr>
    </w:div>
    <w:div w:id="1015688363">
      <w:bodyDiv w:val="1"/>
      <w:marLeft w:val="0"/>
      <w:marRight w:val="0"/>
      <w:marTop w:val="0"/>
      <w:marBottom w:val="0"/>
      <w:divBdr>
        <w:top w:val="none" w:sz="0" w:space="0" w:color="auto"/>
        <w:left w:val="none" w:sz="0" w:space="0" w:color="auto"/>
        <w:bottom w:val="none" w:sz="0" w:space="0" w:color="auto"/>
        <w:right w:val="none" w:sz="0" w:space="0" w:color="auto"/>
      </w:divBdr>
    </w:div>
    <w:div w:id="1018122709">
      <w:bodyDiv w:val="1"/>
      <w:marLeft w:val="0"/>
      <w:marRight w:val="0"/>
      <w:marTop w:val="0"/>
      <w:marBottom w:val="0"/>
      <w:divBdr>
        <w:top w:val="none" w:sz="0" w:space="0" w:color="auto"/>
        <w:left w:val="none" w:sz="0" w:space="0" w:color="auto"/>
        <w:bottom w:val="none" w:sz="0" w:space="0" w:color="auto"/>
        <w:right w:val="none" w:sz="0" w:space="0" w:color="auto"/>
      </w:divBdr>
    </w:div>
    <w:div w:id="1021661276">
      <w:bodyDiv w:val="1"/>
      <w:marLeft w:val="0"/>
      <w:marRight w:val="0"/>
      <w:marTop w:val="0"/>
      <w:marBottom w:val="0"/>
      <w:divBdr>
        <w:top w:val="none" w:sz="0" w:space="0" w:color="auto"/>
        <w:left w:val="none" w:sz="0" w:space="0" w:color="auto"/>
        <w:bottom w:val="none" w:sz="0" w:space="0" w:color="auto"/>
        <w:right w:val="none" w:sz="0" w:space="0" w:color="auto"/>
      </w:divBdr>
    </w:div>
    <w:div w:id="1028457177">
      <w:bodyDiv w:val="1"/>
      <w:marLeft w:val="0"/>
      <w:marRight w:val="0"/>
      <w:marTop w:val="0"/>
      <w:marBottom w:val="0"/>
      <w:divBdr>
        <w:top w:val="none" w:sz="0" w:space="0" w:color="auto"/>
        <w:left w:val="none" w:sz="0" w:space="0" w:color="auto"/>
        <w:bottom w:val="none" w:sz="0" w:space="0" w:color="auto"/>
        <w:right w:val="none" w:sz="0" w:space="0" w:color="auto"/>
      </w:divBdr>
    </w:div>
    <w:div w:id="1048453576">
      <w:bodyDiv w:val="1"/>
      <w:marLeft w:val="0"/>
      <w:marRight w:val="0"/>
      <w:marTop w:val="0"/>
      <w:marBottom w:val="0"/>
      <w:divBdr>
        <w:top w:val="none" w:sz="0" w:space="0" w:color="auto"/>
        <w:left w:val="none" w:sz="0" w:space="0" w:color="auto"/>
        <w:bottom w:val="none" w:sz="0" w:space="0" w:color="auto"/>
        <w:right w:val="none" w:sz="0" w:space="0" w:color="auto"/>
      </w:divBdr>
    </w:div>
    <w:div w:id="1055396843">
      <w:bodyDiv w:val="1"/>
      <w:marLeft w:val="0"/>
      <w:marRight w:val="0"/>
      <w:marTop w:val="0"/>
      <w:marBottom w:val="0"/>
      <w:divBdr>
        <w:top w:val="none" w:sz="0" w:space="0" w:color="auto"/>
        <w:left w:val="none" w:sz="0" w:space="0" w:color="auto"/>
        <w:bottom w:val="none" w:sz="0" w:space="0" w:color="auto"/>
        <w:right w:val="none" w:sz="0" w:space="0" w:color="auto"/>
      </w:divBdr>
    </w:div>
    <w:div w:id="1055658768">
      <w:bodyDiv w:val="1"/>
      <w:marLeft w:val="0"/>
      <w:marRight w:val="0"/>
      <w:marTop w:val="0"/>
      <w:marBottom w:val="0"/>
      <w:divBdr>
        <w:top w:val="none" w:sz="0" w:space="0" w:color="auto"/>
        <w:left w:val="none" w:sz="0" w:space="0" w:color="auto"/>
        <w:bottom w:val="none" w:sz="0" w:space="0" w:color="auto"/>
        <w:right w:val="none" w:sz="0" w:space="0" w:color="auto"/>
      </w:divBdr>
    </w:div>
    <w:div w:id="1068116626">
      <w:bodyDiv w:val="1"/>
      <w:marLeft w:val="0"/>
      <w:marRight w:val="0"/>
      <w:marTop w:val="0"/>
      <w:marBottom w:val="0"/>
      <w:divBdr>
        <w:top w:val="none" w:sz="0" w:space="0" w:color="auto"/>
        <w:left w:val="none" w:sz="0" w:space="0" w:color="auto"/>
        <w:bottom w:val="none" w:sz="0" w:space="0" w:color="auto"/>
        <w:right w:val="none" w:sz="0" w:space="0" w:color="auto"/>
      </w:divBdr>
    </w:div>
    <w:div w:id="1076124478">
      <w:bodyDiv w:val="1"/>
      <w:marLeft w:val="0"/>
      <w:marRight w:val="0"/>
      <w:marTop w:val="0"/>
      <w:marBottom w:val="0"/>
      <w:divBdr>
        <w:top w:val="none" w:sz="0" w:space="0" w:color="auto"/>
        <w:left w:val="none" w:sz="0" w:space="0" w:color="auto"/>
        <w:bottom w:val="none" w:sz="0" w:space="0" w:color="auto"/>
        <w:right w:val="none" w:sz="0" w:space="0" w:color="auto"/>
      </w:divBdr>
    </w:div>
    <w:div w:id="1076823476">
      <w:bodyDiv w:val="1"/>
      <w:marLeft w:val="0"/>
      <w:marRight w:val="0"/>
      <w:marTop w:val="0"/>
      <w:marBottom w:val="0"/>
      <w:divBdr>
        <w:top w:val="none" w:sz="0" w:space="0" w:color="auto"/>
        <w:left w:val="none" w:sz="0" w:space="0" w:color="auto"/>
        <w:bottom w:val="none" w:sz="0" w:space="0" w:color="auto"/>
        <w:right w:val="none" w:sz="0" w:space="0" w:color="auto"/>
      </w:divBdr>
    </w:div>
    <w:div w:id="1085960656">
      <w:bodyDiv w:val="1"/>
      <w:marLeft w:val="0"/>
      <w:marRight w:val="0"/>
      <w:marTop w:val="0"/>
      <w:marBottom w:val="0"/>
      <w:divBdr>
        <w:top w:val="none" w:sz="0" w:space="0" w:color="auto"/>
        <w:left w:val="none" w:sz="0" w:space="0" w:color="auto"/>
        <w:bottom w:val="none" w:sz="0" w:space="0" w:color="auto"/>
        <w:right w:val="none" w:sz="0" w:space="0" w:color="auto"/>
      </w:divBdr>
    </w:div>
    <w:div w:id="1094475283">
      <w:bodyDiv w:val="1"/>
      <w:marLeft w:val="0"/>
      <w:marRight w:val="0"/>
      <w:marTop w:val="0"/>
      <w:marBottom w:val="0"/>
      <w:divBdr>
        <w:top w:val="none" w:sz="0" w:space="0" w:color="auto"/>
        <w:left w:val="none" w:sz="0" w:space="0" w:color="auto"/>
        <w:bottom w:val="none" w:sz="0" w:space="0" w:color="auto"/>
        <w:right w:val="none" w:sz="0" w:space="0" w:color="auto"/>
      </w:divBdr>
    </w:div>
    <w:div w:id="1094594303">
      <w:bodyDiv w:val="1"/>
      <w:marLeft w:val="0"/>
      <w:marRight w:val="0"/>
      <w:marTop w:val="0"/>
      <w:marBottom w:val="0"/>
      <w:divBdr>
        <w:top w:val="none" w:sz="0" w:space="0" w:color="auto"/>
        <w:left w:val="none" w:sz="0" w:space="0" w:color="auto"/>
        <w:bottom w:val="none" w:sz="0" w:space="0" w:color="auto"/>
        <w:right w:val="none" w:sz="0" w:space="0" w:color="auto"/>
      </w:divBdr>
    </w:div>
    <w:div w:id="1096635065">
      <w:bodyDiv w:val="1"/>
      <w:marLeft w:val="0"/>
      <w:marRight w:val="0"/>
      <w:marTop w:val="0"/>
      <w:marBottom w:val="0"/>
      <w:divBdr>
        <w:top w:val="none" w:sz="0" w:space="0" w:color="auto"/>
        <w:left w:val="none" w:sz="0" w:space="0" w:color="auto"/>
        <w:bottom w:val="none" w:sz="0" w:space="0" w:color="auto"/>
        <w:right w:val="none" w:sz="0" w:space="0" w:color="auto"/>
      </w:divBdr>
    </w:div>
    <w:div w:id="1103649066">
      <w:bodyDiv w:val="1"/>
      <w:marLeft w:val="0"/>
      <w:marRight w:val="0"/>
      <w:marTop w:val="0"/>
      <w:marBottom w:val="0"/>
      <w:divBdr>
        <w:top w:val="none" w:sz="0" w:space="0" w:color="auto"/>
        <w:left w:val="none" w:sz="0" w:space="0" w:color="auto"/>
        <w:bottom w:val="none" w:sz="0" w:space="0" w:color="auto"/>
        <w:right w:val="none" w:sz="0" w:space="0" w:color="auto"/>
      </w:divBdr>
    </w:div>
    <w:div w:id="1109203760">
      <w:bodyDiv w:val="1"/>
      <w:marLeft w:val="0"/>
      <w:marRight w:val="0"/>
      <w:marTop w:val="0"/>
      <w:marBottom w:val="0"/>
      <w:divBdr>
        <w:top w:val="none" w:sz="0" w:space="0" w:color="auto"/>
        <w:left w:val="none" w:sz="0" w:space="0" w:color="auto"/>
        <w:bottom w:val="none" w:sz="0" w:space="0" w:color="auto"/>
        <w:right w:val="none" w:sz="0" w:space="0" w:color="auto"/>
      </w:divBdr>
    </w:div>
    <w:div w:id="11135913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27223">
      <w:bodyDiv w:val="1"/>
      <w:marLeft w:val="0"/>
      <w:marRight w:val="0"/>
      <w:marTop w:val="0"/>
      <w:marBottom w:val="0"/>
      <w:divBdr>
        <w:top w:val="none" w:sz="0" w:space="0" w:color="auto"/>
        <w:left w:val="none" w:sz="0" w:space="0" w:color="auto"/>
        <w:bottom w:val="none" w:sz="0" w:space="0" w:color="auto"/>
        <w:right w:val="none" w:sz="0" w:space="0" w:color="auto"/>
      </w:divBdr>
    </w:div>
    <w:div w:id="1150294794">
      <w:bodyDiv w:val="1"/>
      <w:marLeft w:val="0"/>
      <w:marRight w:val="0"/>
      <w:marTop w:val="0"/>
      <w:marBottom w:val="0"/>
      <w:divBdr>
        <w:top w:val="none" w:sz="0" w:space="0" w:color="auto"/>
        <w:left w:val="none" w:sz="0" w:space="0" w:color="auto"/>
        <w:bottom w:val="none" w:sz="0" w:space="0" w:color="auto"/>
        <w:right w:val="none" w:sz="0" w:space="0" w:color="auto"/>
      </w:divBdr>
    </w:div>
    <w:div w:id="1154226687">
      <w:bodyDiv w:val="1"/>
      <w:marLeft w:val="0"/>
      <w:marRight w:val="0"/>
      <w:marTop w:val="0"/>
      <w:marBottom w:val="0"/>
      <w:divBdr>
        <w:top w:val="none" w:sz="0" w:space="0" w:color="auto"/>
        <w:left w:val="none" w:sz="0" w:space="0" w:color="auto"/>
        <w:bottom w:val="none" w:sz="0" w:space="0" w:color="auto"/>
        <w:right w:val="none" w:sz="0" w:space="0" w:color="auto"/>
      </w:divBdr>
    </w:div>
    <w:div w:id="1156841692">
      <w:bodyDiv w:val="1"/>
      <w:marLeft w:val="0"/>
      <w:marRight w:val="0"/>
      <w:marTop w:val="0"/>
      <w:marBottom w:val="0"/>
      <w:divBdr>
        <w:top w:val="none" w:sz="0" w:space="0" w:color="auto"/>
        <w:left w:val="none" w:sz="0" w:space="0" w:color="auto"/>
        <w:bottom w:val="none" w:sz="0" w:space="0" w:color="auto"/>
        <w:right w:val="none" w:sz="0" w:space="0" w:color="auto"/>
      </w:divBdr>
    </w:div>
    <w:div w:id="1160543243">
      <w:bodyDiv w:val="1"/>
      <w:marLeft w:val="0"/>
      <w:marRight w:val="0"/>
      <w:marTop w:val="0"/>
      <w:marBottom w:val="0"/>
      <w:divBdr>
        <w:top w:val="none" w:sz="0" w:space="0" w:color="auto"/>
        <w:left w:val="none" w:sz="0" w:space="0" w:color="auto"/>
        <w:bottom w:val="none" w:sz="0" w:space="0" w:color="auto"/>
        <w:right w:val="none" w:sz="0" w:space="0" w:color="auto"/>
      </w:divBdr>
    </w:div>
    <w:div w:id="1163198829">
      <w:bodyDiv w:val="1"/>
      <w:marLeft w:val="0"/>
      <w:marRight w:val="0"/>
      <w:marTop w:val="0"/>
      <w:marBottom w:val="0"/>
      <w:divBdr>
        <w:top w:val="none" w:sz="0" w:space="0" w:color="auto"/>
        <w:left w:val="none" w:sz="0" w:space="0" w:color="auto"/>
        <w:bottom w:val="none" w:sz="0" w:space="0" w:color="auto"/>
        <w:right w:val="none" w:sz="0" w:space="0" w:color="auto"/>
      </w:divBdr>
    </w:div>
    <w:div w:id="1163281471">
      <w:bodyDiv w:val="1"/>
      <w:marLeft w:val="0"/>
      <w:marRight w:val="0"/>
      <w:marTop w:val="0"/>
      <w:marBottom w:val="0"/>
      <w:divBdr>
        <w:top w:val="none" w:sz="0" w:space="0" w:color="auto"/>
        <w:left w:val="none" w:sz="0" w:space="0" w:color="auto"/>
        <w:bottom w:val="none" w:sz="0" w:space="0" w:color="auto"/>
        <w:right w:val="none" w:sz="0" w:space="0" w:color="auto"/>
      </w:divBdr>
    </w:div>
    <w:div w:id="1165782730">
      <w:bodyDiv w:val="1"/>
      <w:marLeft w:val="0"/>
      <w:marRight w:val="0"/>
      <w:marTop w:val="0"/>
      <w:marBottom w:val="0"/>
      <w:divBdr>
        <w:top w:val="none" w:sz="0" w:space="0" w:color="auto"/>
        <w:left w:val="none" w:sz="0" w:space="0" w:color="auto"/>
        <w:bottom w:val="none" w:sz="0" w:space="0" w:color="auto"/>
        <w:right w:val="none" w:sz="0" w:space="0" w:color="auto"/>
      </w:divBdr>
    </w:div>
    <w:div w:id="1167944390">
      <w:bodyDiv w:val="1"/>
      <w:marLeft w:val="0"/>
      <w:marRight w:val="0"/>
      <w:marTop w:val="0"/>
      <w:marBottom w:val="0"/>
      <w:divBdr>
        <w:top w:val="none" w:sz="0" w:space="0" w:color="auto"/>
        <w:left w:val="none" w:sz="0" w:space="0" w:color="auto"/>
        <w:bottom w:val="none" w:sz="0" w:space="0" w:color="auto"/>
        <w:right w:val="none" w:sz="0" w:space="0" w:color="auto"/>
      </w:divBdr>
    </w:div>
    <w:div w:id="1168784247">
      <w:bodyDiv w:val="1"/>
      <w:marLeft w:val="0"/>
      <w:marRight w:val="0"/>
      <w:marTop w:val="0"/>
      <w:marBottom w:val="0"/>
      <w:divBdr>
        <w:top w:val="none" w:sz="0" w:space="0" w:color="auto"/>
        <w:left w:val="none" w:sz="0" w:space="0" w:color="auto"/>
        <w:bottom w:val="none" w:sz="0" w:space="0" w:color="auto"/>
        <w:right w:val="none" w:sz="0" w:space="0" w:color="auto"/>
      </w:divBdr>
    </w:div>
    <w:div w:id="1177767366">
      <w:bodyDiv w:val="1"/>
      <w:marLeft w:val="0"/>
      <w:marRight w:val="0"/>
      <w:marTop w:val="0"/>
      <w:marBottom w:val="0"/>
      <w:divBdr>
        <w:top w:val="none" w:sz="0" w:space="0" w:color="auto"/>
        <w:left w:val="none" w:sz="0" w:space="0" w:color="auto"/>
        <w:bottom w:val="none" w:sz="0" w:space="0" w:color="auto"/>
        <w:right w:val="none" w:sz="0" w:space="0" w:color="auto"/>
      </w:divBdr>
    </w:div>
    <w:div w:id="1183737290">
      <w:bodyDiv w:val="1"/>
      <w:marLeft w:val="0"/>
      <w:marRight w:val="0"/>
      <w:marTop w:val="0"/>
      <w:marBottom w:val="0"/>
      <w:divBdr>
        <w:top w:val="none" w:sz="0" w:space="0" w:color="auto"/>
        <w:left w:val="none" w:sz="0" w:space="0" w:color="auto"/>
        <w:bottom w:val="none" w:sz="0" w:space="0" w:color="auto"/>
        <w:right w:val="none" w:sz="0" w:space="0" w:color="auto"/>
      </w:divBdr>
    </w:div>
    <w:div w:id="1202326671">
      <w:bodyDiv w:val="1"/>
      <w:marLeft w:val="0"/>
      <w:marRight w:val="0"/>
      <w:marTop w:val="0"/>
      <w:marBottom w:val="0"/>
      <w:divBdr>
        <w:top w:val="none" w:sz="0" w:space="0" w:color="auto"/>
        <w:left w:val="none" w:sz="0" w:space="0" w:color="auto"/>
        <w:bottom w:val="none" w:sz="0" w:space="0" w:color="auto"/>
        <w:right w:val="none" w:sz="0" w:space="0" w:color="auto"/>
      </w:divBdr>
    </w:div>
    <w:div w:id="1204712574">
      <w:bodyDiv w:val="1"/>
      <w:marLeft w:val="0"/>
      <w:marRight w:val="0"/>
      <w:marTop w:val="0"/>
      <w:marBottom w:val="0"/>
      <w:divBdr>
        <w:top w:val="none" w:sz="0" w:space="0" w:color="auto"/>
        <w:left w:val="none" w:sz="0" w:space="0" w:color="auto"/>
        <w:bottom w:val="none" w:sz="0" w:space="0" w:color="auto"/>
        <w:right w:val="none" w:sz="0" w:space="0" w:color="auto"/>
      </w:divBdr>
    </w:div>
    <w:div w:id="1205210727">
      <w:bodyDiv w:val="1"/>
      <w:marLeft w:val="0"/>
      <w:marRight w:val="0"/>
      <w:marTop w:val="0"/>
      <w:marBottom w:val="0"/>
      <w:divBdr>
        <w:top w:val="none" w:sz="0" w:space="0" w:color="auto"/>
        <w:left w:val="none" w:sz="0" w:space="0" w:color="auto"/>
        <w:bottom w:val="none" w:sz="0" w:space="0" w:color="auto"/>
        <w:right w:val="none" w:sz="0" w:space="0" w:color="auto"/>
      </w:divBdr>
    </w:div>
    <w:div w:id="1205748811">
      <w:bodyDiv w:val="1"/>
      <w:marLeft w:val="0"/>
      <w:marRight w:val="0"/>
      <w:marTop w:val="0"/>
      <w:marBottom w:val="0"/>
      <w:divBdr>
        <w:top w:val="none" w:sz="0" w:space="0" w:color="auto"/>
        <w:left w:val="none" w:sz="0" w:space="0" w:color="auto"/>
        <w:bottom w:val="none" w:sz="0" w:space="0" w:color="auto"/>
        <w:right w:val="none" w:sz="0" w:space="0" w:color="auto"/>
      </w:divBdr>
    </w:div>
    <w:div w:id="1211844787">
      <w:bodyDiv w:val="1"/>
      <w:marLeft w:val="0"/>
      <w:marRight w:val="0"/>
      <w:marTop w:val="0"/>
      <w:marBottom w:val="0"/>
      <w:divBdr>
        <w:top w:val="none" w:sz="0" w:space="0" w:color="auto"/>
        <w:left w:val="none" w:sz="0" w:space="0" w:color="auto"/>
        <w:bottom w:val="none" w:sz="0" w:space="0" w:color="auto"/>
        <w:right w:val="none" w:sz="0" w:space="0" w:color="auto"/>
      </w:divBdr>
    </w:div>
    <w:div w:id="1218082377">
      <w:bodyDiv w:val="1"/>
      <w:marLeft w:val="0"/>
      <w:marRight w:val="0"/>
      <w:marTop w:val="0"/>
      <w:marBottom w:val="0"/>
      <w:divBdr>
        <w:top w:val="none" w:sz="0" w:space="0" w:color="auto"/>
        <w:left w:val="none" w:sz="0" w:space="0" w:color="auto"/>
        <w:bottom w:val="none" w:sz="0" w:space="0" w:color="auto"/>
        <w:right w:val="none" w:sz="0" w:space="0" w:color="auto"/>
      </w:divBdr>
    </w:div>
    <w:div w:id="1222523174">
      <w:bodyDiv w:val="1"/>
      <w:marLeft w:val="0"/>
      <w:marRight w:val="0"/>
      <w:marTop w:val="0"/>
      <w:marBottom w:val="0"/>
      <w:divBdr>
        <w:top w:val="none" w:sz="0" w:space="0" w:color="auto"/>
        <w:left w:val="none" w:sz="0" w:space="0" w:color="auto"/>
        <w:bottom w:val="none" w:sz="0" w:space="0" w:color="auto"/>
        <w:right w:val="none" w:sz="0" w:space="0" w:color="auto"/>
      </w:divBdr>
    </w:div>
    <w:div w:id="1223104694">
      <w:bodyDiv w:val="1"/>
      <w:marLeft w:val="0"/>
      <w:marRight w:val="0"/>
      <w:marTop w:val="0"/>
      <w:marBottom w:val="0"/>
      <w:divBdr>
        <w:top w:val="none" w:sz="0" w:space="0" w:color="auto"/>
        <w:left w:val="none" w:sz="0" w:space="0" w:color="auto"/>
        <w:bottom w:val="none" w:sz="0" w:space="0" w:color="auto"/>
        <w:right w:val="none" w:sz="0" w:space="0" w:color="auto"/>
      </w:divBdr>
    </w:div>
    <w:div w:id="1232040445">
      <w:bodyDiv w:val="1"/>
      <w:marLeft w:val="0"/>
      <w:marRight w:val="0"/>
      <w:marTop w:val="0"/>
      <w:marBottom w:val="0"/>
      <w:divBdr>
        <w:top w:val="none" w:sz="0" w:space="0" w:color="auto"/>
        <w:left w:val="none" w:sz="0" w:space="0" w:color="auto"/>
        <w:bottom w:val="none" w:sz="0" w:space="0" w:color="auto"/>
        <w:right w:val="none" w:sz="0" w:space="0" w:color="auto"/>
      </w:divBdr>
    </w:div>
    <w:div w:id="1232082287">
      <w:bodyDiv w:val="1"/>
      <w:marLeft w:val="0"/>
      <w:marRight w:val="0"/>
      <w:marTop w:val="0"/>
      <w:marBottom w:val="0"/>
      <w:divBdr>
        <w:top w:val="none" w:sz="0" w:space="0" w:color="auto"/>
        <w:left w:val="none" w:sz="0" w:space="0" w:color="auto"/>
        <w:bottom w:val="none" w:sz="0" w:space="0" w:color="auto"/>
        <w:right w:val="none" w:sz="0" w:space="0" w:color="auto"/>
      </w:divBdr>
    </w:div>
    <w:div w:id="1241019697">
      <w:bodyDiv w:val="1"/>
      <w:marLeft w:val="0"/>
      <w:marRight w:val="0"/>
      <w:marTop w:val="0"/>
      <w:marBottom w:val="0"/>
      <w:divBdr>
        <w:top w:val="none" w:sz="0" w:space="0" w:color="auto"/>
        <w:left w:val="none" w:sz="0" w:space="0" w:color="auto"/>
        <w:bottom w:val="none" w:sz="0" w:space="0" w:color="auto"/>
        <w:right w:val="none" w:sz="0" w:space="0" w:color="auto"/>
      </w:divBdr>
    </w:div>
    <w:div w:id="1242330130">
      <w:bodyDiv w:val="1"/>
      <w:marLeft w:val="0"/>
      <w:marRight w:val="0"/>
      <w:marTop w:val="0"/>
      <w:marBottom w:val="0"/>
      <w:divBdr>
        <w:top w:val="none" w:sz="0" w:space="0" w:color="auto"/>
        <w:left w:val="none" w:sz="0" w:space="0" w:color="auto"/>
        <w:bottom w:val="none" w:sz="0" w:space="0" w:color="auto"/>
        <w:right w:val="none" w:sz="0" w:space="0" w:color="auto"/>
      </w:divBdr>
    </w:div>
    <w:div w:id="1245064944">
      <w:bodyDiv w:val="1"/>
      <w:marLeft w:val="0"/>
      <w:marRight w:val="0"/>
      <w:marTop w:val="0"/>
      <w:marBottom w:val="0"/>
      <w:divBdr>
        <w:top w:val="none" w:sz="0" w:space="0" w:color="auto"/>
        <w:left w:val="none" w:sz="0" w:space="0" w:color="auto"/>
        <w:bottom w:val="none" w:sz="0" w:space="0" w:color="auto"/>
        <w:right w:val="none" w:sz="0" w:space="0" w:color="auto"/>
      </w:divBdr>
    </w:div>
    <w:div w:id="1249461237">
      <w:bodyDiv w:val="1"/>
      <w:marLeft w:val="0"/>
      <w:marRight w:val="0"/>
      <w:marTop w:val="0"/>
      <w:marBottom w:val="0"/>
      <w:divBdr>
        <w:top w:val="none" w:sz="0" w:space="0" w:color="auto"/>
        <w:left w:val="none" w:sz="0" w:space="0" w:color="auto"/>
        <w:bottom w:val="none" w:sz="0" w:space="0" w:color="auto"/>
        <w:right w:val="none" w:sz="0" w:space="0" w:color="auto"/>
      </w:divBdr>
    </w:div>
    <w:div w:id="1250041427">
      <w:bodyDiv w:val="1"/>
      <w:marLeft w:val="0"/>
      <w:marRight w:val="0"/>
      <w:marTop w:val="0"/>
      <w:marBottom w:val="0"/>
      <w:divBdr>
        <w:top w:val="none" w:sz="0" w:space="0" w:color="auto"/>
        <w:left w:val="none" w:sz="0" w:space="0" w:color="auto"/>
        <w:bottom w:val="none" w:sz="0" w:space="0" w:color="auto"/>
        <w:right w:val="none" w:sz="0" w:space="0" w:color="auto"/>
      </w:divBdr>
    </w:div>
    <w:div w:id="125207867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0316047">
      <w:bodyDiv w:val="1"/>
      <w:marLeft w:val="0"/>
      <w:marRight w:val="0"/>
      <w:marTop w:val="0"/>
      <w:marBottom w:val="0"/>
      <w:divBdr>
        <w:top w:val="none" w:sz="0" w:space="0" w:color="auto"/>
        <w:left w:val="none" w:sz="0" w:space="0" w:color="auto"/>
        <w:bottom w:val="none" w:sz="0" w:space="0" w:color="auto"/>
        <w:right w:val="none" w:sz="0" w:space="0" w:color="auto"/>
      </w:divBdr>
    </w:div>
    <w:div w:id="1291594007">
      <w:bodyDiv w:val="1"/>
      <w:marLeft w:val="0"/>
      <w:marRight w:val="0"/>
      <w:marTop w:val="0"/>
      <w:marBottom w:val="0"/>
      <w:divBdr>
        <w:top w:val="none" w:sz="0" w:space="0" w:color="auto"/>
        <w:left w:val="none" w:sz="0" w:space="0" w:color="auto"/>
        <w:bottom w:val="none" w:sz="0" w:space="0" w:color="auto"/>
        <w:right w:val="none" w:sz="0" w:space="0" w:color="auto"/>
      </w:divBdr>
    </w:div>
    <w:div w:id="1303736031">
      <w:bodyDiv w:val="1"/>
      <w:marLeft w:val="0"/>
      <w:marRight w:val="0"/>
      <w:marTop w:val="0"/>
      <w:marBottom w:val="0"/>
      <w:divBdr>
        <w:top w:val="none" w:sz="0" w:space="0" w:color="auto"/>
        <w:left w:val="none" w:sz="0" w:space="0" w:color="auto"/>
        <w:bottom w:val="none" w:sz="0" w:space="0" w:color="auto"/>
        <w:right w:val="none" w:sz="0" w:space="0" w:color="auto"/>
      </w:divBdr>
    </w:div>
    <w:div w:id="1304778252">
      <w:bodyDiv w:val="1"/>
      <w:marLeft w:val="0"/>
      <w:marRight w:val="0"/>
      <w:marTop w:val="0"/>
      <w:marBottom w:val="0"/>
      <w:divBdr>
        <w:top w:val="none" w:sz="0" w:space="0" w:color="auto"/>
        <w:left w:val="none" w:sz="0" w:space="0" w:color="auto"/>
        <w:bottom w:val="none" w:sz="0" w:space="0" w:color="auto"/>
        <w:right w:val="none" w:sz="0" w:space="0" w:color="auto"/>
      </w:divBdr>
    </w:div>
    <w:div w:id="1315646153">
      <w:bodyDiv w:val="1"/>
      <w:marLeft w:val="0"/>
      <w:marRight w:val="0"/>
      <w:marTop w:val="0"/>
      <w:marBottom w:val="0"/>
      <w:divBdr>
        <w:top w:val="none" w:sz="0" w:space="0" w:color="auto"/>
        <w:left w:val="none" w:sz="0" w:space="0" w:color="auto"/>
        <w:bottom w:val="none" w:sz="0" w:space="0" w:color="auto"/>
        <w:right w:val="none" w:sz="0" w:space="0" w:color="auto"/>
      </w:divBdr>
    </w:div>
    <w:div w:id="1319923257">
      <w:bodyDiv w:val="1"/>
      <w:marLeft w:val="0"/>
      <w:marRight w:val="0"/>
      <w:marTop w:val="0"/>
      <w:marBottom w:val="0"/>
      <w:divBdr>
        <w:top w:val="none" w:sz="0" w:space="0" w:color="auto"/>
        <w:left w:val="none" w:sz="0" w:space="0" w:color="auto"/>
        <w:bottom w:val="none" w:sz="0" w:space="0" w:color="auto"/>
        <w:right w:val="none" w:sz="0" w:space="0" w:color="auto"/>
      </w:divBdr>
    </w:div>
    <w:div w:id="1324973081">
      <w:bodyDiv w:val="1"/>
      <w:marLeft w:val="0"/>
      <w:marRight w:val="0"/>
      <w:marTop w:val="0"/>
      <w:marBottom w:val="0"/>
      <w:divBdr>
        <w:top w:val="none" w:sz="0" w:space="0" w:color="auto"/>
        <w:left w:val="none" w:sz="0" w:space="0" w:color="auto"/>
        <w:bottom w:val="none" w:sz="0" w:space="0" w:color="auto"/>
        <w:right w:val="none" w:sz="0" w:space="0" w:color="auto"/>
      </w:divBdr>
    </w:div>
    <w:div w:id="133957718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301449">
      <w:bodyDiv w:val="1"/>
      <w:marLeft w:val="0"/>
      <w:marRight w:val="0"/>
      <w:marTop w:val="0"/>
      <w:marBottom w:val="0"/>
      <w:divBdr>
        <w:top w:val="none" w:sz="0" w:space="0" w:color="auto"/>
        <w:left w:val="none" w:sz="0" w:space="0" w:color="auto"/>
        <w:bottom w:val="none" w:sz="0" w:space="0" w:color="auto"/>
        <w:right w:val="none" w:sz="0" w:space="0" w:color="auto"/>
      </w:divBdr>
    </w:div>
    <w:div w:id="1357393251">
      <w:bodyDiv w:val="1"/>
      <w:marLeft w:val="0"/>
      <w:marRight w:val="0"/>
      <w:marTop w:val="0"/>
      <w:marBottom w:val="0"/>
      <w:divBdr>
        <w:top w:val="none" w:sz="0" w:space="0" w:color="auto"/>
        <w:left w:val="none" w:sz="0" w:space="0" w:color="auto"/>
        <w:bottom w:val="none" w:sz="0" w:space="0" w:color="auto"/>
        <w:right w:val="none" w:sz="0" w:space="0" w:color="auto"/>
      </w:divBdr>
    </w:div>
    <w:div w:id="1375889613">
      <w:bodyDiv w:val="1"/>
      <w:marLeft w:val="0"/>
      <w:marRight w:val="0"/>
      <w:marTop w:val="0"/>
      <w:marBottom w:val="0"/>
      <w:divBdr>
        <w:top w:val="none" w:sz="0" w:space="0" w:color="auto"/>
        <w:left w:val="none" w:sz="0" w:space="0" w:color="auto"/>
        <w:bottom w:val="none" w:sz="0" w:space="0" w:color="auto"/>
        <w:right w:val="none" w:sz="0" w:space="0" w:color="auto"/>
      </w:divBdr>
    </w:div>
    <w:div w:id="138976938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0054382">
      <w:bodyDiv w:val="1"/>
      <w:marLeft w:val="0"/>
      <w:marRight w:val="0"/>
      <w:marTop w:val="0"/>
      <w:marBottom w:val="0"/>
      <w:divBdr>
        <w:top w:val="none" w:sz="0" w:space="0" w:color="auto"/>
        <w:left w:val="none" w:sz="0" w:space="0" w:color="auto"/>
        <w:bottom w:val="none" w:sz="0" w:space="0" w:color="auto"/>
        <w:right w:val="none" w:sz="0" w:space="0" w:color="auto"/>
      </w:divBdr>
    </w:div>
    <w:div w:id="14342804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038377">
      <w:bodyDiv w:val="1"/>
      <w:marLeft w:val="0"/>
      <w:marRight w:val="0"/>
      <w:marTop w:val="0"/>
      <w:marBottom w:val="0"/>
      <w:divBdr>
        <w:top w:val="none" w:sz="0" w:space="0" w:color="auto"/>
        <w:left w:val="none" w:sz="0" w:space="0" w:color="auto"/>
        <w:bottom w:val="none" w:sz="0" w:space="0" w:color="auto"/>
        <w:right w:val="none" w:sz="0" w:space="0" w:color="auto"/>
      </w:divBdr>
    </w:div>
    <w:div w:id="1444573124">
      <w:bodyDiv w:val="1"/>
      <w:marLeft w:val="0"/>
      <w:marRight w:val="0"/>
      <w:marTop w:val="0"/>
      <w:marBottom w:val="0"/>
      <w:divBdr>
        <w:top w:val="none" w:sz="0" w:space="0" w:color="auto"/>
        <w:left w:val="none" w:sz="0" w:space="0" w:color="auto"/>
        <w:bottom w:val="none" w:sz="0" w:space="0" w:color="auto"/>
        <w:right w:val="none" w:sz="0" w:space="0" w:color="auto"/>
      </w:divBdr>
    </w:div>
    <w:div w:id="1447508364">
      <w:bodyDiv w:val="1"/>
      <w:marLeft w:val="0"/>
      <w:marRight w:val="0"/>
      <w:marTop w:val="0"/>
      <w:marBottom w:val="0"/>
      <w:divBdr>
        <w:top w:val="none" w:sz="0" w:space="0" w:color="auto"/>
        <w:left w:val="none" w:sz="0" w:space="0" w:color="auto"/>
        <w:bottom w:val="none" w:sz="0" w:space="0" w:color="auto"/>
        <w:right w:val="none" w:sz="0" w:space="0" w:color="auto"/>
      </w:divBdr>
    </w:div>
    <w:div w:id="1461533044">
      <w:bodyDiv w:val="1"/>
      <w:marLeft w:val="0"/>
      <w:marRight w:val="0"/>
      <w:marTop w:val="0"/>
      <w:marBottom w:val="0"/>
      <w:divBdr>
        <w:top w:val="none" w:sz="0" w:space="0" w:color="auto"/>
        <w:left w:val="none" w:sz="0" w:space="0" w:color="auto"/>
        <w:bottom w:val="none" w:sz="0" w:space="0" w:color="auto"/>
        <w:right w:val="none" w:sz="0" w:space="0" w:color="auto"/>
      </w:divBdr>
    </w:div>
    <w:div w:id="1461538021">
      <w:bodyDiv w:val="1"/>
      <w:marLeft w:val="0"/>
      <w:marRight w:val="0"/>
      <w:marTop w:val="0"/>
      <w:marBottom w:val="0"/>
      <w:divBdr>
        <w:top w:val="none" w:sz="0" w:space="0" w:color="auto"/>
        <w:left w:val="none" w:sz="0" w:space="0" w:color="auto"/>
        <w:bottom w:val="none" w:sz="0" w:space="0" w:color="auto"/>
        <w:right w:val="none" w:sz="0" w:space="0" w:color="auto"/>
      </w:divBdr>
    </w:div>
    <w:div w:id="1461991862">
      <w:bodyDiv w:val="1"/>
      <w:marLeft w:val="0"/>
      <w:marRight w:val="0"/>
      <w:marTop w:val="0"/>
      <w:marBottom w:val="0"/>
      <w:divBdr>
        <w:top w:val="none" w:sz="0" w:space="0" w:color="auto"/>
        <w:left w:val="none" w:sz="0" w:space="0" w:color="auto"/>
        <w:bottom w:val="none" w:sz="0" w:space="0" w:color="auto"/>
        <w:right w:val="none" w:sz="0" w:space="0" w:color="auto"/>
      </w:divBdr>
    </w:div>
    <w:div w:id="1464034598">
      <w:bodyDiv w:val="1"/>
      <w:marLeft w:val="0"/>
      <w:marRight w:val="0"/>
      <w:marTop w:val="0"/>
      <w:marBottom w:val="0"/>
      <w:divBdr>
        <w:top w:val="none" w:sz="0" w:space="0" w:color="auto"/>
        <w:left w:val="none" w:sz="0" w:space="0" w:color="auto"/>
        <w:bottom w:val="none" w:sz="0" w:space="0" w:color="auto"/>
        <w:right w:val="none" w:sz="0" w:space="0" w:color="auto"/>
      </w:divBdr>
    </w:div>
    <w:div w:id="1471896884">
      <w:bodyDiv w:val="1"/>
      <w:marLeft w:val="0"/>
      <w:marRight w:val="0"/>
      <w:marTop w:val="0"/>
      <w:marBottom w:val="0"/>
      <w:divBdr>
        <w:top w:val="none" w:sz="0" w:space="0" w:color="auto"/>
        <w:left w:val="none" w:sz="0" w:space="0" w:color="auto"/>
        <w:bottom w:val="none" w:sz="0" w:space="0" w:color="auto"/>
        <w:right w:val="none" w:sz="0" w:space="0" w:color="auto"/>
      </w:divBdr>
    </w:div>
    <w:div w:id="1476027718">
      <w:bodyDiv w:val="1"/>
      <w:marLeft w:val="0"/>
      <w:marRight w:val="0"/>
      <w:marTop w:val="0"/>
      <w:marBottom w:val="0"/>
      <w:divBdr>
        <w:top w:val="none" w:sz="0" w:space="0" w:color="auto"/>
        <w:left w:val="none" w:sz="0" w:space="0" w:color="auto"/>
        <w:bottom w:val="none" w:sz="0" w:space="0" w:color="auto"/>
        <w:right w:val="none" w:sz="0" w:space="0" w:color="auto"/>
      </w:divBdr>
    </w:div>
    <w:div w:id="1479610428">
      <w:bodyDiv w:val="1"/>
      <w:marLeft w:val="0"/>
      <w:marRight w:val="0"/>
      <w:marTop w:val="0"/>
      <w:marBottom w:val="0"/>
      <w:divBdr>
        <w:top w:val="none" w:sz="0" w:space="0" w:color="auto"/>
        <w:left w:val="none" w:sz="0" w:space="0" w:color="auto"/>
        <w:bottom w:val="none" w:sz="0" w:space="0" w:color="auto"/>
        <w:right w:val="none" w:sz="0" w:space="0" w:color="auto"/>
      </w:divBdr>
    </w:div>
    <w:div w:id="1496459613">
      <w:bodyDiv w:val="1"/>
      <w:marLeft w:val="0"/>
      <w:marRight w:val="0"/>
      <w:marTop w:val="0"/>
      <w:marBottom w:val="0"/>
      <w:divBdr>
        <w:top w:val="none" w:sz="0" w:space="0" w:color="auto"/>
        <w:left w:val="none" w:sz="0" w:space="0" w:color="auto"/>
        <w:bottom w:val="none" w:sz="0" w:space="0" w:color="auto"/>
        <w:right w:val="none" w:sz="0" w:space="0" w:color="auto"/>
      </w:divBdr>
    </w:div>
    <w:div w:id="1510607842">
      <w:bodyDiv w:val="1"/>
      <w:marLeft w:val="0"/>
      <w:marRight w:val="0"/>
      <w:marTop w:val="0"/>
      <w:marBottom w:val="0"/>
      <w:divBdr>
        <w:top w:val="none" w:sz="0" w:space="0" w:color="auto"/>
        <w:left w:val="none" w:sz="0" w:space="0" w:color="auto"/>
        <w:bottom w:val="none" w:sz="0" w:space="0" w:color="auto"/>
        <w:right w:val="none" w:sz="0" w:space="0" w:color="auto"/>
      </w:divBdr>
    </w:div>
    <w:div w:id="1511915603">
      <w:bodyDiv w:val="1"/>
      <w:marLeft w:val="0"/>
      <w:marRight w:val="0"/>
      <w:marTop w:val="0"/>
      <w:marBottom w:val="0"/>
      <w:divBdr>
        <w:top w:val="none" w:sz="0" w:space="0" w:color="auto"/>
        <w:left w:val="none" w:sz="0" w:space="0" w:color="auto"/>
        <w:bottom w:val="none" w:sz="0" w:space="0" w:color="auto"/>
        <w:right w:val="none" w:sz="0" w:space="0" w:color="auto"/>
      </w:divBdr>
    </w:div>
    <w:div w:id="1515993895">
      <w:bodyDiv w:val="1"/>
      <w:marLeft w:val="0"/>
      <w:marRight w:val="0"/>
      <w:marTop w:val="0"/>
      <w:marBottom w:val="0"/>
      <w:divBdr>
        <w:top w:val="none" w:sz="0" w:space="0" w:color="auto"/>
        <w:left w:val="none" w:sz="0" w:space="0" w:color="auto"/>
        <w:bottom w:val="none" w:sz="0" w:space="0" w:color="auto"/>
        <w:right w:val="none" w:sz="0" w:space="0" w:color="auto"/>
      </w:divBdr>
    </w:div>
    <w:div w:id="1520125452">
      <w:bodyDiv w:val="1"/>
      <w:marLeft w:val="0"/>
      <w:marRight w:val="0"/>
      <w:marTop w:val="0"/>
      <w:marBottom w:val="0"/>
      <w:divBdr>
        <w:top w:val="none" w:sz="0" w:space="0" w:color="auto"/>
        <w:left w:val="none" w:sz="0" w:space="0" w:color="auto"/>
        <w:bottom w:val="none" w:sz="0" w:space="0" w:color="auto"/>
        <w:right w:val="none" w:sz="0" w:space="0" w:color="auto"/>
      </w:divBdr>
    </w:div>
    <w:div w:id="1529028854">
      <w:bodyDiv w:val="1"/>
      <w:marLeft w:val="0"/>
      <w:marRight w:val="0"/>
      <w:marTop w:val="0"/>
      <w:marBottom w:val="0"/>
      <w:divBdr>
        <w:top w:val="none" w:sz="0" w:space="0" w:color="auto"/>
        <w:left w:val="none" w:sz="0" w:space="0" w:color="auto"/>
        <w:bottom w:val="none" w:sz="0" w:space="0" w:color="auto"/>
        <w:right w:val="none" w:sz="0" w:space="0" w:color="auto"/>
      </w:divBdr>
    </w:div>
    <w:div w:id="1539471820">
      <w:bodyDiv w:val="1"/>
      <w:marLeft w:val="0"/>
      <w:marRight w:val="0"/>
      <w:marTop w:val="0"/>
      <w:marBottom w:val="0"/>
      <w:divBdr>
        <w:top w:val="none" w:sz="0" w:space="0" w:color="auto"/>
        <w:left w:val="none" w:sz="0" w:space="0" w:color="auto"/>
        <w:bottom w:val="none" w:sz="0" w:space="0" w:color="auto"/>
        <w:right w:val="none" w:sz="0" w:space="0" w:color="auto"/>
      </w:divBdr>
    </w:div>
    <w:div w:id="1539970931">
      <w:bodyDiv w:val="1"/>
      <w:marLeft w:val="0"/>
      <w:marRight w:val="0"/>
      <w:marTop w:val="0"/>
      <w:marBottom w:val="0"/>
      <w:divBdr>
        <w:top w:val="none" w:sz="0" w:space="0" w:color="auto"/>
        <w:left w:val="none" w:sz="0" w:space="0" w:color="auto"/>
        <w:bottom w:val="none" w:sz="0" w:space="0" w:color="auto"/>
        <w:right w:val="none" w:sz="0" w:space="0" w:color="auto"/>
      </w:divBdr>
    </w:div>
    <w:div w:id="1543445226">
      <w:bodyDiv w:val="1"/>
      <w:marLeft w:val="0"/>
      <w:marRight w:val="0"/>
      <w:marTop w:val="0"/>
      <w:marBottom w:val="0"/>
      <w:divBdr>
        <w:top w:val="none" w:sz="0" w:space="0" w:color="auto"/>
        <w:left w:val="none" w:sz="0" w:space="0" w:color="auto"/>
        <w:bottom w:val="none" w:sz="0" w:space="0" w:color="auto"/>
        <w:right w:val="none" w:sz="0" w:space="0" w:color="auto"/>
      </w:divBdr>
    </w:div>
    <w:div w:id="1546527729">
      <w:bodyDiv w:val="1"/>
      <w:marLeft w:val="0"/>
      <w:marRight w:val="0"/>
      <w:marTop w:val="0"/>
      <w:marBottom w:val="0"/>
      <w:divBdr>
        <w:top w:val="none" w:sz="0" w:space="0" w:color="auto"/>
        <w:left w:val="none" w:sz="0" w:space="0" w:color="auto"/>
        <w:bottom w:val="none" w:sz="0" w:space="0" w:color="auto"/>
        <w:right w:val="none" w:sz="0" w:space="0" w:color="auto"/>
      </w:divBdr>
    </w:div>
    <w:div w:id="1549797601">
      <w:bodyDiv w:val="1"/>
      <w:marLeft w:val="0"/>
      <w:marRight w:val="0"/>
      <w:marTop w:val="0"/>
      <w:marBottom w:val="0"/>
      <w:divBdr>
        <w:top w:val="none" w:sz="0" w:space="0" w:color="auto"/>
        <w:left w:val="none" w:sz="0" w:space="0" w:color="auto"/>
        <w:bottom w:val="none" w:sz="0" w:space="0" w:color="auto"/>
        <w:right w:val="none" w:sz="0" w:space="0" w:color="auto"/>
      </w:divBdr>
    </w:div>
    <w:div w:id="1558779230">
      <w:bodyDiv w:val="1"/>
      <w:marLeft w:val="0"/>
      <w:marRight w:val="0"/>
      <w:marTop w:val="0"/>
      <w:marBottom w:val="0"/>
      <w:divBdr>
        <w:top w:val="none" w:sz="0" w:space="0" w:color="auto"/>
        <w:left w:val="none" w:sz="0" w:space="0" w:color="auto"/>
        <w:bottom w:val="none" w:sz="0" w:space="0" w:color="auto"/>
        <w:right w:val="none" w:sz="0" w:space="0" w:color="auto"/>
      </w:divBdr>
    </w:div>
    <w:div w:id="1575049914">
      <w:bodyDiv w:val="1"/>
      <w:marLeft w:val="0"/>
      <w:marRight w:val="0"/>
      <w:marTop w:val="0"/>
      <w:marBottom w:val="0"/>
      <w:divBdr>
        <w:top w:val="none" w:sz="0" w:space="0" w:color="auto"/>
        <w:left w:val="none" w:sz="0" w:space="0" w:color="auto"/>
        <w:bottom w:val="none" w:sz="0" w:space="0" w:color="auto"/>
        <w:right w:val="none" w:sz="0" w:space="0" w:color="auto"/>
      </w:divBdr>
    </w:div>
    <w:div w:id="1575092533">
      <w:bodyDiv w:val="1"/>
      <w:marLeft w:val="0"/>
      <w:marRight w:val="0"/>
      <w:marTop w:val="0"/>
      <w:marBottom w:val="0"/>
      <w:divBdr>
        <w:top w:val="none" w:sz="0" w:space="0" w:color="auto"/>
        <w:left w:val="none" w:sz="0" w:space="0" w:color="auto"/>
        <w:bottom w:val="none" w:sz="0" w:space="0" w:color="auto"/>
        <w:right w:val="none" w:sz="0" w:space="0" w:color="auto"/>
      </w:divBdr>
    </w:div>
    <w:div w:id="1595165559">
      <w:bodyDiv w:val="1"/>
      <w:marLeft w:val="0"/>
      <w:marRight w:val="0"/>
      <w:marTop w:val="0"/>
      <w:marBottom w:val="0"/>
      <w:divBdr>
        <w:top w:val="none" w:sz="0" w:space="0" w:color="auto"/>
        <w:left w:val="none" w:sz="0" w:space="0" w:color="auto"/>
        <w:bottom w:val="none" w:sz="0" w:space="0" w:color="auto"/>
        <w:right w:val="none" w:sz="0" w:space="0" w:color="auto"/>
      </w:divBdr>
    </w:div>
    <w:div w:id="1609242733">
      <w:bodyDiv w:val="1"/>
      <w:marLeft w:val="0"/>
      <w:marRight w:val="0"/>
      <w:marTop w:val="0"/>
      <w:marBottom w:val="0"/>
      <w:divBdr>
        <w:top w:val="none" w:sz="0" w:space="0" w:color="auto"/>
        <w:left w:val="none" w:sz="0" w:space="0" w:color="auto"/>
        <w:bottom w:val="none" w:sz="0" w:space="0" w:color="auto"/>
        <w:right w:val="none" w:sz="0" w:space="0" w:color="auto"/>
      </w:divBdr>
    </w:div>
    <w:div w:id="1612861246">
      <w:bodyDiv w:val="1"/>
      <w:marLeft w:val="0"/>
      <w:marRight w:val="0"/>
      <w:marTop w:val="0"/>
      <w:marBottom w:val="0"/>
      <w:divBdr>
        <w:top w:val="none" w:sz="0" w:space="0" w:color="auto"/>
        <w:left w:val="none" w:sz="0" w:space="0" w:color="auto"/>
        <w:bottom w:val="none" w:sz="0" w:space="0" w:color="auto"/>
        <w:right w:val="none" w:sz="0" w:space="0" w:color="auto"/>
      </w:divBdr>
    </w:div>
    <w:div w:id="1617056653">
      <w:bodyDiv w:val="1"/>
      <w:marLeft w:val="0"/>
      <w:marRight w:val="0"/>
      <w:marTop w:val="0"/>
      <w:marBottom w:val="0"/>
      <w:divBdr>
        <w:top w:val="none" w:sz="0" w:space="0" w:color="auto"/>
        <w:left w:val="none" w:sz="0" w:space="0" w:color="auto"/>
        <w:bottom w:val="none" w:sz="0" w:space="0" w:color="auto"/>
        <w:right w:val="none" w:sz="0" w:space="0" w:color="auto"/>
      </w:divBdr>
    </w:div>
    <w:div w:id="1618026493">
      <w:bodyDiv w:val="1"/>
      <w:marLeft w:val="0"/>
      <w:marRight w:val="0"/>
      <w:marTop w:val="0"/>
      <w:marBottom w:val="0"/>
      <w:divBdr>
        <w:top w:val="none" w:sz="0" w:space="0" w:color="auto"/>
        <w:left w:val="none" w:sz="0" w:space="0" w:color="auto"/>
        <w:bottom w:val="none" w:sz="0" w:space="0" w:color="auto"/>
        <w:right w:val="none" w:sz="0" w:space="0" w:color="auto"/>
      </w:divBdr>
    </w:div>
    <w:div w:id="1618371450">
      <w:bodyDiv w:val="1"/>
      <w:marLeft w:val="0"/>
      <w:marRight w:val="0"/>
      <w:marTop w:val="0"/>
      <w:marBottom w:val="0"/>
      <w:divBdr>
        <w:top w:val="none" w:sz="0" w:space="0" w:color="auto"/>
        <w:left w:val="none" w:sz="0" w:space="0" w:color="auto"/>
        <w:bottom w:val="none" w:sz="0" w:space="0" w:color="auto"/>
        <w:right w:val="none" w:sz="0" w:space="0" w:color="auto"/>
      </w:divBdr>
    </w:div>
    <w:div w:id="1621103983">
      <w:bodyDiv w:val="1"/>
      <w:marLeft w:val="0"/>
      <w:marRight w:val="0"/>
      <w:marTop w:val="0"/>
      <w:marBottom w:val="0"/>
      <w:divBdr>
        <w:top w:val="none" w:sz="0" w:space="0" w:color="auto"/>
        <w:left w:val="none" w:sz="0" w:space="0" w:color="auto"/>
        <w:bottom w:val="none" w:sz="0" w:space="0" w:color="auto"/>
        <w:right w:val="none" w:sz="0" w:space="0" w:color="auto"/>
      </w:divBdr>
    </w:div>
    <w:div w:id="162484749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301067">
      <w:bodyDiv w:val="1"/>
      <w:marLeft w:val="0"/>
      <w:marRight w:val="0"/>
      <w:marTop w:val="0"/>
      <w:marBottom w:val="0"/>
      <w:divBdr>
        <w:top w:val="none" w:sz="0" w:space="0" w:color="auto"/>
        <w:left w:val="none" w:sz="0" w:space="0" w:color="auto"/>
        <w:bottom w:val="none" w:sz="0" w:space="0" w:color="auto"/>
        <w:right w:val="none" w:sz="0" w:space="0" w:color="auto"/>
      </w:divBdr>
    </w:div>
    <w:div w:id="1640917485">
      <w:bodyDiv w:val="1"/>
      <w:marLeft w:val="0"/>
      <w:marRight w:val="0"/>
      <w:marTop w:val="0"/>
      <w:marBottom w:val="0"/>
      <w:divBdr>
        <w:top w:val="none" w:sz="0" w:space="0" w:color="auto"/>
        <w:left w:val="none" w:sz="0" w:space="0" w:color="auto"/>
        <w:bottom w:val="none" w:sz="0" w:space="0" w:color="auto"/>
        <w:right w:val="none" w:sz="0" w:space="0" w:color="auto"/>
      </w:divBdr>
    </w:div>
    <w:div w:id="1655792352">
      <w:bodyDiv w:val="1"/>
      <w:marLeft w:val="0"/>
      <w:marRight w:val="0"/>
      <w:marTop w:val="0"/>
      <w:marBottom w:val="0"/>
      <w:divBdr>
        <w:top w:val="none" w:sz="0" w:space="0" w:color="auto"/>
        <w:left w:val="none" w:sz="0" w:space="0" w:color="auto"/>
        <w:bottom w:val="none" w:sz="0" w:space="0" w:color="auto"/>
        <w:right w:val="none" w:sz="0" w:space="0" w:color="auto"/>
      </w:divBdr>
    </w:div>
    <w:div w:id="1656228044">
      <w:bodyDiv w:val="1"/>
      <w:marLeft w:val="0"/>
      <w:marRight w:val="0"/>
      <w:marTop w:val="0"/>
      <w:marBottom w:val="0"/>
      <w:divBdr>
        <w:top w:val="none" w:sz="0" w:space="0" w:color="auto"/>
        <w:left w:val="none" w:sz="0" w:space="0" w:color="auto"/>
        <w:bottom w:val="none" w:sz="0" w:space="0" w:color="auto"/>
        <w:right w:val="none" w:sz="0" w:space="0" w:color="auto"/>
      </w:divBdr>
    </w:div>
    <w:div w:id="1659117515">
      <w:bodyDiv w:val="1"/>
      <w:marLeft w:val="0"/>
      <w:marRight w:val="0"/>
      <w:marTop w:val="0"/>
      <w:marBottom w:val="0"/>
      <w:divBdr>
        <w:top w:val="none" w:sz="0" w:space="0" w:color="auto"/>
        <w:left w:val="none" w:sz="0" w:space="0" w:color="auto"/>
        <w:bottom w:val="none" w:sz="0" w:space="0" w:color="auto"/>
        <w:right w:val="none" w:sz="0" w:space="0" w:color="auto"/>
      </w:divBdr>
    </w:div>
    <w:div w:id="1675642336">
      <w:bodyDiv w:val="1"/>
      <w:marLeft w:val="0"/>
      <w:marRight w:val="0"/>
      <w:marTop w:val="0"/>
      <w:marBottom w:val="0"/>
      <w:divBdr>
        <w:top w:val="none" w:sz="0" w:space="0" w:color="auto"/>
        <w:left w:val="none" w:sz="0" w:space="0" w:color="auto"/>
        <w:bottom w:val="none" w:sz="0" w:space="0" w:color="auto"/>
        <w:right w:val="none" w:sz="0" w:space="0" w:color="auto"/>
      </w:divBdr>
    </w:div>
    <w:div w:id="1705208998">
      <w:bodyDiv w:val="1"/>
      <w:marLeft w:val="0"/>
      <w:marRight w:val="0"/>
      <w:marTop w:val="0"/>
      <w:marBottom w:val="0"/>
      <w:divBdr>
        <w:top w:val="none" w:sz="0" w:space="0" w:color="auto"/>
        <w:left w:val="none" w:sz="0" w:space="0" w:color="auto"/>
        <w:bottom w:val="none" w:sz="0" w:space="0" w:color="auto"/>
        <w:right w:val="none" w:sz="0" w:space="0" w:color="auto"/>
      </w:divBdr>
    </w:div>
    <w:div w:id="1705399916">
      <w:bodyDiv w:val="1"/>
      <w:marLeft w:val="0"/>
      <w:marRight w:val="0"/>
      <w:marTop w:val="0"/>
      <w:marBottom w:val="0"/>
      <w:divBdr>
        <w:top w:val="none" w:sz="0" w:space="0" w:color="auto"/>
        <w:left w:val="none" w:sz="0" w:space="0" w:color="auto"/>
        <w:bottom w:val="none" w:sz="0" w:space="0" w:color="auto"/>
        <w:right w:val="none" w:sz="0" w:space="0" w:color="auto"/>
      </w:divBdr>
    </w:div>
    <w:div w:id="1711764014">
      <w:bodyDiv w:val="1"/>
      <w:marLeft w:val="0"/>
      <w:marRight w:val="0"/>
      <w:marTop w:val="0"/>
      <w:marBottom w:val="0"/>
      <w:divBdr>
        <w:top w:val="none" w:sz="0" w:space="0" w:color="auto"/>
        <w:left w:val="none" w:sz="0" w:space="0" w:color="auto"/>
        <w:bottom w:val="none" w:sz="0" w:space="0" w:color="auto"/>
        <w:right w:val="none" w:sz="0" w:space="0" w:color="auto"/>
      </w:divBdr>
    </w:div>
    <w:div w:id="1724794303">
      <w:bodyDiv w:val="1"/>
      <w:marLeft w:val="0"/>
      <w:marRight w:val="0"/>
      <w:marTop w:val="0"/>
      <w:marBottom w:val="0"/>
      <w:divBdr>
        <w:top w:val="none" w:sz="0" w:space="0" w:color="auto"/>
        <w:left w:val="none" w:sz="0" w:space="0" w:color="auto"/>
        <w:bottom w:val="none" w:sz="0" w:space="0" w:color="auto"/>
        <w:right w:val="none" w:sz="0" w:space="0" w:color="auto"/>
      </w:divBdr>
    </w:div>
    <w:div w:id="1725175019">
      <w:bodyDiv w:val="1"/>
      <w:marLeft w:val="0"/>
      <w:marRight w:val="0"/>
      <w:marTop w:val="0"/>
      <w:marBottom w:val="0"/>
      <w:divBdr>
        <w:top w:val="none" w:sz="0" w:space="0" w:color="auto"/>
        <w:left w:val="none" w:sz="0" w:space="0" w:color="auto"/>
        <w:bottom w:val="none" w:sz="0" w:space="0" w:color="auto"/>
        <w:right w:val="none" w:sz="0" w:space="0" w:color="auto"/>
      </w:divBdr>
    </w:div>
    <w:div w:id="1750694745">
      <w:bodyDiv w:val="1"/>
      <w:marLeft w:val="0"/>
      <w:marRight w:val="0"/>
      <w:marTop w:val="0"/>
      <w:marBottom w:val="0"/>
      <w:divBdr>
        <w:top w:val="none" w:sz="0" w:space="0" w:color="auto"/>
        <w:left w:val="none" w:sz="0" w:space="0" w:color="auto"/>
        <w:bottom w:val="none" w:sz="0" w:space="0" w:color="auto"/>
        <w:right w:val="none" w:sz="0" w:space="0" w:color="auto"/>
      </w:divBdr>
    </w:div>
    <w:div w:id="1751658724">
      <w:bodyDiv w:val="1"/>
      <w:marLeft w:val="0"/>
      <w:marRight w:val="0"/>
      <w:marTop w:val="0"/>
      <w:marBottom w:val="0"/>
      <w:divBdr>
        <w:top w:val="none" w:sz="0" w:space="0" w:color="auto"/>
        <w:left w:val="none" w:sz="0" w:space="0" w:color="auto"/>
        <w:bottom w:val="none" w:sz="0" w:space="0" w:color="auto"/>
        <w:right w:val="none" w:sz="0" w:space="0" w:color="auto"/>
      </w:divBdr>
    </w:div>
    <w:div w:id="1760445863">
      <w:bodyDiv w:val="1"/>
      <w:marLeft w:val="0"/>
      <w:marRight w:val="0"/>
      <w:marTop w:val="0"/>
      <w:marBottom w:val="0"/>
      <w:divBdr>
        <w:top w:val="none" w:sz="0" w:space="0" w:color="auto"/>
        <w:left w:val="none" w:sz="0" w:space="0" w:color="auto"/>
        <w:bottom w:val="none" w:sz="0" w:space="0" w:color="auto"/>
        <w:right w:val="none" w:sz="0" w:space="0" w:color="auto"/>
      </w:divBdr>
    </w:div>
    <w:div w:id="1761171728">
      <w:bodyDiv w:val="1"/>
      <w:marLeft w:val="0"/>
      <w:marRight w:val="0"/>
      <w:marTop w:val="0"/>
      <w:marBottom w:val="0"/>
      <w:divBdr>
        <w:top w:val="none" w:sz="0" w:space="0" w:color="auto"/>
        <w:left w:val="none" w:sz="0" w:space="0" w:color="auto"/>
        <w:bottom w:val="none" w:sz="0" w:space="0" w:color="auto"/>
        <w:right w:val="none" w:sz="0" w:space="0" w:color="auto"/>
      </w:divBdr>
    </w:div>
    <w:div w:id="1772778298">
      <w:bodyDiv w:val="1"/>
      <w:marLeft w:val="0"/>
      <w:marRight w:val="0"/>
      <w:marTop w:val="0"/>
      <w:marBottom w:val="0"/>
      <w:divBdr>
        <w:top w:val="none" w:sz="0" w:space="0" w:color="auto"/>
        <w:left w:val="none" w:sz="0" w:space="0" w:color="auto"/>
        <w:bottom w:val="none" w:sz="0" w:space="0" w:color="auto"/>
        <w:right w:val="none" w:sz="0" w:space="0" w:color="auto"/>
      </w:divBdr>
    </w:div>
    <w:div w:id="1773889150">
      <w:bodyDiv w:val="1"/>
      <w:marLeft w:val="0"/>
      <w:marRight w:val="0"/>
      <w:marTop w:val="0"/>
      <w:marBottom w:val="0"/>
      <w:divBdr>
        <w:top w:val="none" w:sz="0" w:space="0" w:color="auto"/>
        <w:left w:val="none" w:sz="0" w:space="0" w:color="auto"/>
        <w:bottom w:val="none" w:sz="0" w:space="0" w:color="auto"/>
        <w:right w:val="none" w:sz="0" w:space="0" w:color="auto"/>
      </w:divBdr>
    </w:div>
    <w:div w:id="1775009266">
      <w:bodyDiv w:val="1"/>
      <w:marLeft w:val="0"/>
      <w:marRight w:val="0"/>
      <w:marTop w:val="0"/>
      <w:marBottom w:val="0"/>
      <w:divBdr>
        <w:top w:val="none" w:sz="0" w:space="0" w:color="auto"/>
        <w:left w:val="none" w:sz="0" w:space="0" w:color="auto"/>
        <w:bottom w:val="none" w:sz="0" w:space="0" w:color="auto"/>
        <w:right w:val="none" w:sz="0" w:space="0" w:color="auto"/>
      </w:divBdr>
    </w:div>
    <w:div w:id="1775858095">
      <w:bodyDiv w:val="1"/>
      <w:marLeft w:val="0"/>
      <w:marRight w:val="0"/>
      <w:marTop w:val="0"/>
      <w:marBottom w:val="0"/>
      <w:divBdr>
        <w:top w:val="none" w:sz="0" w:space="0" w:color="auto"/>
        <w:left w:val="none" w:sz="0" w:space="0" w:color="auto"/>
        <w:bottom w:val="none" w:sz="0" w:space="0" w:color="auto"/>
        <w:right w:val="none" w:sz="0" w:space="0" w:color="auto"/>
      </w:divBdr>
    </w:div>
    <w:div w:id="1777751604">
      <w:bodyDiv w:val="1"/>
      <w:marLeft w:val="0"/>
      <w:marRight w:val="0"/>
      <w:marTop w:val="0"/>
      <w:marBottom w:val="0"/>
      <w:divBdr>
        <w:top w:val="none" w:sz="0" w:space="0" w:color="auto"/>
        <w:left w:val="none" w:sz="0" w:space="0" w:color="auto"/>
        <w:bottom w:val="none" w:sz="0" w:space="0" w:color="auto"/>
        <w:right w:val="none" w:sz="0" w:space="0" w:color="auto"/>
      </w:divBdr>
    </w:div>
    <w:div w:id="1781099805">
      <w:bodyDiv w:val="1"/>
      <w:marLeft w:val="0"/>
      <w:marRight w:val="0"/>
      <w:marTop w:val="0"/>
      <w:marBottom w:val="0"/>
      <w:divBdr>
        <w:top w:val="none" w:sz="0" w:space="0" w:color="auto"/>
        <w:left w:val="none" w:sz="0" w:space="0" w:color="auto"/>
        <w:bottom w:val="none" w:sz="0" w:space="0" w:color="auto"/>
        <w:right w:val="none" w:sz="0" w:space="0" w:color="auto"/>
      </w:divBdr>
    </w:div>
    <w:div w:id="1785734616">
      <w:bodyDiv w:val="1"/>
      <w:marLeft w:val="0"/>
      <w:marRight w:val="0"/>
      <w:marTop w:val="0"/>
      <w:marBottom w:val="0"/>
      <w:divBdr>
        <w:top w:val="none" w:sz="0" w:space="0" w:color="auto"/>
        <w:left w:val="none" w:sz="0" w:space="0" w:color="auto"/>
        <w:bottom w:val="none" w:sz="0" w:space="0" w:color="auto"/>
        <w:right w:val="none" w:sz="0" w:space="0" w:color="auto"/>
      </w:divBdr>
    </w:div>
    <w:div w:id="178849921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5122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67590">
      <w:bodyDiv w:val="1"/>
      <w:marLeft w:val="0"/>
      <w:marRight w:val="0"/>
      <w:marTop w:val="0"/>
      <w:marBottom w:val="0"/>
      <w:divBdr>
        <w:top w:val="none" w:sz="0" w:space="0" w:color="auto"/>
        <w:left w:val="none" w:sz="0" w:space="0" w:color="auto"/>
        <w:bottom w:val="none" w:sz="0" w:space="0" w:color="auto"/>
        <w:right w:val="none" w:sz="0" w:space="0" w:color="auto"/>
      </w:divBdr>
    </w:div>
    <w:div w:id="1836332826">
      <w:bodyDiv w:val="1"/>
      <w:marLeft w:val="0"/>
      <w:marRight w:val="0"/>
      <w:marTop w:val="0"/>
      <w:marBottom w:val="0"/>
      <w:divBdr>
        <w:top w:val="none" w:sz="0" w:space="0" w:color="auto"/>
        <w:left w:val="none" w:sz="0" w:space="0" w:color="auto"/>
        <w:bottom w:val="none" w:sz="0" w:space="0" w:color="auto"/>
        <w:right w:val="none" w:sz="0" w:space="0" w:color="auto"/>
      </w:divBdr>
    </w:div>
    <w:div w:id="1853520973">
      <w:bodyDiv w:val="1"/>
      <w:marLeft w:val="0"/>
      <w:marRight w:val="0"/>
      <w:marTop w:val="0"/>
      <w:marBottom w:val="0"/>
      <w:divBdr>
        <w:top w:val="none" w:sz="0" w:space="0" w:color="auto"/>
        <w:left w:val="none" w:sz="0" w:space="0" w:color="auto"/>
        <w:bottom w:val="none" w:sz="0" w:space="0" w:color="auto"/>
        <w:right w:val="none" w:sz="0" w:space="0" w:color="auto"/>
      </w:divBdr>
    </w:div>
    <w:div w:id="1855223252">
      <w:bodyDiv w:val="1"/>
      <w:marLeft w:val="0"/>
      <w:marRight w:val="0"/>
      <w:marTop w:val="0"/>
      <w:marBottom w:val="0"/>
      <w:divBdr>
        <w:top w:val="none" w:sz="0" w:space="0" w:color="auto"/>
        <w:left w:val="none" w:sz="0" w:space="0" w:color="auto"/>
        <w:bottom w:val="none" w:sz="0" w:space="0" w:color="auto"/>
        <w:right w:val="none" w:sz="0" w:space="0" w:color="auto"/>
      </w:divBdr>
    </w:div>
    <w:div w:id="1861317933">
      <w:bodyDiv w:val="1"/>
      <w:marLeft w:val="0"/>
      <w:marRight w:val="0"/>
      <w:marTop w:val="0"/>
      <w:marBottom w:val="0"/>
      <w:divBdr>
        <w:top w:val="none" w:sz="0" w:space="0" w:color="auto"/>
        <w:left w:val="none" w:sz="0" w:space="0" w:color="auto"/>
        <w:bottom w:val="none" w:sz="0" w:space="0" w:color="auto"/>
        <w:right w:val="none" w:sz="0" w:space="0" w:color="auto"/>
      </w:divBdr>
    </w:div>
    <w:div w:id="1866139148">
      <w:bodyDiv w:val="1"/>
      <w:marLeft w:val="0"/>
      <w:marRight w:val="0"/>
      <w:marTop w:val="0"/>
      <w:marBottom w:val="0"/>
      <w:divBdr>
        <w:top w:val="none" w:sz="0" w:space="0" w:color="auto"/>
        <w:left w:val="none" w:sz="0" w:space="0" w:color="auto"/>
        <w:bottom w:val="none" w:sz="0" w:space="0" w:color="auto"/>
        <w:right w:val="none" w:sz="0" w:space="0" w:color="auto"/>
      </w:divBdr>
    </w:div>
    <w:div w:id="1875772991">
      <w:bodyDiv w:val="1"/>
      <w:marLeft w:val="0"/>
      <w:marRight w:val="0"/>
      <w:marTop w:val="0"/>
      <w:marBottom w:val="0"/>
      <w:divBdr>
        <w:top w:val="none" w:sz="0" w:space="0" w:color="auto"/>
        <w:left w:val="none" w:sz="0" w:space="0" w:color="auto"/>
        <w:bottom w:val="none" w:sz="0" w:space="0" w:color="auto"/>
        <w:right w:val="none" w:sz="0" w:space="0" w:color="auto"/>
      </w:divBdr>
    </w:div>
    <w:div w:id="1876574601">
      <w:bodyDiv w:val="1"/>
      <w:marLeft w:val="0"/>
      <w:marRight w:val="0"/>
      <w:marTop w:val="0"/>
      <w:marBottom w:val="0"/>
      <w:divBdr>
        <w:top w:val="none" w:sz="0" w:space="0" w:color="auto"/>
        <w:left w:val="none" w:sz="0" w:space="0" w:color="auto"/>
        <w:bottom w:val="none" w:sz="0" w:space="0" w:color="auto"/>
        <w:right w:val="none" w:sz="0" w:space="0" w:color="auto"/>
      </w:divBdr>
    </w:div>
    <w:div w:id="1878272812">
      <w:bodyDiv w:val="1"/>
      <w:marLeft w:val="0"/>
      <w:marRight w:val="0"/>
      <w:marTop w:val="0"/>
      <w:marBottom w:val="0"/>
      <w:divBdr>
        <w:top w:val="none" w:sz="0" w:space="0" w:color="auto"/>
        <w:left w:val="none" w:sz="0" w:space="0" w:color="auto"/>
        <w:bottom w:val="none" w:sz="0" w:space="0" w:color="auto"/>
        <w:right w:val="none" w:sz="0" w:space="0" w:color="auto"/>
      </w:divBdr>
    </w:div>
    <w:div w:id="1881479791">
      <w:bodyDiv w:val="1"/>
      <w:marLeft w:val="0"/>
      <w:marRight w:val="0"/>
      <w:marTop w:val="0"/>
      <w:marBottom w:val="0"/>
      <w:divBdr>
        <w:top w:val="none" w:sz="0" w:space="0" w:color="auto"/>
        <w:left w:val="none" w:sz="0" w:space="0" w:color="auto"/>
        <w:bottom w:val="none" w:sz="0" w:space="0" w:color="auto"/>
        <w:right w:val="none" w:sz="0" w:space="0" w:color="auto"/>
      </w:divBdr>
    </w:div>
    <w:div w:id="1881942309">
      <w:bodyDiv w:val="1"/>
      <w:marLeft w:val="0"/>
      <w:marRight w:val="0"/>
      <w:marTop w:val="0"/>
      <w:marBottom w:val="0"/>
      <w:divBdr>
        <w:top w:val="none" w:sz="0" w:space="0" w:color="auto"/>
        <w:left w:val="none" w:sz="0" w:space="0" w:color="auto"/>
        <w:bottom w:val="none" w:sz="0" w:space="0" w:color="auto"/>
        <w:right w:val="none" w:sz="0" w:space="0" w:color="auto"/>
      </w:divBdr>
    </w:div>
    <w:div w:id="1889803356">
      <w:bodyDiv w:val="1"/>
      <w:marLeft w:val="0"/>
      <w:marRight w:val="0"/>
      <w:marTop w:val="0"/>
      <w:marBottom w:val="0"/>
      <w:divBdr>
        <w:top w:val="none" w:sz="0" w:space="0" w:color="auto"/>
        <w:left w:val="none" w:sz="0" w:space="0" w:color="auto"/>
        <w:bottom w:val="none" w:sz="0" w:space="0" w:color="auto"/>
        <w:right w:val="none" w:sz="0" w:space="0" w:color="auto"/>
      </w:divBdr>
    </w:div>
    <w:div w:id="1890650961">
      <w:bodyDiv w:val="1"/>
      <w:marLeft w:val="0"/>
      <w:marRight w:val="0"/>
      <w:marTop w:val="0"/>
      <w:marBottom w:val="0"/>
      <w:divBdr>
        <w:top w:val="none" w:sz="0" w:space="0" w:color="auto"/>
        <w:left w:val="none" w:sz="0" w:space="0" w:color="auto"/>
        <w:bottom w:val="none" w:sz="0" w:space="0" w:color="auto"/>
        <w:right w:val="none" w:sz="0" w:space="0" w:color="auto"/>
      </w:divBdr>
    </w:div>
    <w:div w:id="1891767739">
      <w:bodyDiv w:val="1"/>
      <w:marLeft w:val="0"/>
      <w:marRight w:val="0"/>
      <w:marTop w:val="0"/>
      <w:marBottom w:val="0"/>
      <w:divBdr>
        <w:top w:val="none" w:sz="0" w:space="0" w:color="auto"/>
        <w:left w:val="none" w:sz="0" w:space="0" w:color="auto"/>
        <w:bottom w:val="none" w:sz="0" w:space="0" w:color="auto"/>
        <w:right w:val="none" w:sz="0" w:space="0" w:color="auto"/>
      </w:divBdr>
    </w:div>
    <w:div w:id="1892886262">
      <w:bodyDiv w:val="1"/>
      <w:marLeft w:val="0"/>
      <w:marRight w:val="0"/>
      <w:marTop w:val="0"/>
      <w:marBottom w:val="0"/>
      <w:divBdr>
        <w:top w:val="none" w:sz="0" w:space="0" w:color="auto"/>
        <w:left w:val="none" w:sz="0" w:space="0" w:color="auto"/>
        <w:bottom w:val="none" w:sz="0" w:space="0" w:color="auto"/>
        <w:right w:val="none" w:sz="0" w:space="0" w:color="auto"/>
      </w:divBdr>
    </w:div>
    <w:div w:id="1894540900">
      <w:bodyDiv w:val="1"/>
      <w:marLeft w:val="0"/>
      <w:marRight w:val="0"/>
      <w:marTop w:val="0"/>
      <w:marBottom w:val="0"/>
      <w:divBdr>
        <w:top w:val="none" w:sz="0" w:space="0" w:color="auto"/>
        <w:left w:val="none" w:sz="0" w:space="0" w:color="auto"/>
        <w:bottom w:val="none" w:sz="0" w:space="0" w:color="auto"/>
        <w:right w:val="none" w:sz="0" w:space="0" w:color="auto"/>
      </w:divBdr>
    </w:div>
    <w:div w:id="1895656243">
      <w:bodyDiv w:val="1"/>
      <w:marLeft w:val="0"/>
      <w:marRight w:val="0"/>
      <w:marTop w:val="0"/>
      <w:marBottom w:val="0"/>
      <w:divBdr>
        <w:top w:val="none" w:sz="0" w:space="0" w:color="auto"/>
        <w:left w:val="none" w:sz="0" w:space="0" w:color="auto"/>
        <w:bottom w:val="none" w:sz="0" w:space="0" w:color="auto"/>
        <w:right w:val="none" w:sz="0" w:space="0" w:color="auto"/>
      </w:divBdr>
    </w:div>
    <w:div w:id="1907957541">
      <w:bodyDiv w:val="1"/>
      <w:marLeft w:val="0"/>
      <w:marRight w:val="0"/>
      <w:marTop w:val="0"/>
      <w:marBottom w:val="0"/>
      <w:divBdr>
        <w:top w:val="none" w:sz="0" w:space="0" w:color="auto"/>
        <w:left w:val="none" w:sz="0" w:space="0" w:color="auto"/>
        <w:bottom w:val="none" w:sz="0" w:space="0" w:color="auto"/>
        <w:right w:val="none" w:sz="0" w:space="0" w:color="auto"/>
      </w:divBdr>
    </w:div>
    <w:div w:id="1912039643">
      <w:bodyDiv w:val="1"/>
      <w:marLeft w:val="0"/>
      <w:marRight w:val="0"/>
      <w:marTop w:val="0"/>
      <w:marBottom w:val="0"/>
      <w:divBdr>
        <w:top w:val="none" w:sz="0" w:space="0" w:color="auto"/>
        <w:left w:val="none" w:sz="0" w:space="0" w:color="auto"/>
        <w:bottom w:val="none" w:sz="0" w:space="0" w:color="auto"/>
        <w:right w:val="none" w:sz="0" w:space="0" w:color="auto"/>
      </w:divBdr>
    </w:div>
    <w:div w:id="1922181455">
      <w:bodyDiv w:val="1"/>
      <w:marLeft w:val="0"/>
      <w:marRight w:val="0"/>
      <w:marTop w:val="0"/>
      <w:marBottom w:val="0"/>
      <w:divBdr>
        <w:top w:val="none" w:sz="0" w:space="0" w:color="auto"/>
        <w:left w:val="none" w:sz="0" w:space="0" w:color="auto"/>
        <w:bottom w:val="none" w:sz="0" w:space="0" w:color="auto"/>
        <w:right w:val="none" w:sz="0" w:space="0" w:color="auto"/>
      </w:divBdr>
    </w:div>
    <w:div w:id="1922828887">
      <w:bodyDiv w:val="1"/>
      <w:marLeft w:val="0"/>
      <w:marRight w:val="0"/>
      <w:marTop w:val="0"/>
      <w:marBottom w:val="0"/>
      <w:divBdr>
        <w:top w:val="none" w:sz="0" w:space="0" w:color="auto"/>
        <w:left w:val="none" w:sz="0" w:space="0" w:color="auto"/>
        <w:bottom w:val="none" w:sz="0" w:space="0" w:color="auto"/>
        <w:right w:val="none" w:sz="0" w:space="0" w:color="auto"/>
      </w:divBdr>
    </w:div>
    <w:div w:id="1922837617">
      <w:bodyDiv w:val="1"/>
      <w:marLeft w:val="0"/>
      <w:marRight w:val="0"/>
      <w:marTop w:val="0"/>
      <w:marBottom w:val="0"/>
      <w:divBdr>
        <w:top w:val="none" w:sz="0" w:space="0" w:color="auto"/>
        <w:left w:val="none" w:sz="0" w:space="0" w:color="auto"/>
        <w:bottom w:val="none" w:sz="0" w:space="0" w:color="auto"/>
        <w:right w:val="none" w:sz="0" w:space="0" w:color="auto"/>
      </w:divBdr>
    </w:div>
    <w:div w:id="1937908105">
      <w:bodyDiv w:val="1"/>
      <w:marLeft w:val="0"/>
      <w:marRight w:val="0"/>
      <w:marTop w:val="0"/>
      <w:marBottom w:val="0"/>
      <w:divBdr>
        <w:top w:val="none" w:sz="0" w:space="0" w:color="auto"/>
        <w:left w:val="none" w:sz="0" w:space="0" w:color="auto"/>
        <w:bottom w:val="none" w:sz="0" w:space="0" w:color="auto"/>
        <w:right w:val="none" w:sz="0" w:space="0" w:color="auto"/>
      </w:divBdr>
    </w:div>
    <w:div w:id="1944222688">
      <w:bodyDiv w:val="1"/>
      <w:marLeft w:val="0"/>
      <w:marRight w:val="0"/>
      <w:marTop w:val="0"/>
      <w:marBottom w:val="0"/>
      <w:divBdr>
        <w:top w:val="none" w:sz="0" w:space="0" w:color="auto"/>
        <w:left w:val="none" w:sz="0" w:space="0" w:color="auto"/>
        <w:bottom w:val="none" w:sz="0" w:space="0" w:color="auto"/>
        <w:right w:val="none" w:sz="0" w:space="0" w:color="auto"/>
      </w:divBdr>
    </w:div>
    <w:div w:id="1944651456">
      <w:bodyDiv w:val="1"/>
      <w:marLeft w:val="0"/>
      <w:marRight w:val="0"/>
      <w:marTop w:val="0"/>
      <w:marBottom w:val="0"/>
      <w:divBdr>
        <w:top w:val="none" w:sz="0" w:space="0" w:color="auto"/>
        <w:left w:val="none" w:sz="0" w:space="0" w:color="auto"/>
        <w:bottom w:val="none" w:sz="0" w:space="0" w:color="auto"/>
        <w:right w:val="none" w:sz="0" w:space="0" w:color="auto"/>
      </w:divBdr>
    </w:div>
    <w:div w:id="1945722644">
      <w:bodyDiv w:val="1"/>
      <w:marLeft w:val="0"/>
      <w:marRight w:val="0"/>
      <w:marTop w:val="0"/>
      <w:marBottom w:val="0"/>
      <w:divBdr>
        <w:top w:val="none" w:sz="0" w:space="0" w:color="auto"/>
        <w:left w:val="none" w:sz="0" w:space="0" w:color="auto"/>
        <w:bottom w:val="none" w:sz="0" w:space="0" w:color="auto"/>
        <w:right w:val="none" w:sz="0" w:space="0" w:color="auto"/>
      </w:divBdr>
    </w:div>
    <w:div w:id="1955601339">
      <w:bodyDiv w:val="1"/>
      <w:marLeft w:val="0"/>
      <w:marRight w:val="0"/>
      <w:marTop w:val="0"/>
      <w:marBottom w:val="0"/>
      <w:divBdr>
        <w:top w:val="none" w:sz="0" w:space="0" w:color="auto"/>
        <w:left w:val="none" w:sz="0" w:space="0" w:color="auto"/>
        <w:bottom w:val="none" w:sz="0" w:space="0" w:color="auto"/>
        <w:right w:val="none" w:sz="0" w:space="0" w:color="auto"/>
      </w:divBdr>
    </w:div>
    <w:div w:id="1956205498">
      <w:bodyDiv w:val="1"/>
      <w:marLeft w:val="0"/>
      <w:marRight w:val="0"/>
      <w:marTop w:val="0"/>
      <w:marBottom w:val="0"/>
      <w:divBdr>
        <w:top w:val="none" w:sz="0" w:space="0" w:color="auto"/>
        <w:left w:val="none" w:sz="0" w:space="0" w:color="auto"/>
        <w:bottom w:val="none" w:sz="0" w:space="0" w:color="auto"/>
        <w:right w:val="none" w:sz="0" w:space="0" w:color="auto"/>
      </w:divBdr>
    </w:div>
    <w:div w:id="1956397871">
      <w:bodyDiv w:val="1"/>
      <w:marLeft w:val="0"/>
      <w:marRight w:val="0"/>
      <w:marTop w:val="0"/>
      <w:marBottom w:val="0"/>
      <w:divBdr>
        <w:top w:val="none" w:sz="0" w:space="0" w:color="auto"/>
        <w:left w:val="none" w:sz="0" w:space="0" w:color="auto"/>
        <w:bottom w:val="none" w:sz="0" w:space="0" w:color="auto"/>
        <w:right w:val="none" w:sz="0" w:space="0" w:color="auto"/>
      </w:divBdr>
    </w:div>
    <w:div w:id="1959992365">
      <w:bodyDiv w:val="1"/>
      <w:marLeft w:val="0"/>
      <w:marRight w:val="0"/>
      <w:marTop w:val="0"/>
      <w:marBottom w:val="0"/>
      <w:divBdr>
        <w:top w:val="none" w:sz="0" w:space="0" w:color="auto"/>
        <w:left w:val="none" w:sz="0" w:space="0" w:color="auto"/>
        <w:bottom w:val="none" w:sz="0" w:space="0" w:color="auto"/>
        <w:right w:val="none" w:sz="0" w:space="0" w:color="auto"/>
      </w:divBdr>
    </w:div>
    <w:div w:id="1965042270">
      <w:bodyDiv w:val="1"/>
      <w:marLeft w:val="0"/>
      <w:marRight w:val="0"/>
      <w:marTop w:val="0"/>
      <w:marBottom w:val="0"/>
      <w:divBdr>
        <w:top w:val="none" w:sz="0" w:space="0" w:color="auto"/>
        <w:left w:val="none" w:sz="0" w:space="0" w:color="auto"/>
        <w:bottom w:val="none" w:sz="0" w:space="0" w:color="auto"/>
        <w:right w:val="none" w:sz="0" w:space="0" w:color="auto"/>
      </w:divBdr>
    </w:div>
    <w:div w:id="1968388130">
      <w:bodyDiv w:val="1"/>
      <w:marLeft w:val="0"/>
      <w:marRight w:val="0"/>
      <w:marTop w:val="0"/>
      <w:marBottom w:val="0"/>
      <w:divBdr>
        <w:top w:val="none" w:sz="0" w:space="0" w:color="auto"/>
        <w:left w:val="none" w:sz="0" w:space="0" w:color="auto"/>
        <w:bottom w:val="none" w:sz="0" w:space="0" w:color="auto"/>
        <w:right w:val="none" w:sz="0" w:space="0" w:color="auto"/>
      </w:divBdr>
    </w:div>
    <w:div w:id="1969242335">
      <w:bodyDiv w:val="1"/>
      <w:marLeft w:val="0"/>
      <w:marRight w:val="0"/>
      <w:marTop w:val="0"/>
      <w:marBottom w:val="0"/>
      <w:divBdr>
        <w:top w:val="none" w:sz="0" w:space="0" w:color="auto"/>
        <w:left w:val="none" w:sz="0" w:space="0" w:color="auto"/>
        <w:bottom w:val="none" w:sz="0" w:space="0" w:color="auto"/>
        <w:right w:val="none" w:sz="0" w:space="0" w:color="auto"/>
      </w:divBdr>
    </w:div>
    <w:div w:id="1970551835">
      <w:bodyDiv w:val="1"/>
      <w:marLeft w:val="0"/>
      <w:marRight w:val="0"/>
      <w:marTop w:val="0"/>
      <w:marBottom w:val="0"/>
      <w:divBdr>
        <w:top w:val="none" w:sz="0" w:space="0" w:color="auto"/>
        <w:left w:val="none" w:sz="0" w:space="0" w:color="auto"/>
        <w:bottom w:val="none" w:sz="0" w:space="0" w:color="auto"/>
        <w:right w:val="none" w:sz="0" w:space="0" w:color="auto"/>
      </w:divBdr>
    </w:div>
    <w:div w:id="1970670056">
      <w:bodyDiv w:val="1"/>
      <w:marLeft w:val="0"/>
      <w:marRight w:val="0"/>
      <w:marTop w:val="0"/>
      <w:marBottom w:val="0"/>
      <w:divBdr>
        <w:top w:val="none" w:sz="0" w:space="0" w:color="auto"/>
        <w:left w:val="none" w:sz="0" w:space="0" w:color="auto"/>
        <w:bottom w:val="none" w:sz="0" w:space="0" w:color="auto"/>
        <w:right w:val="none" w:sz="0" w:space="0" w:color="auto"/>
      </w:divBdr>
    </w:div>
    <w:div w:id="1974292057">
      <w:bodyDiv w:val="1"/>
      <w:marLeft w:val="0"/>
      <w:marRight w:val="0"/>
      <w:marTop w:val="0"/>
      <w:marBottom w:val="0"/>
      <w:divBdr>
        <w:top w:val="none" w:sz="0" w:space="0" w:color="auto"/>
        <w:left w:val="none" w:sz="0" w:space="0" w:color="auto"/>
        <w:bottom w:val="none" w:sz="0" w:space="0" w:color="auto"/>
        <w:right w:val="none" w:sz="0" w:space="0" w:color="auto"/>
      </w:divBdr>
    </w:div>
    <w:div w:id="1979916523">
      <w:bodyDiv w:val="1"/>
      <w:marLeft w:val="0"/>
      <w:marRight w:val="0"/>
      <w:marTop w:val="0"/>
      <w:marBottom w:val="0"/>
      <w:divBdr>
        <w:top w:val="none" w:sz="0" w:space="0" w:color="auto"/>
        <w:left w:val="none" w:sz="0" w:space="0" w:color="auto"/>
        <w:bottom w:val="none" w:sz="0" w:space="0" w:color="auto"/>
        <w:right w:val="none" w:sz="0" w:space="0" w:color="auto"/>
      </w:divBdr>
    </w:div>
    <w:div w:id="1983122044">
      <w:bodyDiv w:val="1"/>
      <w:marLeft w:val="0"/>
      <w:marRight w:val="0"/>
      <w:marTop w:val="0"/>
      <w:marBottom w:val="0"/>
      <w:divBdr>
        <w:top w:val="none" w:sz="0" w:space="0" w:color="auto"/>
        <w:left w:val="none" w:sz="0" w:space="0" w:color="auto"/>
        <w:bottom w:val="none" w:sz="0" w:space="0" w:color="auto"/>
        <w:right w:val="none" w:sz="0" w:space="0" w:color="auto"/>
      </w:divBdr>
    </w:div>
    <w:div w:id="1992175989">
      <w:bodyDiv w:val="1"/>
      <w:marLeft w:val="0"/>
      <w:marRight w:val="0"/>
      <w:marTop w:val="0"/>
      <w:marBottom w:val="0"/>
      <w:divBdr>
        <w:top w:val="none" w:sz="0" w:space="0" w:color="auto"/>
        <w:left w:val="none" w:sz="0" w:space="0" w:color="auto"/>
        <w:bottom w:val="none" w:sz="0" w:space="0" w:color="auto"/>
        <w:right w:val="none" w:sz="0" w:space="0" w:color="auto"/>
      </w:divBdr>
    </w:div>
    <w:div w:id="199409428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433573">
      <w:bodyDiv w:val="1"/>
      <w:marLeft w:val="0"/>
      <w:marRight w:val="0"/>
      <w:marTop w:val="0"/>
      <w:marBottom w:val="0"/>
      <w:divBdr>
        <w:top w:val="none" w:sz="0" w:space="0" w:color="auto"/>
        <w:left w:val="none" w:sz="0" w:space="0" w:color="auto"/>
        <w:bottom w:val="none" w:sz="0" w:space="0" w:color="auto"/>
        <w:right w:val="none" w:sz="0" w:space="0" w:color="auto"/>
      </w:divBdr>
    </w:div>
    <w:div w:id="2025548870">
      <w:bodyDiv w:val="1"/>
      <w:marLeft w:val="0"/>
      <w:marRight w:val="0"/>
      <w:marTop w:val="0"/>
      <w:marBottom w:val="0"/>
      <w:divBdr>
        <w:top w:val="none" w:sz="0" w:space="0" w:color="auto"/>
        <w:left w:val="none" w:sz="0" w:space="0" w:color="auto"/>
        <w:bottom w:val="none" w:sz="0" w:space="0" w:color="auto"/>
        <w:right w:val="none" w:sz="0" w:space="0" w:color="auto"/>
      </w:divBdr>
    </w:div>
    <w:div w:id="2028865353">
      <w:bodyDiv w:val="1"/>
      <w:marLeft w:val="0"/>
      <w:marRight w:val="0"/>
      <w:marTop w:val="0"/>
      <w:marBottom w:val="0"/>
      <w:divBdr>
        <w:top w:val="none" w:sz="0" w:space="0" w:color="auto"/>
        <w:left w:val="none" w:sz="0" w:space="0" w:color="auto"/>
        <w:bottom w:val="none" w:sz="0" w:space="0" w:color="auto"/>
        <w:right w:val="none" w:sz="0" w:space="0" w:color="auto"/>
      </w:divBdr>
    </w:div>
    <w:div w:id="2050837571">
      <w:bodyDiv w:val="1"/>
      <w:marLeft w:val="0"/>
      <w:marRight w:val="0"/>
      <w:marTop w:val="0"/>
      <w:marBottom w:val="0"/>
      <w:divBdr>
        <w:top w:val="none" w:sz="0" w:space="0" w:color="auto"/>
        <w:left w:val="none" w:sz="0" w:space="0" w:color="auto"/>
        <w:bottom w:val="none" w:sz="0" w:space="0" w:color="auto"/>
        <w:right w:val="none" w:sz="0" w:space="0" w:color="auto"/>
      </w:divBdr>
    </w:div>
    <w:div w:id="2059284011">
      <w:bodyDiv w:val="1"/>
      <w:marLeft w:val="0"/>
      <w:marRight w:val="0"/>
      <w:marTop w:val="0"/>
      <w:marBottom w:val="0"/>
      <w:divBdr>
        <w:top w:val="none" w:sz="0" w:space="0" w:color="auto"/>
        <w:left w:val="none" w:sz="0" w:space="0" w:color="auto"/>
        <w:bottom w:val="none" w:sz="0" w:space="0" w:color="auto"/>
        <w:right w:val="none" w:sz="0" w:space="0" w:color="auto"/>
      </w:divBdr>
    </w:div>
    <w:div w:id="2067753895">
      <w:bodyDiv w:val="1"/>
      <w:marLeft w:val="0"/>
      <w:marRight w:val="0"/>
      <w:marTop w:val="0"/>
      <w:marBottom w:val="0"/>
      <w:divBdr>
        <w:top w:val="none" w:sz="0" w:space="0" w:color="auto"/>
        <w:left w:val="none" w:sz="0" w:space="0" w:color="auto"/>
        <w:bottom w:val="none" w:sz="0" w:space="0" w:color="auto"/>
        <w:right w:val="none" w:sz="0" w:space="0" w:color="auto"/>
      </w:divBdr>
    </w:div>
    <w:div w:id="207900938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467730">
      <w:bodyDiv w:val="1"/>
      <w:marLeft w:val="0"/>
      <w:marRight w:val="0"/>
      <w:marTop w:val="0"/>
      <w:marBottom w:val="0"/>
      <w:divBdr>
        <w:top w:val="none" w:sz="0" w:space="0" w:color="auto"/>
        <w:left w:val="none" w:sz="0" w:space="0" w:color="auto"/>
        <w:bottom w:val="none" w:sz="0" w:space="0" w:color="auto"/>
        <w:right w:val="none" w:sz="0" w:space="0" w:color="auto"/>
      </w:divBdr>
    </w:div>
    <w:div w:id="2091468316">
      <w:bodyDiv w:val="1"/>
      <w:marLeft w:val="0"/>
      <w:marRight w:val="0"/>
      <w:marTop w:val="0"/>
      <w:marBottom w:val="0"/>
      <w:divBdr>
        <w:top w:val="none" w:sz="0" w:space="0" w:color="auto"/>
        <w:left w:val="none" w:sz="0" w:space="0" w:color="auto"/>
        <w:bottom w:val="none" w:sz="0" w:space="0" w:color="auto"/>
        <w:right w:val="none" w:sz="0" w:space="0" w:color="auto"/>
      </w:divBdr>
    </w:div>
    <w:div w:id="2099212274">
      <w:bodyDiv w:val="1"/>
      <w:marLeft w:val="0"/>
      <w:marRight w:val="0"/>
      <w:marTop w:val="0"/>
      <w:marBottom w:val="0"/>
      <w:divBdr>
        <w:top w:val="none" w:sz="0" w:space="0" w:color="auto"/>
        <w:left w:val="none" w:sz="0" w:space="0" w:color="auto"/>
        <w:bottom w:val="none" w:sz="0" w:space="0" w:color="auto"/>
        <w:right w:val="none" w:sz="0" w:space="0" w:color="auto"/>
      </w:divBdr>
    </w:div>
    <w:div w:id="2111050150">
      <w:bodyDiv w:val="1"/>
      <w:marLeft w:val="0"/>
      <w:marRight w:val="0"/>
      <w:marTop w:val="0"/>
      <w:marBottom w:val="0"/>
      <w:divBdr>
        <w:top w:val="none" w:sz="0" w:space="0" w:color="auto"/>
        <w:left w:val="none" w:sz="0" w:space="0" w:color="auto"/>
        <w:bottom w:val="none" w:sz="0" w:space="0" w:color="auto"/>
        <w:right w:val="none" w:sz="0" w:space="0" w:color="auto"/>
      </w:divBdr>
    </w:div>
    <w:div w:id="211284782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74994">
      <w:bodyDiv w:val="1"/>
      <w:marLeft w:val="0"/>
      <w:marRight w:val="0"/>
      <w:marTop w:val="0"/>
      <w:marBottom w:val="0"/>
      <w:divBdr>
        <w:top w:val="none" w:sz="0" w:space="0" w:color="auto"/>
        <w:left w:val="none" w:sz="0" w:space="0" w:color="auto"/>
        <w:bottom w:val="none" w:sz="0" w:space="0" w:color="auto"/>
        <w:right w:val="none" w:sz="0" w:space="0" w:color="auto"/>
      </w:divBdr>
    </w:div>
    <w:div w:id="2124768433">
      <w:bodyDiv w:val="1"/>
      <w:marLeft w:val="0"/>
      <w:marRight w:val="0"/>
      <w:marTop w:val="0"/>
      <w:marBottom w:val="0"/>
      <w:divBdr>
        <w:top w:val="none" w:sz="0" w:space="0" w:color="auto"/>
        <w:left w:val="none" w:sz="0" w:space="0" w:color="auto"/>
        <w:bottom w:val="none" w:sz="0" w:space="0" w:color="auto"/>
        <w:right w:val="none" w:sz="0" w:space="0" w:color="auto"/>
      </w:divBdr>
    </w:div>
    <w:div w:id="2128548158">
      <w:bodyDiv w:val="1"/>
      <w:marLeft w:val="0"/>
      <w:marRight w:val="0"/>
      <w:marTop w:val="0"/>
      <w:marBottom w:val="0"/>
      <w:divBdr>
        <w:top w:val="none" w:sz="0" w:space="0" w:color="auto"/>
        <w:left w:val="none" w:sz="0" w:space="0" w:color="auto"/>
        <w:bottom w:val="none" w:sz="0" w:space="0" w:color="auto"/>
        <w:right w:val="none" w:sz="0" w:space="0" w:color="auto"/>
      </w:divBdr>
    </w:div>
    <w:div w:id="213840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customXml" Target="../customXml/item2.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Courier New"/>
    <w:charset w:val="00"/>
    <w:family w:val="auto"/>
    <w:pitch w:val="variable"/>
    <w:sig w:usb0="03000000" w:usb1="00000000" w:usb2="00000000" w:usb3="00000000" w:csb0="00000001" w:csb1="00000000"/>
  </w:font>
  <w:font w:name="ヒラギノ角ゴ Pro W3">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568"/>
    <w:rsid w:val="00017B38"/>
    <w:rsid w:val="00044A9F"/>
    <w:rsid w:val="00045CCA"/>
    <w:rsid w:val="000614BE"/>
    <w:rsid w:val="000678E8"/>
    <w:rsid w:val="000849C6"/>
    <w:rsid w:val="000A0C3B"/>
    <w:rsid w:val="000C101B"/>
    <w:rsid w:val="000C4B1D"/>
    <w:rsid w:val="000C5EC0"/>
    <w:rsid w:val="000C7F02"/>
    <w:rsid w:val="00112B8B"/>
    <w:rsid w:val="00164351"/>
    <w:rsid w:val="001C24D6"/>
    <w:rsid w:val="002255BB"/>
    <w:rsid w:val="002413EF"/>
    <w:rsid w:val="002550FD"/>
    <w:rsid w:val="002D0B1E"/>
    <w:rsid w:val="002E6D99"/>
    <w:rsid w:val="003000DA"/>
    <w:rsid w:val="00350199"/>
    <w:rsid w:val="00361E29"/>
    <w:rsid w:val="00363582"/>
    <w:rsid w:val="003C6E90"/>
    <w:rsid w:val="00434819"/>
    <w:rsid w:val="00452184"/>
    <w:rsid w:val="00467AB1"/>
    <w:rsid w:val="004904DB"/>
    <w:rsid w:val="005D20AD"/>
    <w:rsid w:val="00653A98"/>
    <w:rsid w:val="00675833"/>
    <w:rsid w:val="006A0DF6"/>
    <w:rsid w:val="006A4723"/>
    <w:rsid w:val="006B3305"/>
    <w:rsid w:val="006D74FE"/>
    <w:rsid w:val="007154C5"/>
    <w:rsid w:val="00716C54"/>
    <w:rsid w:val="00720C7D"/>
    <w:rsid w:val="0077519B"/>
    <w:rsid w:val="00780C80"/>
    <w:rsid w:val="007C297E"/>
    <w:rsid w:val="007C7027"/>
    <w:rsid w:val="007D3804"/>
    <w:rsid w:val="00812FF0"/>
    <w:rsid w:val="00835E07"/>
    <w:rsid w:val="00861725"/>
    <w:rsid w:val="0088375E"/>
    <w:rsid w:val="00964ED4"/>
    <w:rsid w:val="009C259E"/>
    <w:rsid w:val="00A009D4"/>
    <w:rsid w:val="00A23E2E"/>
    <w:rsid w:val="00A657D0"/>
    <w:rsid w:val="00A71956"/>
    <w:rsid w:val="00AB453E"/>
    <w:rsid w:val="00AD2ECD"/>
    <w:rsid w:val="00AD7D69"/>
    <w:rsid w:val="00B91FCF"/>
    <w:rsid w:val="00C01AEE"/>
    <w:rsid w:val="00C90A2F"/>
    <w:rsid w:val="00CA10A9"/>
    <w:rsid w:val="00CB6B62"/>
    <w:rsid w:val="00CD10A9"/>
    <w:rsid w:val="00CF7388"/>
    <w:rsid w:val="00D041DC"/>
    <w:rsid w:val="00D52AC2"/>
    <w:rsid w:val="00D86584"/>
    <w:rsid w:val="00DA1FC2"/>
    <w:rsid w:val="00DB4022"/>
    <w:rsid w:val="00DC3535"/>
    <w:rsid w:val="00DD7BA4"/>
    <w:rsid w:val="00E24D23"/>
    <w:rsid w:val="00E318CE"/>
    <w:rsid w:val="00E62E61"/>
    <w:rsid w:val="00E646E1"/>
    <w:rsid w:val="00E8700A"/>
    <w:rsid w:val="00EE55D6"/>
    <w:rsid w:val="00EF0B02"/>
    <w:rsid w:val="00F32423"/>
    <w:rsid w:val="00F51C81"/>
    <w:rsid w:val="00FD09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Hea</b:Tag>
    <b:SourceType>InternetSite</b:SourceType>
    <b:Guid>{1AB3D81C-AE7E-4AAC-BAB1-A8BB69D1DC58}</b:Guid>
    <b:Title>ALARP suite of guidance</b:Title>
    <b:LCID>en-GB</b:LCID>
    <b:Author>
      <b:Author>
        <b:Corporate>Health and Safety Executive (HSE)</b:Corporate>
      </b:Author>
    </b:Author>
    <b:URL>https://www.hse.gov.uk/managing/theory/index.htm</b:URL>
    <b:RefOrder>4</b:RefOrder>
  </b:Source>
  <b:Source>
    <b:Tag>ONR21</b:Tag>
    <b:SourceType>DocumentFromInternetSite</b:SourceType>
    <b:Guid>{CD6D440E-6D3E-4EA7-9234-D4CBD95B3F90}</b:Guid>
    <b:LCID>en-GB</b:LCID>
    <b:Author>
      <b:Author>
        <b:Corporate>ONR</b:Corporate>
      </b:Author>
    </b:Author>
    <b:Title>Licensing Nuclear Installations</b:Title>
    <b:Year>2021</b:Year>
    <b:URL>https://www.onr.org.uk/licensing-nuclear-installations.pdf</b:URL>
    <b:RefOrder>3</b:RefOrder>
  </b:Source>
  <b:Source>
    <b:Tag>IAE</b:Tag>
    <b:SourceType>DocumentFromInternetSite</b:SourceType>
    <b:Guid>{6C9394CF-4CF3-40A4-9819-18328812C233}</b:Guid>
    <b:LCID>en-GB</b:LCID>
    <b:Author>
      <b:Author>
        <b:Corporate>IAEA</b:Corporate>
      </b:Author>
    </b:Author>
    <b:Title>IAEA Safety Standards</b:Title>
    <b:URL>https://www.iaea.org/resources/safety-standards/search</b:URL>
    <b:RefOrder>5</b:RefOrder>
  </b:Source>
  <b:Source>
    <b:Tag>WEN20</b:Tag>
    <b:SourceType>DocumentFromInternetSite</b:SourceType>
    <b:Guid>{B446D398-920D-4B78-BF97-2AE57AEAC727}</b:Guid>
    <b:LCID>en-GB</b:LCID>
    <b:Author>
      <b:Author>
        <b:Corporate>WENRA</b:Corporate>
      </b:Author>
    </b:Author>
    <b:Title>Safety Reference Levels (SRLs) for existing reactors</b:Title>
    <b:Year>2020</b:Year>
    <b:URL>https://www.wenra.eu/sites/default/files/publications/wenra_safety_reference_level_for_existing_reactors_2020.pdf</b:URL>
    <b:RefOrder>6</b:RefOrder>
  </b:Source>
  <b:Source>
    <b:Tag>WEN14</b:Tag>
    <b:SourceType>DocumentFromInternetSite</b:SourceType>
    <b:Guid>{78F5BE61-5316-477A-9186-8F202FF469AF}</b:Guid>
    <b:LCID>en-GB</b:LCID>
    <b:Author>
      <b:Author>
        <b:Corporate>WENRA</b:Corporate>
      </b:Author>
    </b:Author>
    <b:Title>Safety Reference Levels (SRLs) for waste and spent fuel storage</b:Title>
    <b:Year>2014</b:Year>
    <b:URL>https://www.wenra.eu/sites/default/files/publications/wgwd_storage_report_final.pdf</b:URL>
    <b:RefOrder>7</b:RefOrder>
  </b:Source>
  <b:Source>
    <b:Tag>WEN15</b:Tag>
    <b:SourceType>DocumentFromInternetSite</b:SourceType>
    <b:Guid>{BC5BD390-5C4E-4CBD-A773-8F24CF981D26}</b:Guid>
    <b:LCID>en-GB</b:LCID>
    <b:Author>
      <b:Author>
        <b:Corporate>WENRA</b:Corporate>
      </b:Author>
    </b:Author>
    <b:Title>Safety Reference Levels (SRLs) for radioactive waste disposal facilities</b:Title>
    <b:Year>2015</b:Year>
    <b:URL>https://www.wenra.eu/sites/default/files/publications/srl_disposal_final_version_2014_12_22.pdf</b:URL>
    <b:RefOrder>8</b:RefOrder>
  </b:Source>
  <b:Source>
    <b:Tag>WEN151</b:Tag>
    <b:SourceType>DocumentFromInternetSite</b:SourceType>
    <b:Guid>{1A60C6BE-F647-4430-BB66-F379DD35FF28}</b:Guid>
    <b:LCID>en-GB</b:LCID>
    <b:Author>
      <b:Author>
        <b:Corporate>WENRA</b:Corporate>
      </b:Author>
    </b:Author>
    <b:Title>Safety Reference Levels (SRLs) for decommissioning</b:Title>
    <b:Year>2015</b:Year>
    <b:URL>https://www.wenra.eu/sites/default/files/publications/wgwd_report_decommissioning_srls_v2_2.pdf</b:URL>
    <b:RefOrder>9</b:RefOrder>
  </b:Source>
  <b:Source>
    <b:Tag>WEN201</b:Tag>
    <b:SourceType>DocumentFromInternetSite</b:SourceType>
    <b:Guid>{F434034D-6E87-4575-AE2E-FFD1A22A615B}</b:Guid>
    <b:LCID>en-GB</b:LCID>
    <b:Author>
      <b:Author>
        <b:Corporate>WENRA</b:Corporate>
      </b:Author>
    </b:Author>
    <b:Title>Safety Reference Levels (SRLs) for radioactive waste treatment and conditioning</b:Title>
    <b:Year>2018</b:Year>
    <b:URL>https://www.wenra.eu/sites/default/files/publications/report_radioactive_waste_treatment_and_conditioning_safety_reference_levels.pdf</b:URL>
    <b:RefOrder>10</b:RefOrder>
  </b:Source>
  <b:Source>
    <b:Tag>WEN202</b:Tag>
    <b:SourceType>DocumentFromInternetSite</b:SourceType>
    <b:Guid>{7DFE81E3-62FD-40EC-BE22-7B1E5BB66ACC}</b:Guid>
    <b:LCID>en-GB</b:LCID>
    <b:Author>
      <b:Author>
        <b:Corporate>WENRA</b:Corporate>
      </b:Author>
    </b:Author>
    <b:Title>Safety Reference Levels (SRLs) for research reactors</b:Title>
    <b:Year>2020</b:Year>
    <b:URL>https://www.wenra.eu/sites/default/files/publications/wenra_safety_reference_levels_for_research_reactors__final__november_2020.pdf</b:URL>
    <b:RefOrder>11</b:RefOrder>
  </b:Source>
  <b:Source>
    <b:Tag>WEN09</b:Tag>
    <b:SourceType>DocumentFromInternetSite</b:SourceType>
    <b:Guid>{8C74A9BB-E60E-4FFD-99F2-0F2D536B662D}</b:Guid>
    <b:LCID>en-GB</b:LCID>
    <b:Author>
      <b:Author>
        <b:Corporate>WENRA</b:Corporate>
      </b:Author>
    </b:Author>
    <b:Title>Safety Objectives for new nuclear power plants</b:Title>
    <b:Year>2009</b:Year>
    <b:URL>https://www.wenra.eu/sites/default/files/publications/rhwg_report_newnpp_dec2009.pdf</b:URL>
    <b:RefOrder>12</b:RefOrder>
  </b:Source>
  <b:Source>
    <b:Tag>ONR222</b:Tag>
    <b:SourceType>DocumentFromInternetSite</b:SourceType>
    <b:Guid>{D527082B-1998-4F93-9C6F-39A3EECCA457}</b:Guid>
    <b:LCID>en-GB</b:LCID>
    <b:Author>
      <b:Author>
        <b:Corporate>ONR</b:Corporate>
      </b:Author>
    </b:Author>
    <b:Title>Decommissioning, NS-TAST-GD-026 (Issue 5.1)</b:Title>
    <b:Year>2022</b:Year>
    <b:URL>https://view.officeapps.live.com/op/view.aspx?src=https%3A%2F%2Fwww.onr.org.uk%2Foperational%2Ftech_asst_guides%2Fns-tast-gd-026.docx&amp;wdOrigin=BROWSELINK</b:URL>
    <b:RefOrder>23</b:RefOrder>
  </b:Source>
  <b:Source>
    <b:Tag>Hea01</b:Tag>
    <b:SourceType>DocumentFromInternetSite</b:SourceType>
    <b:Guid>{D3D35ED6-862B-4225-928F-3B00CEF0FE2F}</b:Guid>
    <b:LCID>en-GB</b:LCID>
    <b:Author>
      <b:Author>
        <b:Corporate>Health and Safety Executive (HSE)</b:Corporate>
      </b:Author>
    </b:Author>
    <b:Title>Reduce Risk and Protecting People (R2P2)</b:Title>
    <b:Year>2001</b:Year>
    <b:URL>https://www.hse.gov.uk/managing/theory/r2p2.pdf</b:URL>
    <b:RefOrder>20</b:RefOrder>
  </b:Source>
  <b:Source>
    <b:Tag>IAE06</b:Tag>
    <b:SourceType>DocumentFromInternetSite</b:SourceType>
    <b:Guid>{FB6ADC7C-DB88-4F11-84E5-6C7E8C2E6201}</b:Guid>
    <b:LCID>en-GB</b:LCID>
    <b:Author>
      <b:Author>
        <b:Corporate>IAEA</b:Corporate>
      </b:Author>
    </b:Author>
    <b:Title>Fundamental Safety Principles: Safety Fundamentals No. SF-1</b:Title>
    <b:Year>2006</b:Year>
    <b:URL>http://www-pub.iaea.org/MTCD/publications/PDF/Pub1273_web.pdf</b:URL>
    <b:RefOrder>14</b:RefOrder>
  </b:Source>
  <b:Source>
    <b:Tag>ONR</b:Tag>
    <b:SourceType>InternetSite</b:SourceType>
    <b:Guid>{E9C81BD2-F587-42C6-A055-AFDA86991C0F}</b:Guid>
    <b:Title>Memorandum of Understanding / General Agreements</b:Title>
    <b:URL>https://www.onr.org.uk/agency-agreements-mou.htm</b:URL>
    <b:Author>
      <b:Author>
        <b:Corporate>ONR and other agencies</b:Corporate>
      </b:Author>
    </b:Author>
    <b:RefOrder>15</b:RefOrder>
  </b:Source>
  <b:Source>
    <b:Tag>ONR221</b:Tag>
    <b:SourceType>DocumentFromInternetSite</b:SourceType>
    <b:Guid>{55F7A9EF-66D0-4098-9A21-6563EA247445}</b:Guid>
    <b:LCID>en-GB</b:LCID>
    <b:Author>
      <b:Author>
        <b:Corporate>ONR</b:Corporate>
      </b:Author>
    </b:Author>
    <b:Title>Periodic Safety Reviews (PSR), NS-TAST-GD-050 (Issue 8.1)</b:Title>
    <b:Year>2022</b:Year>
    <b:URL>https://view.officeapps.live.com/op/view.aspx?src=https%3A%2F%2Fwww.onr.org.uk%2Foperational%2Ftech_asst_guides%2Fns-tast-gd-050.docx&amp;wdOrigin=BROWSELINK</b:URL>
    <b:Version>Issue 8.1</b:Version>
    <b:RefOrder>17</b:RefOrder>
  </b:Source>
  <b:Source>
    <b:Tag>ONR223</b:Tag>
    <b:SourceType>DocumentFromInternetSite</b:SourceType>
    <b:Guid>{DB0C3F9F-CB52-454E-B754-AC7B71942254}</b:Guid>
    <b:Title>Asset Management, NS-TAST-GD-098 (Issue 2.1)</b:Title>
    <b:Year>2022</b:Year>
    <b:URL>https://view.officeapps.live.com/op/view.aspx?src=https%3A%2F%2Fwww.onr.org.uk%2Foperational%2Ftech_asst_guides%2Fns-tast-gd-098.docx&amp;wdOrigin=BROWSELINK</b:URL>
    <b:Author>
      <b:Author>
        <b:Corporate>ONR</b:Corporate>
      </b:Author>
    </b:Author>
    <b:RefOrder>22</b:RefOrder>
  </b:Source>
  <b:Source>
    <b:Tag>Hea92</b:Tag>
    <b:SourceType>DocumentFromInternetSite</b:SourceType>
    <b:Guid>{268B6957-FA81-4AA3-9DCF-39DFC3E61DD3}</b:Guid>
    <b:LCID>en-GB</b:LCID>
    <b:Author>
      <b:Author>
        <b:Corporate>Health and Safety Executive (HSE)</b:Corporate>
      </b:Author>
    </b:Author>
    <b:Title>The Tolerability of Risk From Nuclear Power Stations</b:Title>
    <b:Year>1992</b:Year>
    <b:URL>https://www.onr.org.uk/documents/tolerability.pdf</b:URL>
    <b:RefOrder>19</b:RefOrder>
  </b:Source>
  <b:Source>
    <b:Tag>ONR201</b:Tag>
    <b:SourceType>DocumentFromInternetSite</b:SourceType>
    <b:Guid>{499D46F4-E19A-42C3-9244-F74632B30F08}</b:Guid>
    <b:Author>
      <b:Author>
        <b:Corporate>ONR</b:Corporate>
      </b:Author>
    </b:Author>
    <b:Title>Enforcement Policy Statement</b:Title>
    <b:Year>2020</b:Year>
    <b:Month>December</b:Month>
    <b:URL>https://www.onr.org.uk/documents/enforcement-policy-statement.pdf</b:URL>
    <b:RefOrder>21</b:RefOrder>
  </b:Source>
  <b:Source>
    <b:Tag>ONR202</b:Tag>
    <b:SourceType>DocumentFromInternetSite</b:SourceType>
    <b:Guid>{B8B0E8D3-D0D3-4112-AA99-4E8601F11B38}</b:Guid>
    <b:Author>
      <b:Author>
        <b:Corporate>ONR</b:Corporate>
      </b:Author>
    </b:Author>
    <b:Title>A guide to enabling regulation</b:Title>
    <b:Year>2020</b:Year>
    <b:Month>August</b:Month>
    <b:URL>https://www.onr.org.uk/documents/2020/a-guide-to-enabling-regulation-2020.pdf</b:URL>
    <b:RefOrder>13</b:RefOrder>
  </b:Source>
  <b:Source>
    <b:Tag>ONR23</b:Tag>
    <b:SourceType>ElectronicSource</b:SourceType>
    <b:Guid>{F3D17DE9-D5D4-4736-91D2-1A96F8805B30}</b:Guid>
    <b:Title>Strategy for the Regulation of Replication on Sizewell C, 2023/11377</b:Title>
    <b:Year>2023</b:Year>
    <b:Author>
      <b:Author>
        <b:Corporate>ONR</b:Corporate>
      </b:Author>
    </b:Author>
    <b:RefOrder>24</b:RefOrder>
  </b:Source>
  <b:Source>
    <b:Tag>ONR22</b:Tag>
    <b:SourceType>ElectronicSource</b:SourceType>
    <b:Guid>{2484D688-CD33-4BBB-BBC4-F3C7193A5AC1}</b:Guid>
    <b:Author>
      <b:Author>
        <b:Corporate>ONR</b:Corporate>
      </b:Author>
    </b:Author>
    <b:Title>So Far As Is Reasonably Practicable (SFAIRP), ONR-GEN-GD-018, 2019/92014 </b:Title>
    <b:Year>2022</b:Year>
    <b:LCID>en-GB</b:LCID>
    <b:RefOrder>18</b:RefOrder>
  </b:Source>
  <b:Source>
    <b:Tag>ONR212</b:Tag>
    <b:SourceType>DocumentFromInternetSite</b:SourceType>
    <b:Guid>{13F4A40D-3C91-47D9-8645-4DF2DCE74DC5}</b:Guid>
    <b:Author>
      <b:Author>
        <b:Corporate>ONR</b:Corporate>
      </b:Author>
    </b:Author>
    <b:Title>Construction (Design and Management) Regulations, NS-INSP-GD-074 (Issue 2)</b:Title>
    <b:Year>2023</b:Year>
    <b:URL>https://view.officeapps.live.com/op/view.aspx?src=https%3A%2F%2Fwww.onr.org.uk%2Foperational%2Ftech_insp_guides%2Fns-insp-gd-074.docx&amp;wdOrigin=BROWSELINK</b:URL>
    <b:RefOrder>16</b:RefOrder>
  </b:Source>
  <b:Source>
    <b:Tag>ONR17</b:Tag>
    <b:SourceType>Book</b:SourceType>
    <b:Guid>{0F230EB4-A748-407A-A362-5C5B65315D00}</b:Guid>
    <b:Title>Risk Informed Regulatory Decision Making (under revision)</b:Title>
    <b:Year>2024</b:Year>
    <b:Author>
      <b:Author>
        <b:Corporate>ONR</b:Corporate>
      </b:Author>
    </b:Author>
    <b:LCID>en-GB</b:LCID>
    <b:RefOrder>2</b:RefOrder>
  </b:Source>
  <b:Source>
    <b:Tag>Placeholder1</b:Tag>
    <b:SourceType>DocumentFromInternetSite</b:SourceType>
    <b:Guid>{0C6F7B78-05F1-4B57-A38C-2AD2C9FB84F3}</b:Guid>
    <b:Author>
      <b:Author>
        <b:Corporate>ONR</b:Corporate>
      </b:Author>
    </b:Author>
    <b:Title>Safety Assessment Principles (SAPs) for Nuclear Facilities - 2014 Edition (Revision 1)</b:Title>
    <b:Year>2020</b:Year>
    <b:Month>January</b:Month>
    <b:URL>https://www.onr.org.uk/saps/saps2014.pdf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25158-085C-4BD6-A232-EB58A2362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39</Pages>
  <Words>11770</Words>
  <Characters>67094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Regulating duties to reduce risks to ALARP</vt:lpstr>
    </vt:vector>
  </TitlesOfParts>
  <Manager>Office for Nuclear Regulation</Manager>
  <Company>Office for Nuclear Regulation</Company>
  <LinksUpToDate>false</LinksUpToDate>
  <CharactersWithSpaces>78707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duties to reduce risks to ALARP</dc:title>
  <dc:subject>[Subtitle or description]</dc:subject>
  <dc:creator>Liam Dunning</dc:creator>
  <cp:keywords>[Key words separated by commas]</cp:keywords>
  <dc:description/>
  <cp:lastModifiedBy>Steve McCabe</cp:lastModifiedBy>
  <cp:revision>4</cp:revision>
  <cp:lastPrinted>2016-11-28T11:35:00Z</cp:lastPrinted>
  <dcterms:created xsi:type="dcterms:W3CDTF">2024-01-23T09:28:00Z</dcterms:created>
  <dcterms:modified xsi:type="dcterms:W3CDTF">2024-01-23T09:37:00Z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